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9879FE" w14:textId="208CCE55" w:rsidR="0082568F" w:rsidRPr="00AE0C7A" w:rsidRDefault="0082568F" w:rsidP="00391005">
      <w:pPr>
        <w:pStyle w:val="ListParagraph"/>
        <w:rPr>
          <w:sz w:val="6"/>
        </w:rPr>
      </w:pPr>
    </w:p>
    <w:p w14:paraId="54D44A2D" w14:textId="77777777" w:rsidR="0082568F" w:rsidRPr="0082568F" w:rsidRDefault="0082568F" w:rsidP="00391005">
      <w:pPr>
        <w:pStyle w:val="ListParagraph"/>
      </w:pPr>
    </w:p>
    <w:p w14:paraId="38CA8DEA" w14:textId="7C27C409" w:rsidR="00961414" w:rsidRPr="00AE0C7A" w:rsidRDefault="001E6BFD" w:rsidP="00AE0C7A">
      <w:pPr>
        <w:pStyle w:val="ListParagraph"/>
        <w:jc w:val="center"/>
        <w:rPr>
          <w:rFonts w:ascii="Franklin Gothic Book" w:hAnsi="Franklin Gothic Book"/>
          <w:b/>
          <w:sz w:val="44"/>
        </w:rPr>
      </w:pPr>
      <w:r w:rsidRPr="00AE0C7A">
        <w:rPr>
          <w:rFonts w:ascii="Franklin Gothic Book" w:hAnsi="Franklin Gothic Book"/>
          <w:b/>
          <w:sz w:val="44"/>
        </w:rPr>
        <w:t>The abundance and diversity of endogenous retroviruses in the chicken genome</w:t>
      </w:r>
    </w:p>
    <w:p w14:paraId="7F10EE58" w14:textId="2CB3F1D9" w:rsidR="00961414" w:rsidRPr="00AE0C7A" w:rsidRDefault="00961414" w:rsidP="00AE0C7A">
      <w:pPr>
        <w:pStyle w:val="ListParagraph"/>
        <w:jc w:val="center"/>
        <w:rPr>
          <w:rFonts w:ascii="Franklin Gothic Book" w:hAnsi="Franklin Gothic Book"/>
          <w:b/>
        </w:rPr>
      </w:pPr>
    </w:p>
    <w:p w14:paraId="14E85509" w14:textId="6A14241A" w:rsidR="00961414" w:rsidRPr="00AE0C7A" w:rsidRDefault="0082568F" w:rsidP="00AE0C7A">
      <w:pPr>
        <w:pStyle w:val="ListParagraph"/>
        <w:jc w:val="center"/>
        <w:rPr>
          <w:rFonts w:ascii="Franklin Gothic Book" w:hAnsi="Franklin Gothic Book"/>
          <w:b/>
          <w:sz w:val="42"/>
        </w:rPr>
      </w:pPr>
      <w:r w:rsidRPr="00AE0C7A">
        <w:rPr>
          <w:rFonts w:ascii="Franklin Gothic Book" w:hAnsi="Franklin Gothic Book"/>
          <w:b/>
          <w:sz w:val="40"/>
        </w:rPr>
        <w:t>Andrew Stephen Mason</w:t>
      </w:r>
    </w:p>
    <w:p w14:paraId="6152D562" w14:textId="6B08404D" w:rsidR="0082568F" w:rsidRDefault="0082568F" w:rsidP="00391005">
      <w:pPr>
        <w:pStyle w:val="ListParagraph"/>
      </w:pPr>
    </w:p>
    <w:p w14:paraId="1D045A29" w14:textId="2E220485" w:rsidR="0082568F" w:rsidRDefault="0082568F" w:rsidP="00AE0C7A">
      <w:pPr>
        <w:pStyle w:val="ListParagraph"/>
        <w:jc w:val="center"/>
        <w:rPr>
          <w:rFonts w:ascii="Franklin Gothic Book" w:hAnsi="Franklin Gothic Book"/>
        </w:rPr>
      </w:pPr>
      <w:r>
        <w:rPr>
          <w:noProof/>
          <w:lang w:eastAsia="en-GB"/>
        </w:rPr>
        <w:drawing>
          <wp:inline distT="0" distB="0" distL="0" distR="0" wp14:anchorId="2C77C00E" wp14:editId="669767D2">
            <wp:extent cx="2105247" cy="2119048"/>
            <wp:effectExtent l="0" t="0" r="9525" b="0"/>
            <wp:docPr id="229" name="Picture 229" descr="https://upload.wikimedia.org/wikipedia/en/thumb/7/7a/University_of_Edinburgh_ceremonial_roundel.svg/1017px-University_of_Edinburgh_ceremonial_roundel.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en/thumb/7/7a/University_of_Edinburgh_ceremonial_roundel.svg/1017px-University_of_Edinburgh_ceremonial_roundel.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10177" cy="2124010"/>
                    </a:xfrm>
                    <a:prstGeom prst="rect">
                      <a:avLst/>
                    </a:prstGeom>
                    <a:noFill/>
                    <a:ln>
                      <a:noFill/>
                    </a:ln>
                  </pic:spPr>
                </pic:pic>
              </a:graphicData>
            </a:graphic>
          </wp:inline>
        </w:drawing>
      </w:r>
    </w:p>
    <w:p w14:paraId="58292B87" w14:textId="77777777" w:rsidR="0082568F" w:rsidRPr="0082568F" w:rsidRDefault="0082568F" w:rsidP="00391005">
      <w:pPr>
        <w:pStyle w:val="ListParagraph"/>
      </w:pPr>
    </w:p>
    <w:p w14:paraId="278BC983" w14:textId="0C0E658E" w:rsidR="00961414" w:rsidRPr="00AE0C7A" w:rsidRDefault="00961414" w:rsidP="00AE0C7A">
      <w:pPr>
        <w:pStyle w:val="ListParagraph"/>
        <w:jc w:val="center"/>
        <w:rPr>
          <w:rFonts w:ascii="Franklin Gothic Book" w:hAnsi="Franklin Gothic Book"/>
          <w:sz w:val="30"/>
        </w:rPr>
      </w:pPr>
      <w:r w:rsidRPr="00AE0C7A">
        <w:rPr>
          <w:rFonts w:ascii="Franklin Gothic Book" w:hAnsi="Franklin Gothic Book"/>
          <w:sz w:val="30"/>
        </w:rPr>
        <w:t>Thesis submitted for the degree of Doctor of Philosophy</w:t>
      </w:r>
    </w:p>
    <w:p w14:paraId="1F5AB2E2" w14:textId="77777777" w:rsidR="0082568F" w:rsidRPr="00AE0C7A" w:rsidRDefault="0082568F" w:rsidP="00AE0C7A">
      <w:pPr>
        <w:pStyle w:val="ListParagraph"/>
        <w:jc w:val="center"/>
        <w:rPr>
          <w:rFonts w:ascii="Franklin Gothic Book" w:hAnsi="Franklin Gothic Book"/>
          <w:sz w:val="12"/>
        </w:rPr>
      </w:pPr>
    </w:p>
    <w:p w14:paraId="4702C3AC" w14:textId="7B3B51FD" w:rsidR="00A2569D" w:rsidRPr="00AE0C7A" w:rsidRDefault="00A2569D" w:rsidP="00AE0C7A">
      <w:pPr>
        <w:pStyle w:val="ListParagraph"/>
        <w:jc w:val="center"/>
        <w:rPr>
          <w:rFonts w:ascii="Franklin Gothic Book" w:hAnsi="Franklin Gothic Book"/>
          <w:sz w:val="30"/>
        </w:rPr>
      </w:pPr>
      <w:r w:rsidRPr="00AE0C7A">
        <w:rPr>
          <w:rFonts w:ascii="Franklin Gothic Book" w:hAnsi="Franklin Gothic Book"/>
          <w:sz w:val="30"/>
        </w:rPr>
        <w:t>College of Medicine and Veterinary Medicine</w:t>
      </w:r>
    </w:p>
    <w:p w14:paraId="2DC54668" w14:textId="01CDD0C6" w:rsidR="00A2569D" w:rsidRPr="00AE0C7A" w:rsidRDefault="00A2569D" w:rsidP="00AE0C7A">
      <w:pPr>
        <w:pStyle w:val="ListParagraph"/>
        <w:jc w:val="center"/>
        <w:rPr>
          <w:rFonts w:ascii="Franklin Gothic Book" w:hAnsi="Franklin Gothic Book"/>
          <w:sz w:val="30"/>
        </w:rPr>
      </w:pPr>
      <w:r w:rsidRPr="00AE0C7A">
        <w:rPr>
          <w:rFonts w:ascii="Franklin Gothic Book" w:hAnsi="Franklin Gothic Book"/>
          <w:sz w:val="30"/>
        </w:rPr>
        <w:t>The Roslin Institute and Royal (Dick) School of Veterinary Studies</w:t>
      </w:r>
    </w:p>
    <w:p w14:paraId="0EF18BEB" w14:textId="758D47B6" w:rsidR="00961414" w:rsidRPr="00AE0C7A" w:rsidRDefault="00961414" w:rsidP="00AE0C7A">
      <w:pPr>
        <w:pStyle w:val="ListParagraph"/>
        <w:jc w:val="center"/>
        <w:rPr>
          <w:rFonts w:ascii="Franklin Gothic Book" w:hAnsi="Franklin Gothic Book"/>
          <w:sz w:val="30"/>
        </w:rPr>
      </w:pPr>
      <w:r w:rsidRPr="00AE0C7A">
        <w:rPr>
          <w:rFonts w:ascii="Franklin Gothic Book" w:hAnsi="Franklin Gothic Book"/>
          <w:sz w:val="30"/>
        </w:rPr>
        <w:t>University of Edinburgh</w:t>
      </w:r>
    </w:p>
    <w:p w14:paraId="4805197D" w14:textId="77777777" w:rsidR="0082568F" w:rsidRPr="00AE0C7A" w:rsidRDefault="0082568F" w:rsidP="00AE0C7A">
      <w:pPr>
        <w:pStyle w:val="ListParagraph"/>
        <w:jc w:val="center"/>
        <w:rPr>
          <w:rFonts w:ascii="Franklin Gothic Book" w:hAnsi="Franklin Gothic Book"/>
          <w:sz w:val="12"/>
        </w:rPr>
      </w:pPr>
    </w:p>
    <w:p w14:paraId="34370928" w14:textId="5E9FCE81" w:rsidR="00961414" w:rsidRDefault="00961414" w:rsidP="00AE0C7A">
      <w:pPr>
        <w:pStyle w:val="ListParagraph"/>
        <w:jc w:val="center"/>
        <w:rPr>
          <w:rFonts w:ascii="Franklin Gothic Book" w:hAnsi="Franklin Gothic Book"/>
          <w:sz w:val="30"/>
        </w:rPr>
      </w:pPr>
      <w:r w:rsidRPr="00AE0C7A">
        <w:rPr>
          <w:rFonts w:ascii="Franklin Gothic Book" w:hAnsi="Franklin Gothic Book"/>
          <w:sz w:val="30"/>
        </w:rPr>
        <w:t>2017</w:t>
      </w:r>
    </w:p>
    <w:p w14:paraId="33C21E1B" w14:textId="77777777" w:rsidR="00FE2022" w:rsidRPr="00AE0C7A" w:rsidRDefault="00FE2022" w:rsidP="00AE0C7A">
      <w:pPr>
        <w:pStyle w:val="ListParagraph"/>
        <w:jc w:val="center"/>
        <w:rPr>
          <w:rFonts w:ascii="Franklin Gothic Book" w:hAnsi="Franklin Gothic Book"/>
          <w:sz w:val="30"/>
        </w:rPr>
      </w:pPr>
    </w:p>
    <w:p w14:paraId="5A698642" w14:textId="77777777" w:rsidR="00961414" w:rsidRDefault="00961414" w:rsidP="00391005">
      <w:pPr>
        <w:pStyle w:val="ListParagraph"/>
        <w:sectPr w:rsidR="00961414" w:rsidSect="00FE2022">
          <w:footerReference w:type="default" r:id="rId9"/>
          <w:pgSz w:w="11906" w:h="16838"/>
          <w:pgMar w:top="1134" w:right="1418" w:bottom="2268" w:left="2268" w:header="709" w:footer="1066" w:gutter="0"/>
          <w:cols w:space="708"/>
          <w:docGrid w:linePitch="360"/>
        </w:sectPr>
      </w:pPr>
    </w:p>
    <w:p w14:paraId="3B20E900" w14:textId="19ED57CF" w:rsidR="000C520D" w:rsidRDefault="00961414" w:rsidP="00FF3E5A">
      <w:pPr>
        <w:pStyle w:val="Intro"/>
        <w:numPr>
          <w:ilvl w:val="0"/>
          <w:numId w:val="0"/>
        </w:numPr>
        <w:ind w:left="431" w:hanging="431"/>
      </w:pPr>
      <w:bookmarkStart w:id="0" w:name="_Toc485721551"/>
      <w:bookmarkStart w:id="1" w:name="_Toc486787130"/>
      <w:bookmarkStart w:id="2" w:name="_Toc486787278"/>
      <w:r>
        <w:lastRenderedPageBreak/>
        <w:t>Acknowledgements</w:t>
      </w:r>
      <w:bookmarkEnd w:id="0"/>
      <w:bookmarkEnd w:id="1"/>
      <w:bookmarkEnd w:id="2"/>
    </w:p>
    <w:p w14:paraId="6F2FC31C" w14:textId="225338C8" w:rsidR="00C57339" w:rsidRDefault="0089353B" w:rsidP="00391005">
      <w:pPr>
        <w:pStyle w:val="ListParagraph"/>
      </w:pPr>
      <w:r>
        <w:t xml:space="preserve">The completion of this PhD project and thesis has been the most academically and mentally challenging undertaking I have faced. It is without a doubt that I would have been unable to do so without the encouragement and support of a great many people, who I would like to take this opportunity to thank. </w:t>
      </w:r>
    </w:p>
    <w:p w14:paraId="27B7FAA3" w14:textId="7D582F0C" w:rsidR="004177A5" w:rsidRDefault="0089353B" w:rsidP="00391005">
      <w:pPr>
        <w:pStyle w:val="ListParagraph"/>
      </w:pPr>
      <w:r>
        <w:t xml:space="preserve">Firstly, to my academic supervisors: Professor Dave Burt, Dr Paul Hocking and Dr Sam Lycett. Dave and Paul, thank you for devising this project, taking on a ‘fresh faced’ graduate, and continually supporting and driving my academic development. You’ve both been incredibly supportive of my desire to take on extra activities, whether that be a training course, public engagement or undergraduate teaching, </w:t>
      </w:r>
      <w:r w:rsidR="004C36EE">
        <w:t xml:space="preserve">all of which have enriched my </w:t>
      </w:r>
      <w:r>
        <w:t>experience. You’ve shared a wealth of knowledge and life experience wi</w:t>
      </w:r>
      <w:r w:rsidR="00FF75B1">
        <w:t>th me, and for that I am</w:t>
      </w:r>
      <w:r>
        <w:t xml:space="preserve"> grateful. Thank you also to Sam for taking me on during my final year</w:t>
      </w:r>
      <w:r w:rsidR="004C36EE">
        <w:t xml:space="preserve"> and critically reviewing my work with fresh eyes. You’ve been a great help.</w:t>
      </w:r>
    </w:p>
    <w:p w14:paraId="2A4C6C0A" w14:textId="43BE95F6" w:rsidR="0089353B" w:rsidRDefault="004C36EE" w:rsidP="00391005">
      <w:pPr>
        <w:pStyle w:val="ListParagraph"/>
      </w:pPr>
      <w:r>
        <w:t xml:space="preserve">Secondly, to my industrial supervisor at Hy-Line International, Dr Janet Fulton. You’ve been a great source of inspiration, </w:t>
      </w:r>
      <w:r w:rsidR="00120E58">
        <w:t>opened my eyes to new ideas, but you</w:t>
      </w:r>
      <w:r>
        <w:t xml:space="preserve"> kept me grounded</w:t>
      </w:r>
      <w:r w:rsidR="00D00BBD">
        <w:t xml:space="preserve"> and focused on the project</w:t>
      </w:r>
      <w:r>
        <w:t>. Thank you also for so generously hosting me during my month’s stay in Des Moines, and opening your home for games, whisky and sage advice. Thank you also to the entire Molecular Genetics Laboratory group at Hy-Line, particularl</w:t>
      </w:r>
      <w:r w:rsidR="00AE6CD2">
        <w:t>y Ashlee Lund for her tireless</w:t>
      </w:r>
      <w:r w:rsidR="00120E58">
        <w:t xml:space="preserve"> work on the KASP</w:t>
      </w:r>
      <w:r>
        <w:t xml:space="preserve"> assays.</w:t>
      </w:r>
    </w:p>
    <w:p w14:paraId="62027AF1" w14:textId="5B6EEDD2" w:rsidR="00120E58" w:rsidRDefault="00120E58" w:rsidP="00391005">
      <w:pPr>
        <w:pStyle w:val="ListParagraph"/>
      </w:pPr>
      <w:r>
        <w:t xml:space="preserve">Thirdly, thank you to the collaborators who so generously shared data during my identification of ALVEs: </w:t>
      </w:r>
      <w:r w:rsidR="00AE6CD2">
        <w:t>Professors Chris Ashwell, Bernhard Benkel, Marc Eloit, Olivier Hanotte, Susan Lamont, Rudolf Preisinger and Douglas Rhoads. Special thanks are also due to Dr Scott Tyack from the EW group who shared ideas and troubleshooting methods during the development of the ALVE identification pipeline</w:t>
      </w:r>
      <w:r w:rsidR="00DC6E90">
        <w:t>, and to Dr Gregor Gorjanc at Roslin for helping with modelling ALVE detection rates</w:t>
      </w:r>
      <w:r w:rsidR="00AE6CD2">
        <w:t>.</w:t>
      </w:r>
    </w:p>
    <w:p w14:paraId="3B749F44" w14:textId="4D23AD34" w:rsidR="004C36EE" w:rsidRDefault="00D00BBD" w:rsidP="00391005">
      <w:pPr>
        <w:pStyle w:val="ListParagraph"/>
      </w:pPr>
      <w:r>
        <w:t xml:space="preserve">I have been lucky to part of the Burt lab at Roslin, full of clever and incredibly helpful people. Thank you specifically to Richard Kuo and Dr Lel Eory for dealing with many bioinformatic questions, to Bob Paton and Dr Kasia Miedzinska-Bielecka for help and patience in the lab, and to Dr Jacqueline Smith for good advice and a dose of reality. </w:t>
      </w:r>
      <w:r w:rsidR="00AE6CD2">
        <w:t xml:space="preserve">Beyond </w:t>
      </w:r>
      <w:r w:rsidR="00784460">
        <w:t xml:space="preserve">great </w:t>
      </w:r>
      <w:r w:rsidR="00AE6CD2">
        <w:t>academic support at Roslin,</w:t>
      </w:r>
      <w:r w:rsidR="00C46FC2">
        <w:t xml:space="preserve"> I was fortunate to find a</w:t>
      </w:r>
      <w:r w:rsidR="00AE6CD2">
        <w:t xml:space="preserve"> group of people in </w:t>
      </w:r>
      <w:r w:rsidR="00AE6CD2">
        <w:lastRenderedPageBreak/>
        <w:t xml:space="preserve">the department </w:t>
      </w:r>
      <w:r w:rsidR="00C46FC2">
        <w:t>(</w:t>
      </w:r>
      <w:r w:rsidR="00AE6CD2">
        <w:t>and beyond</w:t>
      </w:r>
      <w:r w:rsidR="00C46FC2">
        <w:t>)</w:t>
      </w:r>
      <w:r w:rsidR="00AE6CD2">
        <w:t xml:space="preserve"> with whom I shared laughs, cakes and beers during my project. Special mentions to </w:t>
      </w:r>
      <w:r w:rsidR="00C46FC2">
        <w:t>S</w:t>
      </w:r>
      <w:r w:rsidR="00784460">
        <w:t>erap,</w:t>
      </w:r>
      <w:r w:rsidR="00C46FC2">
        <w:t xml:space="preserve"> Graham, Kate, </w:t>
      </w:r>
      <w:r w:rsidR="00784460">
        <w:t xml:space="preserve">Brendan, </w:t>
      </w:r>
      <w:r w:rsidR="00C46FC2">
        <w:t>Fiona, Carys and John</w:t>
      </w:r>
      <w:r w:rsidR="00784460">
        <w:t>: you guys kept Roslin fun</w:t>
      </w:r>
      <w:r w:rsidR="00C46FC2">
        <w:t>. Thank you for the good memories, and th</w:t>
      </w:r>
      <w:r w:rsidR="009C1F6C">
        <w:t>e best of luck to</w:t>
      </w:r>
      <w:r w:rsidR="00C46FC2">
        <w:t xml:space="preserve"> you</w:t>
      </w:r>
      <w:r w:rsidR="009C1F6C">
        <w:t xml:space="preserve"> all</w:t>
      </w:r>
      <w:r w:rsidR="00C46FC2">
        <w:t>.</w:t>
      </w:r>
    </w:p>
    <w:p w14:paraId="5FB41576" w14:textId="39435494" w:rsidR="00C57339" w:rsidRDefault="009C1F6C" w:rsidP="00391005">
      <w:pPr>
        <w:pStyle w:val="ListParagraph"/>
      </w:pPr>
      <w:r>
        <w:t>I owe my Mum and Dad a huge thank you for all the love and support over the years.  They always drive me to do better, support me through any decision, and e</w:t>
      </w:r>
      <w:r w:rsidR="00F52C93">
        <w:t>ven cope with my excited scientific</w:t>
      </w:r>
      <w:r>
        <w:t xml:space="preserve"> monologuing. You’re both incredible and it’s my constant goal to make you proud. As well as the love and support of my sisters and their families, I have been so lucky during this project to see my family extend to the</w:t>
      </w:r>
      <w:r w:rsidR="00F52C93">
        <w:t xml:space="preserve"> Hawleys, my brilliant in-laws. Thank you for welcoming me so</w:t>
      </w:r>
      <w:r w:rsidR="00120A22">
        <w:t xml:space="preserve"> completely into your lives</w:t>
      </w:r>
      <w:r w:rsidR="00F52C93">
        <w:t xml:space="preserve">.  </w:t>
      </w:r>
    </w:p>
    <w:p w14:paraId="27F8A52D" w14:textId="25A07EA8" w:rsidR="00120A22" w:rsidRPr="00876B4D" w:rsidRDefault="00F52C93" w:rsidP="00391005">
      <w:pPr>
        <w:pStyle w:val="ListParagraph"/>
      </w:pPr>
      <w:r>
        <w:t>Finally, and above all others, I need to acknowledge the love and brilliance of my incredible wife, Cathy. Completing PhDs simultaneously has been a challenge, but we’ve sup</w:t>
      </w:r>
      <w:r w:rsidR="00784460">
        <w:t>ported each other throughout</w:t>
      </w:r>
      <w:r>
        <w:t>, and could put a smile on the other’s face after any long day</w:t>
      </w:r>
      <w:r w:rsidR="00120A22">
        <w:t xml:space="preserve"> or inconclusive </w:t>
      </w:r>
      <w:r>
        <w:t>result. You are absolutely everything to me, and I am so fortunate to be spending the rest of my life with you. Here’s to a life-long</w:t>
      </w:r>
      <w:r w:rsidR="00FF75B1">
        <w:t>, post-PhD</w:t>
      </w:r>
      <w:r>
        <w:t xml:space="preserve"> adve</w:t>
      </w:r>
      <w:r w:rsidR="00120A22">
        <w:t>nture</w:t>
      </w:r>
      <w:r w:rsidR="00FF75B1">
        <w:t>,</w:t>
      </w:r>
      <w:r w:rsidR="00120A22">
        <w:t xml:space="preserve"> and all the amazing things to come!</w:t>
      </w:r>
    </w:p>
    <w:p w14:paraId="30E7A014" w14:textId="1EE7CEF6" w:rsidR="00784460" w:rsidRDefault="00120A22" w:rsidP="00784460">
      <w:pPr>
        <w:pStyle w:val="Figure"/>
        <w:jc w:val="center"/>
      </w:pPr>
      <w:r>
        <w:rPr>
          <w:noProof/>
          <w:lang w:eastAsia="en-GB"/>
        </w:rPr>
        <w:drawing>
          <wp:inline distT="0" distB="0" distL="0" distR="0" wp14:anchorId="6643BDBC" wp14:editId="3D6A1D74">
            <wp:extent cx="2861310" cy="3840147"/>
            <wp:effectExtent l="0" t="0" r="0" b="825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ChickenLooki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11396" cy="3907367"/>
                    </a:xfrm>
                    <a:prstGeom prst="rect">
                      <a:avLst/>
                    </a:prstGeom>
                  </pic:spPr>
                </pic:pic>
              </a:graphicData>
            </a:graphic>
          </wp:inline>
        </w:drawing>
      </w:r>
      <w:r w:rsidR="00784460">
        <w:rPr>
          <w:i/>
        </w:rPr>
        <w:br/>
      </w:r>
      <w:r>
        <w:rPr>
          <w:i/>
        </w:rPr>
        <w:t>Chicken Lookin’</w:t>
      </w:r>
      <w:r>
        <w:t xml:space="preserve"> by Alex Hawley</w:t>
      </w:r>
      <w:r w:rsidR="00784460">
        <w:br/>
        <w:t xml:space="preserve"> My very own motivational poster.</w:t>
      </w:r>
    </w:p>
    <w:p w14:paraId="152F7F27" w14:textId="77777777" w:rsidR="00961414" w:rsidRDefault="00961414" w:rsidP="00391005">
      <w:pPr>
        <w:pStyle w:val="ListParagraph"/>
        <w:sectPr w:rsidR="00961414" w:rsidSect="001B4326">
          <w:footerReference w:type="default" r:id="rId11"/>
          <w:pgSz w:w="11906" w:h="16838"/>
          <w:pgMar w:top="1134" w:right="1418" w:bottom="2268" w:left="2268" w:header="709" w:footer="1066" w:gutter="0"/>
          <w:pgNumType w:fmt="lowerRoman" w:start="1"/>
          <w:cols w:space="708"/>
          <w:docGrid w:linePitch="360"/>
        </w:sectPr>
      </w:pPr>
    </w:p>
    <w:p w14:paraId="5913E345" w14:textId="7E36CDCF" w:rsidR="00961414" w:rsidRDefault="00961414" w:rsidP="00FF3E5A">
      <w:pPr>
        <w:pStyle w:val="Intro"/>
        <w:numPr>
          <w:ilvl w:val="0"/>
          <w:numId w:val="0"/>
        </w:numPr>
        <w:ind w:left="431" w:hanging="431"/>
      </w:pPr>
      <w:bookmarkStart w:id="3" w:name="_Toc485721552"/>
      <w:bookmarkStart w:id="4" w:name="_Toc486787131"/>
      <w:bookmarkStart w:id="5" w:name="_Toc486787279"/>
      <w:r>
        <w:lastRenderedPageBreak/>
        <w:t>Declaration</w:t>
      </w:r>
      <w:bookmarkEnd w:id="3"/>
      <w:bookmarkEnd w:id="4"/>
      <w:bookmarkEnd w:id="5"/>
    </w:p>
    <w:p w14:paraId="4DBC39AC" w14:textId="19CF0039" w:rsidR="00391005" w:rsidRDefault="00F5693B" w:rsidP="00391005">
      <w:pPr>
        <w:pStyle w:val="ListParagraph"/>
      </w:pPr>
      <w:r>
        <w:rPr>
          <w:noProof/>
          <w:lang w:eastAsia="en-GB"/>
        </w:rPr>
        <w:drawing>
          <wp:anchor distT="0" distB="0" distL="114300" distR="114300" simplePos="0" relativeHeight="251658240" behindDoc="0" locked="0" layoutInCell="1" allowOverlap="1" wp14:anchorId="5193D8E0" wp14:editId="39D2DF04">
            <wp:simplePos x="0" y="0"/>
            <wp:positionH relativeFrom="column">
              <wp:posOffset>-154940</wp:posOffset>
            </wp:positionH>
            <wp:positionV relativeFrom="paragraph">
              <wp:posOffset>1137140</wp:posOffset>
            </wp:positionV>
            <wp:extent cx="2141220" cy="624840"/>
            <wp:effectExtent l="0" t="0" r="0" b="3810"/>
            <wp:wrapNone/>
            <wp:docPr id="8" name="Picture 8" descr="\\userfs\asm567\w2k\Desktop\s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fs\asm567\w2k\Desktop\sig.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41220" cy="624840"/>
                    </a:xfrm>
                    <a:prstGeom prst="rect">
                      <a:avLst/>
                    </a:prstGeom>
                    <a:noFill/>
                    <a:ln>
                      <a:noFill/>
                    </a:ln>
                  </pic:spPr>
                </pic:pic>
              </a:graphicData>
            </a:graphic>
            <wp14:sizeRelH relativeFrom="page">
              <wp14:pctWidth>0</wp14:pctWidth>
            </wp14:sizeRelH>
            <wp14:sizeRelV relativeFrom="page">
              <wp14:pctHeight>0</wp14:pctHeight>
            </wp14:sizeRelV>
          </wp:anchor>
        </w:drawing>
      </w:r>
      <w:r w:rsidR="00717352">
        <w:t>I declare that this thesis has been composed solely by myself, and that it has not been submitted, in whole or in part, in any previous application for a degree or other professional qualification.</w:t>
      </w:r>
      <w:r w:rsidR="00391005">
        <w:t xml:space="preserve"> Except where stated otherwise by reference or acknowledgement, the work presented is entirely my own.</w:t>
      </w:r>
    </w:p>
    <w:p w14:paraId="1E591061" w14:textId="09A4FEC8" w:rsidR="00391005" w:rsidRDefault="00391005" w:rsidP="00391005">
      <w:pPr>
        <w:pStyle w:val="ListParagraph"/>
      </w:pPr>
    </w:p>
    <w:p w14:paraId="62669638" w14:textId="4A2A9F63" w:rsidR="00AE0C7A" w:rsidRDefault="00AE0C7A" w:rsidP="00391005">
      <w:pPr>
        <w:pStyle w:val="ListParagraph"/>
      </w:pPr>
    </w:p>
    <w:p w14:paraId="70D1DC75" w14:textId="23C21C8C" w:rsidR="00961414" w:rsidRDefault="00C61DE8" w:rsidP="00391005">
      <w:pPr>
        <w:pStyle w:val="ListParagraph"/>
      </w:pPr>
      <w:r>
        <w:t>Andrew</w:t>
      </w:r>
      <w:r w:rsidR="00391005">
        <w:t xml:space="preserve"> Mason</w:t>
      </w:r>
    </w:p>
    <w:p w14:paraId="32E676F1" w14:textId="22C95646" w:rsidR="00391005" w:rsidRDefault="00391005" w:rsidP="00391005">
      <w:pPr>
        <w:pStyle w:val="ListParagraph"/>
      </w:pPr>
    </w:p>
    <w:p w14:paraId="3E35CA66" w14:textId="33683524" w:rsidR="00FF3E5A" w:rsidRDefault="00FF3E5A" w:rsidP="00391005">
      <w:pPr>
        <w:pStyle w:val="ListParagraph"/>
      </w:pPr>
    </w:p>
    <w:p w14:paraId="3FCB7DAB" w14:textId="38DED10E" w:rsidR="00FE2022" w:rsidRDefault="00FE2022" w:rsidP="00391005">
      <w:pPr>
        <w:pStyle w:val="ListParagraph"/>
      </w:pPr>
    </w:p>
    <w:p w14:paraId="5706DFD9" w14:textId="54B98FC2" w:rsidR="00FE2022" w:rsidRDefault="00FE2022" w:rsidP="00391005">
      <w:pPr>
        <w:pStyle w:val="ListParagraph"/>
      </w:pPr>
    </w:p>
    <w:p w14:paraId="6DCCEFCC" w14:textId="3CCE59DD" w:rsidR="00FE2022" w:rsidRDefault="00FE2022" w:rsidP="00391005">
      <w:pPr>
        <w:pStyle w:val="ListParagraph"/>
      </w:pPr>
    </w:p>
    <w:p w14:paraId="535A5836" w14:textId="794ACAAD" w:rsidR="00FE2022" w:rsidRDefault="00FE2022" w:rsidP="00391005">
      <w:pPr>
        <w:pStyle w:val="ListParagraph"/>
      </w:pPr>
    </w:p>
    <w:p w14:paraId="454E4F5A" w14:textId="757C0E77" w:rsidR="00FE2022" w:rsidRDefault="00FE2022" w:rsidP="00391005">
      <w:pPr>
        <w:pStyle w:val="ListParagraph"/>
      </w:pPr>
    </w:p>
    <w:p w14:paraId="3343F0C1" w14:textId="0A0C4C4A" w:rsidR="00FE2022" w:rsidRDefault="00FE2022" w:rsidP="00391005">
      <w:pPr>
        <w:pStyle w:val="ListParagraph"/>
      </w:pPr>
    </w:p>
    <w:p w14:paraId="14D77473" w14:textId="5A92EA67" w:rsidR="00FE2022" w:rsidRDefault="00FE2022" w:rsidP="00391005">
      <w:pPr>
        <w:pStyle w:val="ListParagraph"/>
      </w:pPr>
    </w:p>
    <w:p w14:paraId="51375A51" w14:textId="36441652" w:rsidR="00FE2022" w:rsidRDefault="00FE2022" w:rsidP="00391005">
      <w:pPr>
        <w:pStyle w:val="ListParagraph"/>
      </w:pPr>
    </w:p>
    <w:p w14:paraId="6D191CD5" w14:textId="72B0FD56" w:rsidR="00FE2022" w:rsidRDefault="00FE2022" w:rsidP="00391005">
      <w:pPr>
        <w:pStyle w:val="ListParagraph"/>
      </w:pPr>
    </w:p>
    <w:p w14:paraId="0AF3B5E5" w14:textId="50A13A77" w:rsidR="00FE2022" w:rsidRDefault="00FE2022" w:rsidP="00391005">
      <w:pPr>
        <w:pStyle w:val="ListParagraph"/>
      </w:pPr>
    </w:p>
    <w:p w14:paraId="544CC663" w14:textId="6C70AA6D" w:rsidR="00FE2022" w:rsidRDefault="00FE2022" w:rsidP="00391005">
      <w:pPr>
        <w:pStyle w:val="ListParagraph"/>
      </w:pPr>
    </w:p>
    <w:p w14:paraId="39470FEF" w14:textId="03598E64" w:rsidR="00FE2022" w:rsidRDefault="00FE2022" w:rsidP="00391005">
      <w:pPr>
        <w:pStyle w:val="ListParagraph"/>
      </w:pPr>
    </w:p>
    <w:p w14:paraId="1DB83DCA" w14:textId="5A545C1C" w:rsidR="00FE2022" w:rsidRDefault="00FE2022" w:rsidP="00391005">
      <w:pPr>
        <w:pStyle w:val="ListParagraph"/>
      </w:pPr>
    </w:p>
    <w:p w14:paraId="715E8D83" w14:textId="5C117DD8" w:rsidR="00FE2022" w:rsidRDefault="00FE2022" w:rsidP="00391005">
      <w:pPr>
        <w:pStyle w:val="ListParagraph"/>
      </w:pPr>
    </w:p>
    <w:p w14:paraId="2615B28B" w14:textId="77777777" w:rsidR="00FE2022" w:rsidRDefault="00FE2022" w:rsidP="00391005">
      <w:pPr>
        <w:pStyle w:val="ListParagraph"/>
      </w:pPr>
    </w:p>
    <w:p w14:paraId="74EECF91" w14:textId="77777777" w:rsidR="00961414" w:rsidRDefault="00961414" w:rsidP="00391005">
      <w:pPr>
        <w:pStyle w:val="ListParagraph"/>
        <w:sectPr w:rsidR="00961414" w:rsidSect="001B4326">
          <w:pgSz w:w="11906" w:h="16838"/>
          <w:pgMar w:top="1134" w:right="1418" w:bottom="2268" w:left="2268" w:header="709" w:footer="1066" w:gutter="0"/>
          <w:pgNumType w:fmt="lowerRoman"/>
          <w:cols w:space="708"/>
          <w:docGrid w:linePitch="360"/>
        </w:sectPr>
      </w:pPr>
    </w:p>
    <w:p w14:paraId="31E0B695" w14:textId="767FE771" w:rsidR="00961414" w:rsidRDefault="00961414" w:rsidP="00FF3E5A">
      <w:pPr>
        <w:pStyle w:val="Intro"/>
        <w:numPr>
          <w:ilvl w:val="0"/>
          <w:numId w:val="0"/>
        </w:numPr>
        <w:ind w:left="431" w:hanging="431"/>
      </w:pPr>
      <w:bookmarkStart w:id="6" w:name="_Toc485721553"/>
      <w:bookmarkStart w:id="7" w:name="_Toc486787132"/>
      <w:bookmarkStart w:id="8" w:name="_Toc486787280"/>
      <w:r>
        <w:lastRenderedPageBreak/>
        <w:t>Abstract</w:t>
      </w:r>
      <w:bookmarkEnd w:id="6"/>
      <w:bookmarkEnd w:id="7"/>
      <w:bookmarkEnd w:id="8"/>
    </w:p>
    <w:p w14:paraId="54556A45" w14:textId="700570A3" w:rsidR="00C61DE8" w:rsidRDefault="00C61DE8" w:rsidP="006F2DBD">
      <w:pPr>
        <w:pStyle w:val="ListParagraph"/>
      </w:pPr>
      <w:r>
        <w:t>Long terminal repeat (LTR) r</w:t>
      </w:r>
      <w:r w:rsidR="008F54DE">
        <w:t>etrotransposons are autonomous e</w:t>
      </w:r>
      <w:r>
        <w:t>ukaryotic repetitive elements which</w:t>
      </w:r>
      <w:r w:rsidR="008F54DE">
        <w:t xml:space="preserve"> may</w:t>
      </w:r>
      <w:r>
        <w:t xml:space="preserve"> elicit prolonged genomic and immunological stress on their host organism. LTR retrotransposons comprise approximately 10 % of the mammalian genome, but previous work identified only 1.35 % of the chicken genom</w:t>
      </w:r>
      <w:r w:rsidR="00CB4CA0">
        <w:t>e as LTR retrotransposon</w:t>
      </w:r>
      <w:r>
        <w:t xml:space="preserve"> sequence. </w:t>
      </w:r>
      <w:r w:rsidR="00482646">
        <w:t>This deficit appears</w:t>
      </w:r>
      <w:r w:rsidR="00CB4CA0">
        <w:t xml:space="preserve"> inconsistent across birds, as studied Neoaves have contents comparable with mammals, although all birds contain only one LTR retrotransposon class: endogenous retroviruses (ERVs). One group of chicken-specific ERVs (Avian Leukosis Virus subgroup E; ALVEs) remain active and have been linked to commercially detrimental phenotypes, such as reduced lifetime egg count, but </w:t>
      </w:r>
      <w:r w:rsidR="00482646">
        <w:t xml:space="preserve">their </w:t>
      </w:r>
      <w:r w:rsidR="00CB4CA0">
        <w:t>full</w:t>
      </w:r>
      <w:r w:rsidR="00482646">
        <w:t xml:space="preserve"> diversity and</w:t>
      </w:r>
      <w:r w:rsidR="00CB4CA0">
        <w:t xml:space="preserve"> range of phenotypic effects are poorly understood.</w:t>
      </w:r>
    </w:p>
    <w:p w14:paraId="1958E2D2" w14:textId="46154D79" w:rsidR="00482646" w:rsidRDefault="006F2DBD" w:rsidP="006F2DBD">
      <w:pPr>
        <w:pStyle w:val="ListParagraph"/>
      </w:pPr>
      <w:r>
        <w:t>A novel identification pipeline, LocaT</w:t>
      </w:r>
      <w:r w:rsidR="00482646">
        <w:t>R, was developed to identify LTR retrotransposon</w:t>
      </w:r>
      <w:r>
        <w:t xml:space="preserve"> sequence</w:t>
      </w:r>
      <w:r w:rsidR="00482646">
        <w:t>s</w:t>
      </w:r>
      <w:r>
        <w:t xml:space="preserve"> in the chicken genome. This enabled the annotation of 3.01 % of the genome, including 1,073 </w:t>
      </w:r>
      <w:r w:rsidR="00CB010F">
        <w:t xml:space="preserve">structurally </w:t>
      </w:r>
      <w:r>
        <w:t>intact elements with replica</w:t>
      </w:r>
      <w:r w:rsidR="00482646">
        <w:t>tive potential. Elements we</w:t>
      </w:r>
      <w:r w:rsidR="00CB010F">
        <w:t xml:space="preserve">re </w:t>
      </w:r>
      <w:r>
        <w:t>depleted within coding regions, and over 40 % of intact elements were found in clusters in gene sparse, poorly r</w:t>
      </w:r>
      <w:r w:rsidR="00482646">
        <w:t>ecombining regions</w:t>
      </w:r>
      <w:r>
        <w:t>. RN</w:t>
      </w:r>
      <w:r w:rsidR="00482646">
        <w:t>Aseq analysis showed that</w:t>
      </w:r>
      <w:r>
        <w:t xml:space="preserve"> elements were generally not expressed, but </w:t>
      </w:r>
      <w:r w:rsidR="00482646">
        <w:t xml:space="preserve">intact </w:t>
      </w:r>
      <w:r>
        <w:t>transcri</w:t>
      </w:r>
      <w:r w:rsidR="00CB010F">
        <w:t>pts were identified in four</w:t>
      </w:r>
      <w:r>
        <w:t xml:space="preserve"> cases, supporting the potential for viral recombination and retrotransposition of non-autonomous repeats. </w:t>
      </w:r>
      <w:r w:rsidR="00444F2B">
        <w:t>LocaTR analysis of seventy-two additional</w:t>
      </w:r>
      <w:r w:rsidR="00482646">
        <w:t xml:space="preserve"> sauropsid genomes revealed highly lineage-specific repeat content, and did not support the proposed deficit in Galliformes.</w:t>
      </w:r>
    </w:p>
    <w:p w14:paraId="058746C6" w14:textId="17AF8F15" w:rsidR="006F2DBD" w:rsidRDefault="006F2DBD" w:rsidP="006F2DBD">
      <w:pPr>
        <w:pStyle w:val="ListParagraph"/>
      </w:pPr>
      <w:r>
        <w:t xml:space="preserve">A second, novel bioinformatic pipeline was constructed to identify ALVE insertions in </w:t>
      </w:r>
      <w:r w:rsidR="00CB010F">
        <w:t>whole genome</w:t>
      </w:r>
      <w:r w:rsidR="00482646">
        <w:t xml:space="preserve"> </w:t>
      </w:r>
      <w:r w:rsidR="00CB010F">
        <w:t>re</w:t>
      </w:r>
      <w:r w:rsidR="00482646">
        <w:t>sequencing data and</w:t>
      </w:r>
      <w:r>
        <w:t xml:space="preserve"> was applied to eight elite layer lines </w:t>
      </w:r>
      <w:r w:rsidR="00482646">
        <w:t xml:space="preserve">from Hy-Line International. Twenty ALVEs were identified and diagnostic assays were developed to validate the bioinformatic approach. </w:t>
      </w:r>
      <w:r>
        <w:t>Each ALVE was sequenced and characterised, with many exhibiting high structural intactness. In addition, a K locus revertant line was identified due to the unexpected presence of ALVE21, confirmed using BioNano optic maps. The ALVE identification pipeline was then applied to ninety chicken lines and 322 different ALVEs were identified, 81 % of which were novel. Overall, broilers and non-commercial chickens had a greater number of ALVEs than were found in layers.</w:t>
      </w:r>
    </w:p>
    <w:p w14:paraId="6078E24B" w14:textId="6F9F70F9" w:rsidR="00961414" w:rsidRDefault="006F2DBD" w:rsidP="006F2DBD">
      <w:pPr>
        <w:pStyle w:val="ListParagraph"/>
      </w:pPr>
      <w:r>
        <w:t>Taken together, these two analyses have enabled a thorough characterisation of both the abundance and diversity of chicken ERVs.</w:t>
      </w:r>
    </w:p>
    <w:p w14:paraId="52BE0082" w14:textId="77777777" w:rsidR="00FE2022" w:rsidRDefault="00FE2022" w:rsidP="006F2DBD">
      <w:pPr>
        <w:pStyle w:val="ListParagraph"/>
      </w:pPr>
    </w:p>
    <w:p w14:paraId="5CEA6A19" w14:textId="4CCDEEDF" w:rsidR="00961414" w:rsidRDefault="00961414" w:rsidP="00391005">
      <w:pPr>
        <w:pStyle w:val="ListParagraph"/>
        <w:sectPr w:rsidR="00961414" w:rsidSect="001B4326">
          <w:pgSz w:w="11906" w:h="16838"/>
          <w:pgMar w:top="1134" w:right="1418" w:bottom="2268" w:left="2268" w:header="709" w:footer="1066" w:gutter="0"/>
          <w:pgNumType w:fmt="lowerRoman"/>
          <w:cols w:space="708"/>
          <w:docGrid w:linePitch="360"/>
        </w:sectPr>
      </w:pPr>
    </w:p>
    <w:p w14:paraId="2D60A551" w14:textId="7785DC08" w:rsidR="00391005" w:rsidRDefault="00391005" w:rsidP="00FF3E5A">
      <w:pPr>
        <w:pStyle w:val="Intro"/>
        <w:numPr>
          <w:ilvl w:val="0"/>
          <w:numId w:val="0"/>
        </w:numPr>
        <w:ind w:left="431" w:hanging="431"/>
      </w:pPr>
      <w:bookmarkStart w:id="9" w:name="_Toc486787133"/>
      <w:bookmarkStart w:id="10" w:name="_Toc486787281"/>
      <w:bookmarkStart w:id="11" w:name="_Toc485721554"/>
      <w:r>
        <w:lastRenderedPageBreak/>
        <w:t>Lay Summary</w:t>
      </w:r>
      <w:bookmarkEnd w:id="9"/>
      <w:bookmarkEnd w:id="10"/>
    </w:p>
    <w:p w14:paraId="600DF053" w14:textId="3968E27D" w:rsidR="00D81B00" w:rsidRDefault="0087182C" w:rsidP="00391005">
      <w:pPr>
        <w:pStyle w:val="ListParagraph"/>
      </w:pPr>
      <w:r>
        <w:t xml:space="preserve">Retroviruses are a group of viruses which are unable to replicate themselves. Instead, during infection, these viruses insert their own genetic material into host cell DNA (the genome) where it is then replicated, producing more virus. Depending on the insertion site, these viruses can disrupt </w:t>
      </w:r>
      <w:r w:rsidR="00D81B00">
        <w:t xml:space="preserve">host </w:t>
      </w:r>
      <w:r>
        <w:t xml:space="preserve">gene function, which can lead to cancer. </w:t>
      </w:r>
      <w:r w:rsidR="00D81B00">
        <w:t xml:space="preserve">Furthermore, these insertions can elicit generational effects. </w:t>
      </w:r>
      <w:r>
        <w:t>If a retrovirus inserts within the DNA of a sperm or egg cell, the retrovirus will be passed on to the next generation</w:t>
      </w:r>
      <w:r w:rsidR="00D81B00">
        <w:t xml:space="preserve"> as an endogenous retrovirus</w:t>
      </w:r>
      <w:r>
        <w:t xml:space="preserve"> (ERV), and will be present in every cell of the offspring. </w:t>
      </w:r>
    </w:p>
    <w:p w14:paraId="1C7DAFD1" w14:textId="2AAF6E3E" w:rsidR="0087182C" w:rsidRDefault="0087182C" w:rsidP="00391005">
      <w:pPr>
        <w:pStyle w:val="ListParagraph"/>
      </w:pPr>
      <w:r>
        <w:t xml:space="preserve">In mammals, approximately 10 % of the </w:t>
      </w:r>
      <w:r w:rsidR="009576C8">
        <w:t>genome consists of ERVs</w:t>
      </w:r>
      <w:r>
        <w:t xml:space="preserve">. However, in the </w:t>
      </w:r>
      <w:r w:rsidR="00D81B00">
        <w:t xml:space="preserve">chicken only 1.35 % of genome is derived from ERVs, even though other birds have levels equivalent to mammals when differences in genome size are considered. Despite this apparent deficit of ERVs, a chicken-specific ERV group, the ALVEs, </w:t>
      </w:r>
      <w:r w:rsidR="009576C8">
        <w:t>is</w:t>
      </w:r>
      <w:r w:rsidR="00D81B00">
        <w:t xml:space="preserve"> known to induce </w:t>
      </w:r>
      <w:r w:rsidR="00743DF0">
        <w:t xml:space="preserve">tumours and inhibit </w:t>
      </w:r>
      <w:r w:rsidR="009576C8">
        <w:t>productivity</w:t>
      </w:r>
      <w:r w:rsidR="00743DF0">
        <w:t xml:space="preserve"> in commercial flocks.</w:t>
      </w:r>
      <w:r w:rsidR="00D81B00">
        <w:t xml:space="preserve"> </w:t>
      </w:r>
      <w:r w:rsidR="00743DF0">
        <w:t>This PhD project sought to perform a better annotation of ERVs in the chicken and other birds, characterise ALVEs in commercial flocks, and more fully identify ALVE diversity across chickens.</w:t>
      </w:r>
    </w:p>
    <w:p w14:paraId="19168BD2" w14:textId="105DDAD1" w:rsidR="00743DF0" w:rsidRDefault="00C33597" w:rsidP="00391005">
      <w:pPr>
        <w:pStyle w:val="ListParagraph"/>
      </w:pPr>
      <w:r>
        <w:t>A new annotation pipeline, LocaTR, was developed to identify ERVs in genome sequence. This pipeline was used to annotate ERVs in sixty-seven bird species, including chicken, and six reptile outgroups</w:t>
      </w:r>
      <w:r w:rsidR="009576C8">
        <w:t>. T</w:t>
      </w:r>
      <w:r>
        <w:t xml:space="preserve">he previously identified ERV content in chickens </w:t>
      </w:r>
      <w:r w:rsidR="009576C8">
        <w:t xml:space="preserve">was almost doubled </w:t>
      </w:r>
      <w:r>
        <w:t xml:space="preserve">and </w:t>
      </w:r>
      <w:r w:rsidR="009576C8">
        <w:t xml:space="preserve">the lineage analysis </w:t>
      </w:r>
      <w:r>
        <w:t xml:space="preserve">did not support the previously proposed deficit of </w:t>
      </w:r>
      <w:r w:rsidR="00397D20">
        <w:t>ERVs</w:t>
      </w:r>
      <w:r>
        <w:t xml:space="preserve"> in the chicken com</w:t>
      </w:r>
      <w:r w:rsidR="009576C8">
        <w:t>pared to other birds</w:t>
      </w:r>
      <w:r>
        <w:t xml:space="preserve">. Chicken ERV distribution and intactness was assessed to predict their effects on the host. Most ERVs were ancient and highly degraded, but 1,073 structurally intact ERVs were identified. </w:t>
      </w:r>
    </w:p>
    <w:p w14:paraId="4C9005FB" w14:textId="4C39F168" w:rsidR="00C33597" w:rsidRDefault="00C33597" w:rsidP="00391005">
      <w:pPr>
        <w:pStyle w:val="ListParagraph"/>
      </w:pPr>
      <w:r>
        <w:t xml:space="preserve">A further ALVE identification pipeline was developed to identify novel ALVE insertions in eight elite layer lines from Hy-Line International. Twenty different ALVEs were identified, diagnostic tests were developed, and </w:t>
      </w:r>
      <w:r w:rsidR="009576C8">
        <w:t xml:space="preserve">each insert was sequenced and characterised. Many of the inserts remain highly intact supporting a continued influence on chicken biology. Analysis of ninety additional datasets identified over three hundred ALVEs, 81 % of which were novel to this study. </w:t>
      </w:r>
    </w:p>
    <w:p w14:paraId="5D5C3397" w14:textId="2631EC4A" w:rsidR="00391005" w:rsidRDefault="009576C8" w:rsidP="00391005">
      <w:pPr>
        <w:pStyle w:val="ListParagraph"/>
      </w:pPr>
      <w:r>
        <w:t xml:space="preserve">This PhD project has enabled a thorough characterisation of chicken ERVs, and the two pipelines are applicable to other </w:t>
      </w:r>
      <w:r w:rsidR="00397D20">
        <w:t>research, such as viral-induced cancer</w:t>
      </w:r>
      <w:r>
        <w:t>s in humans.</w:t>
      </w:r>
    </w:p>
    <w:p w14:paraId="64428B01" w14:textId="6B0367C7" w:rsidR="00FE2022" w:rsidRDefault="00FE2022" w:rsidP="00391005">
      <w:pPr>
        <w:pStyle w:val="ListParagraph"/>
      </w:pPr>
    </w:p>
    <w:p w14:paraId="7CB11BB3" w14:textId="77777777" w:rsidR="00FE2022" w:rsidRDefault="00FE2022" w:rsidP="00391005">
      <w:pPr>
        <w:pStyle w:val="ListParagraph"/>
        <w:sectPr w:rsidR="00FE2022" w:rsidSect="001B4326">
          <w:pgSz w:w="11906" w:h="16838"/>
          <w:pgMar w:top="1134" w:right="1418" w:bottom="2268" w:left="2268" w:header="709" w:footer="1066" w:gutter="0"/>
          <w:pgNumType w:fmt="lowerRoman"/>
          <w:cols w:space="708"/>
          <w:docGrid w:linePitch="360"/>
        </w:sectPr>
      </w:pPr>
    </w:p>
    <w:p w14:paraId="2E3C10D0" w14:textId="118E8AC9" w:rsidR="00961414" w:rsidRDefault="00961414" w:rsidP="00FF3E5A">
      <w:pPr>
        <w:pStyle w:val="Intro"/>
        <w:numPr>
          <w:ilvl w:val="0"/>
          <w:numId w:val="0"/>
        </w:numPr>
        <w:ind w:left="431" w:hanging="431"/>
      </w:pPr>
      <w:bookmarkStart w:id="12" w:name="_Toc486787134"/>
      <w:bookmarkStart w:id="13" w:name="_Toc486787282"/>
      <w:r>
        <w:lastRenderedPageBreak/>
        <w:t>List of Abbreviations</w:t>
      </w:r>
      <w:bookmarkEnd w:id="11"/>
      <w:bookmarkEnd w:id="12"/>
      <w:bookmarkEnd w:id="13"/>
    </w:p>
    <w:p w14:paraId="1D17161E" w14:textId="009B219C" w:rsidR="00775B3E" w:rsidRDefault="00775B3E" w:rsidP="006F2DBD">
      <w:pPr>
        <w:pStyle w:val="ListParagraph"/>
        <w:spacing w:before="0" w:after="0" w:line="276" w:lineRule="auto"/>
      </w:pPr>
      <w:r>
        <w:t>ADOL</w:t>
      </w:r>
      <w:r>
        <w:tab/>
      </w:r>
      <w:r>
        <w:tab/>
        <w:t>Avian Disease and Oncology Laboratory</w:t>
      </w:r>
    </w:p>
    <w:p w14:paraId="19B83E77" w14:textId="39A000F0" w:rsidR="00775B3E" w:rsidRDefault="00775B3E" w:rsidP="006F2DBD">
      <w:pPr>
        <w:pStyle w:val="ListParagraph"/>
        <w:spacing w:before="0" w:after="0" w:line="276" w:lineRule="auto"/>
      </w:pPr>
      <w:r>
        <w:t>ALV</w:t>
      </w:r>
      <w:r>
        <w:tab/>
      </w:r>
      <w:r>
        <w:tab/>
        <w:t>avian leukosis virus</w:t>
      </w:r>
    </w:p>
    <w:p w14:paraId="4C410C3C" w14:textId="55BD9912" w:rsidR="00775B3E" w:rsidRDefault="00775B3E" w:rsidP="006F2DBD">
      <w:pPr>
        <w:pStyle w:val="ListParagraph"/>
        <w:spacing w:before="0" w:after="0" w:line="276" w:lineRule="auto"/>
      </w:pPr>
      <w:r>
        <w:t>ALVE</w:t>
      </w:r>
      <w:r>
        <w:tab/>
      </w:r>
      <w:r>
        <w:tab/>
        <w:t>avian leukosis virus subgroup E</w:t>
      </w:r>
    </w:p>
    <w:p w14:paraId="767F2BB1" w14:textId="77777777" w:rsidR="00775B3E" w:rsidRDefault="00775B3E" w:rsidP="006F2DBD">
      <w:pPr>
        <w:pStyle w:val="ListParagraph"/>
        <w:spacing w:before="0" w:after="0" w:line="276" w:lineRule="auto"/>
      </w:pPr>
      <w:r>
        <w:t>ART-CH</w:t>
      </w:r>
      <w:r>
        <w:tab/>
        <w:t>avian retrotransposon in chicken</w:t>
      </w:r>
    </w:p>
    <w:p w14:paraId="07BC1399" w14:textId="286ECA27" w:rsidR="00775B3E" w:rsidRDefault="00775B3E" w:rsidP="006F2DBD">
      <w:pPr>
        <w:pStyle w:val="ListParagraph"/>
        <w:spacing w:before="0" w:after="0" w:line="276" w:lineRule="auto"/>
      </w:pPr>
      <w:r>
        <w:t>ASLV</w:t>
      </w:r>
      <w:r>
        <w:tab/>
      </w:r>
      <w:r>
        <w:tab/>
        <w:t>avian sarcoma leukosis virus</w:t>
      </w:r>
    </w:p>
    <w:p w14:paraId="55489671" w14:textId="73B22727" w:rsidR="00775B3E" w:rsidRDefault="00775B3E" w:rsidP="006F2DBD">
      <w:pPr>
        <w:pStyle w:val="ListParagraph"/>
        <w:spacing w:before="0" w:after="0" w:line="276" w:lineRule="auto"/>
      </w:pPr>
      <w:r>
        <w:t>BAM</w:t>
      </w:r>
      <w:r>
        <w:tab/>
      </w:r>
      <w:r>
        <w:tab/>
        <w:t>binary alignment map</w:t>
      </w:r>
    </w:p>
    <w:p w14:paraId="5CC0604A" w14:textId="5AD3A01A" w:rsidR="00775B3E" w:rsidRDefault="00775B3E" w:rsidP="006F2DBD">
      <w:pPr>
        <w:pStyle w:val="ListParagraph"/>
        <w:spacing w:before="0" w:after="0" w:line="276" w:lineRule="auto"/>
      </w:pPr>
      <w:r>
        <w:t>BASH</w:t>
      </w:r>
      <w:r>
        <w:tab/>
      </w:r>
      <w:r>
        <w:tab/>
        <w:t>Bourne again shell</w:t>
      </w:r>
    </w:p>
    <w:p w14:paraId="5B3ADEA8" w14:textId="5F755C0D" w:rsidR="00775B3E" w:rsidRDefault="00775B3E" w:rsidP="006F2DBD">
      <w:pPr>
        <w:pStyle w:val="ListParagraph"/>
        <w:spacing w:before="0" w:after="0" w:line="276" w:lineRule="auto"/>
      </w:pPr>
      <w:r>
        <w:t>BEL</w:t>
      </w:r>
      <w:r>
        <w:tab/>
      </w:r>
      <w:r>
        <w:tab/>
        <w:t>brown egg layers</w:t>
      </w:r>
    </w:p>
    <w:p w14:paraId="7C7CC2D2" w14:textId="2F7FC029" w:rsidR="00775B3E" w:rsidRDefault="00775B3E" w:rsidP="006F2DBD">
      <w:pPr>
        <w:pStyle w:val="ListParagraph"/>
        <w:spacing w:before="0" w:after="0" w:line="276" w:lineRule="auto"/>
      </w:pPr>
      <w:r>
        <w:t>BL</w:t>
      </w:r>
      <w:r>
        <w:tab/>
      </w:r>
      <w:r>
        <w:tab/>
        <w:t>Brown Leghorn</w:t>
      </w:r>
    </w:p>
    <w:p w14:paraId="594AF2CA" w14:textId="77777777" w:rsidR="00775B3E" w:rsidRDefault="00775B3E" w:rsidP="006F2DBD">
      <w:pPr>
        <w:pStyle w:val="ListParagraph"/>
        <w:spacing w:before="0" w:after="0" w:line="276" w:lineRule="auto"/>
      </w:pPr>
      <w:r>
        <w:t>BLASR</w:t>
      </w:r>
      <w:r>
        <w:tab/>
        <w:t>basic local alignment with successive refinement</w:t>
      </w:r>
    </w:p>
    <w:p w14:paraId="2B511D01" w14:textId="77777777" w:rsidR="00775B3E" w:rsidRDefault="00775B3E" w:rsidP="006F2DBD">
      <w:pPr>
        <w:pStyle w:val="ListParagraph"/>
        <w:spacing w:before="0" w:after="0" w:line="276" w:lineRule="auto"/>
      </w:pPr>
      <w:r>
        <w:t>BLAST</w:t>
      </w:r>
      <w:r>
        <w:tab/>
        <w:t>basic local alignment search tool</w:t>
      </w:r>
    </w:p>
    <w:p w14:paraId="61D27F3C" w14:textId="4B416E64" w:rsidR="00775B3E" w:rsidRDefault="00775B3E" w:rsidP="006F2DBD">
      <w:pPr>
        <w:pStyle w:val="ListParagraph"/>
        <w:spacing w:before="0" w:after="0" w:line="276" w:lineRule="auto"/>
      </w:pPr>
      <w:r>
        <w:t>BLV</w:t>
      </w:r>
      <w:r>
        <w:tab/>
      </w:r>
      <w:r>
        <w:tab/>
        <w:t>bovine Leukaemia virus</w:t>
      </w:r>
    </w:p>
    <w:p w14:paraId="636812C3" w14:textId="7F6C72C5" w:rsidR="00775B3E" w:rsidRDefault="00775B3E" w:rsidP="006F2DBD">
      <w:pPr>
        <w:pStyle w:val="ListParagraph"/>
        <w:spacing w:before="0" w:after="0" w:line="276" w:lineRule="auto"/>
      </w:pPr>
      <w:r>
        <w:t>bp</w:t>
      </w:r>
      <w:r>
        <w:tab/>
      </w:r>
      <w:r>
        <w:tab/>
        <w:t>base pairs</w:t>
      </w:r>
    </w:p>
    <w:p w14:paraId="2AA4A73F" w14:textId="3716A9D3" w:rsidR="00775B3E" w:rsidRDefault="00775B3E" w:rsidP="006F2DBD">
      <w:pPr>
        <w:pStyle w:val="ListParagraph"/>
        <w:spacing w:before="0" w:after="0" w:line="276" w:lineRule="auto"/>
      </w:pPr>
      <w:r>
        <w:t>BWA</w:t>
      </w:r>
      <w:r>
        <w:tab/>
      </w:r>
      <w:r>
        <w:tab/>
        <w:t>Burrows-Wheeler aligner</w:t>
      </w:r>
    </w:p>
    <w:p w14:paraId="09B0DEA7" w14:textId="28C317C7" w:rsidR="00775B3E" w:rsidRDefault="00775B3E" w:rsidP="006F2DBD">
      <w:pPr>
        <w:pStyle w:val="ListParagraph"/>
        <w:spacing w:before="0" w:after="0" w:line="276" w:lineRule="auto"/>
      </w:pPr>
      <w:r>
        <w:t>CB</w:t>
      </w:r>
      <w:r w:rsidR="005B1D4A">
        <w:t>CS</w:t>
      </w:r>
      <w:r w:rsidR="005B1D4A">
        <w:tab/>
      </w:r>
      <w:r w:rsidR="005B1D4A">
        <w:tab/>
        <w:t>C</w:t>
      </w:r>
      <w:r>
        <w:t>ot-based cloning and sequencing</w:t>
      </w:r>
    </w:p>
    <w:p w14:paraId="615A5A13" w14:textId="52710DE8" w:rsidR="00775B3E" w:rsidRDefault="00775B3E" w:rsidP="006F2DBD">
      <w:pPr>
        <w:pStyle w:val="ListParagraph"/>
        <w:spacing w:before="0" w:after="0" w:line="276" w:lineRule="auto"/>
      </w:pPr>
      <w:r>
        <w:t>cDNA</w:t>
      </w:r>
      <w:r>
        <w:tab/>
      </w:r>
      <w:r>
        <w:tab/>
        <w:t>complementary deoxyribonucleic acid</w:t>
      </w:r>
    </w:p>
    <w:p w14:paraId="623E6796" w14:textId="6E15B440" w:rsidR="00775B3E" w:rsidRDefault="00775B3E" w:rsidP="006F2DBD">
      <w:pPr>
        <w:pStyle w:val="ListParagraph"/>
        <w:spacing w:before="0" w:after="0" w:line="276" w:lineRule="auto"/>
      </w:pPr>
      <w:r>
        <w:t>ChIP</w:t>
      </w:r>
      <w:r>
        <w:tab/>
      </w:r>
      <w:r>
        <w:tab/>
        <w:t>chromatin immunoprecipitation</w:t>
      </w:r>
    </w:p>
    <w:p w14:paraId="51B0F036" w14:textId="02A67A5A" w:rsidR="00836DD5" w:rsidRDefault="00836DD5" w:rsidP="006F2DBD">
      <w:pPr>
        <w:pStyle w:val="ListParagraph"/>
        <w:spacing w:before="0" w:after="0" w:line="276" w:lineRule="auto"/>
      </w:pPr>
      <w:r>
        <w:t>CIGAR</w:t>
      </w:r>
      <w:r>
        <w:tab/>
        <w:t>compact idiosyncratic gapped alignment report</w:t>
      </w:r>
    </w:p>
    <w:p w14:paraId="0F18D9C9" w14:textId="7828487F" w:rsidR="00775B3E" w:rsidRDefault="00775B3E" w:rsidP="006F2DBD">
      <w:pPr>
        <w:pStyle w:val="ListParagraph"/>
        <w:spacing w:before="0" w:after="0" w:line="276" w:lineRule="auto"/>
      </w:pPr>
      <w:r>
        <w:t>cM</w:t>
      </w:r>
      <w:r>
        <w:tab/>
      </w:r>
      <w:r>
        <w:tab/>
        <w:t>centimorgans</w:t>
      </w:r>
    </w:p>
    <w:p w14:paraId="3C722434" w14:textId="6DCF345F" w:rsidR="00885125" w:rsidRDefault="00885125" w:rsidP="006F2DBD">
      <w:pPr>
        <w:pStyle w:val="ListParagraph"/>
        <w:spacing w:before="0" w:after="0" w:line="276" w:lineRule="auto"/>
      </w:pPr>
      <w:r>
        <w:t>CMAP</w:t>
      </w:r>
      <w:r>
        <w:tab/>
      </w:r>
      <w:r>
        <w:tab/>
        <w:t>consensus map</w:t>
      </w:r>
    </w:p>
    <w:p w14:paraId="4767A3E6" w14:textId="5F2EE6AB" w:rsidR="00775B3E" w:rsidRDefault="00775B3E" w:rsidP="006F2DBD">
      <w:pPr>
        <w:pStyle w:val="ListParagraph"/>
        <w:spacing w:before="0" w:after="0" w:line="276" w:lineRule="auto"/>
      </w:pPr>
      <w:r>
        <w:t>CNV</w:t>
      </w:r>
      <w:r>
        <w:tab/>
      </w:r>
      <w:r>
        <w:tab/>
        <w:t>copy number variant</w:t>
      </w:r>
    </w:p>
    <w:p w14:paraId="6E078B04" w14:textId="0B2BB57A" w:rsidR="00775B3E" w:rsidRDefault="00775B3E" w:rsidP="006F2DBD">
      <w:pPr>
        <w:pStyle w:val="ListParagraph"/>
        <w:spacing w:before="0" w:after="0" w:line="276" w:lineRule="auto"/>
      </w:pPr>
      <w:r>
        <w:t>CR1</w:t>
      </w:r>
      <w:r>
        <w:tab/>
      </w:r>
      <w:r>
        <w:tab/>
        <w:t>chicken repeat 1</w:t>
      </w:r>
    </w:p>
    <w:p w14:paraId="326CF7D7" w14:textId="77777777" w:rsidR="00775B3E" w:rsidRDefault="00775B3E" w:rsidP="006F2DBD">
      <w:pPr>
        <w:pStyle w:val="ListParagraph"/>
        <w:spacing w:before="0" w:after="0" w:line="276" w:lineRule="auto"/>
      </w:pPr>
      <w:r>
        <w:t>CRISPR</w:t>
      </w:r>
      <w:r>
        <w:tab/>
        <w:t>clustered regularly interspaced short palindromic repeats</w:t>
      </w:r>
    </w:p>
    <w:p w14:paraId="196CAF6D" w14:textId="0706D3C2" w:rsidR="00775B3E" w:rsidRDefault="00775B3E" w:rsidP="006F2DBD">
      <w:pPr>
        <w:pStyle w:val="ListParagraph"/>
        <w:spacing w:before="0" w:after="0" w:line="276" w:lineRule="auto"/>
      </w:pPr>
      <w:r>
        <w:t>CSV</w:t>
      </w:r>
      <w:r>
        <w:tab/>
      </w:r>
      <w:r>
        <w:tab/>
        <w:t>chicken syncytial virus</w:t>
      </w:r>
    </w:p>
    <w:p w14:paraId="7992A489" w14:textId="5C1E6039" w:rsidR="00775B3E" w:rsidRDefault="00775B3E" w:rsidP="006F2DBD">
      <w:pPr>
        <w:pStyle w:val="ListParagraph"/>
        <w:spacing w:before="0" w:after="0" w:line="276" w:lineRule="auto"/>
      </w:pPr>
      <w:r>
        <w:t>DDBJ</w:t>
      </w:r>
      <w:r>
        <w:tab/>
      </w:r>
      <w:r>
        <w:tab/>
        <w:t>DNA Data Bank of Japan</w:t>
      </w:r>
    </w:p>
    <w:p w14:paraId="09BF27F7" w14:textId="5F8B1203" w:rsidR="00775B3E" w:rsidRDefault="00775B3E" w:rsidP="006F2DBD">
      <w:pPr>
        <w:pStyle w:val="ListParagraph"/>
        <w:spacing w:before="0" w:after="0" w:line="276" w:lineRule="auto"/>
      </w:pPr>
      <w:r>
        <w:t>DEPS</w:t>
      </w:r>
      <w:r>
        <w:tab/>
      </w:r>
      <w:r>
        <w:tab/>
        <w:t>Directional Evolution in Protein Sequences</w:t>
      </w:r>
    </w:p>
    <w:p w14:paraId="056CDC84" w14:textId="41376983" w:rsidR="00775B3E" w:rsidRDefault="00775B3E" w:rsidP="006F2DBD">
      <w:pPr>
        <w:pStyle w:val="ListParagraph"/>
        <w:spacing w:before="0" w:after="0" w:line="276" w:lineRule="auto"/>
      </w:pPr>
      <w:r>
        <w:t>DFE</w:t>
      </w:r>
      <w:r>
        <w:tab/>
      </w:r>
      <w:r>
        <w:tab/>
        <w:t>distribution of fitness effects</w:t>
      </w:r>
    </w:p>
    <w:p w14:paraId="3C5466C1" w14:textId="25ABD1D1" w:rsidR="00775B3E" w:rsidRDefault="00775B3E" w:rsidP="006F2DBD">
      <w:pPr>
        <w:pStyle w:val="ListParagraph"/>
        <w:spacing w:before="0" w:after="0" w:line="276" w:lineRule="auto"/>
      </w:pPr>
      <w:r>
        <w:t>DIRS</w:t>
      </w:r>
      <w:r>
        <w:tab/>
      </w:r>
      <w:r>
        <w:tab/>
        <w:t>Dictyostelium intermediate repeat sequence</w:t>
      </w:r>
    </w:p>
    <w:p w14:paraId="0CF6D9CD" w14:textId="38B59116" w:rsidR="00775B3E" w:rsidRDefault="00775B3E" w:rsidP="006F2DBD">
      <w:pPr>
        <w:pStyle w:val="ListParagraph"/>
        <w:spacing w:before="0" w:after="0" w:line="276" w:lineRule="auto"/>
      </w:pPr>
      <w:r>
        <w:t>dN</w:t>
      </w:r>
      <w:r>
        <w:tab/>
      </w:r>
      <w:r>
        <w:tab/>
        <w:t>number of non-synonymous substitutions per non-synonymous site</w:t>
      </w:r>
    </w:p>
    <w:p w14:paraId="750E3F39" w14:textId="6FFEA6C1" w:rsidR="00775B3E" w:rsidRDefault="00775B3E" w:rsidP="006F2DBD">
      <w:pPr>
        <w:pStyle w:val="ListParagraph"/>
        <w:spacing w:before="0" w:after="0" w:line="276" w:lineRule="auto"/>
      </w:pPr>
      <w:r>
        <w:t>DNA</w:t>
      </w:r>
      <w:r>
        <w:tab/>
      </w:r>
      <w:r>
        <w:tab/>
        <w:t>deoxyribonucleic acid</w:t>
      </w:r>
    </w:p>
    <w:p w14:paraId="3E9C5EED" w14:textId="27732643" w:rsidR="00775B3E" w:rsidRDefault="00775B3E" w:rsidP="006F2DBD">
      <w:pPr>
        <w:pStyle w:val="ListParagraph"/>
        <w:spacing w:before="0" w:after="0" w:line="276" w:lineRule="auto"/>
      </w:pPr>
      <w:r>
        <w:t>dS</w:t>
      </w:r>
      <w:r>
        <w:tab/>
      </w:r>
      <w:r>
        <w:tab/>
        <w:t>number of synonymous substitutions per synonymous site</w:t>
      </w:r>
    </w:p>
    <w:p w14:paraId="0FF26F42" w14:textId="77777777" w:rsidR="00775B3E" w:rsidRDefault="00775B3E" w:rsidP="006F2DBD">
      <w:pPr>
        <w:pStyle w:val="ListParagraph"/>
        <w:spacing w:before="0" w:after="0" w:line="276" w:lineRule="auto"/>
      </w:pPr>
      <w:r>
        <w:t>dsDNA</w:t>
      </w:r>
      <w:r>
        <w:tab/>
        <w:t>double stranded deoxyribonucleic acid</w:t>
      </w:r>
    </w:p>
    <w:p w14:paraId="62A3038D" w14:textId="15674C45" w:rsidR="00775B3E" w:rsidRDefault="00775B3E" w:rsidP="006F2DBD">
      <w:pPr>
        <w:pStyle w:val="ListParagraph"/>
        <w:spacing w:before="0" w:after="0" w:line="276" w:lineRule="auto"/>
      </w:pPr>
      <w:r>
        <w:t>EAV</w:t>
      </w:r>
      <w:r>
        <w:tab/>
      </w:r>
      <w:r>
        <w:tab/>
        <w:t>endogenous avian virus</w:t>
      </w:r>
    </w:p>
    <w:p w14:paraId="22CC2A7E" w14:textId="32A5D508" w:rsidR="00775B3E" w:rsidRDefault="00775B3E" w:rsidP="006F2DBD">
      <w:pPr>
        <w:pStyle w:val="ListParagraph"/>
        <w:spacing w:before="0" w:after="0" w:line="276" w:lineRule="auto"/>
      </w:pPr>
      <w:r>
        <w:t>ELISA</w:t>
      </w:r>
      <w:r>
        <w:tab/>
      </w:r>
      <w:r>
        <w:tab/>
        <w:t>enzyme-linked immunosorbent assay</w:t>
      </w:r>
    </w:p>
    <w:p w14:paraId="0D86D754" w14:textId="77777777" w:rsidR="00775B3E" w:rsidRDefault="00775B3E" w:rsidP="006F2DBD">
      <w:pPr>
        <w:pStyle w:val="ListParagraph"/>
        <w:spacing w:before="0" w:after="0" w:line="276" w:lineRule="auto"/>
      </w:pPr>
      <w:r>
        <w:t>EMBOSS</w:t>
      </w:r>
      <w:r>
        <w:tab/>
        <w:t>European Molecular Biology Open Software Suite</w:t>
      </w:r>
    </w:p>
    <w:p w14:paraId="08FF63CC" w14:textId="0F293FBB" w:rsidR="00775B3E" w:rsidRDefault="00775B3E" w:rsidP="006F2DBD">
      <w:pPr>
        <w:pStyle w:val="ListParagraph"/>
        <w:spacing w:before="0" w:after="0" w:line="276" w:lineRule="auto"/>
      </w:pPr>
      <w:r>
        <w:t>ENA</w:t>
      </w:r>
      <w:r>
        <w:tab/>
      </w:r>
      <w:r>
        <w:tab/>
        <w:t>European Nucleotide Archive</w:t>
      </w:r>
    </w:p>
    <w:p w14:paraId="48A43804" w14:textId="79280F94" w:rsidR="00775B3E" w:rsidRDefault="00775B3E" w:rsidP="006F2DBD">
      <w:pPr>
        <w:pStyle w:val="ListParagraph"/>
        <w:spacing w:before="0" w:after="0" w:line="276" w:lineRule="auto"/>
      </w:pPr>
      <w:r>
        <w:t>env</w:t>
      </w:r>
      <w:r>
        <w:tab/>
      </w:r>
      <w:r>
        <w:tab/>
        <w:t>envelope</w:t>
      </w:r>
    </w:p>
    <w:p w14:paraId="5F05C00D" w14:textId="02F875C2" w:rsidR="00775B3E" w:rsidRDefault="00775B3E" w:rsidP="006F2DBD">
      <w:pPr>
        <w:pStyle w:val="ListParagraph"/>
        <w:spacing w:before="0" w:after="0" w:line="276" w:lineRule="auto"/>
      </w:pPr>
      <w:r>
        <w:t>ERV</w:t>
      </w:r>
      <w:r>
        <w:tab/>
      </w:r>
      <w:r>
        <w:tab/>
        <w:t>endogenous retrovirus</w:t>
      </w:r>
    </w:p>
    <w:p w14:paraId="7AA5A150" w14:textId="5A006240" w:rsidR="00775B3E" w:rsidRDefault="00775B3E" w:rsidP="006F2DBD">
      <w:pPr>
        <w:pStyle w:val="ListParagraph"/>
        <w:spacing w:before="0" w:after="0" w:line="276" w:lineRule="auto"/>
      </w:pPr>
      <w:r>
        <w:t>EVE</w:t>
      </w:r>
      <w:r>
        <w:tab/>
      </w:r>
      <w:r>
        <w:tab/>
        <w:t>endogenous viral element</w:t>
      </w:r>
    </w:p>
    <w:p w14:paraId="3F2A7E29" w14:textId="1E3D306D" w:rsidR="00775B3E" w:rsidRDefault="00775B3E" w:rsidP="006F2DBD">
      <w:pPr>
        <w:pStyle w:val="ListParagraph"/>
        <w:spacing w:before="0" w:after="0" w:line="276" w:lineRule="auto"/>
      </w:pPr>
      <w:r>
        <w:t>EW</w:t>
      </w:r>
      <w:r>
        <w:tab/>
      </w:r>
      <w:r>
        <w:tab/>
        <w:t>Erich Wesjohann</w:t>
      </w:r>
    </w:p>
    <w:p w14:paraId="5C36CDB9" w14:textId="7C41A26F" w:rsidR="00775B3E" w:rsidRDefault="00775B3E" w:rsidP="006F2DBD">
      <w:pPr>
        <w:pStyle w:val="ListParagraph"/>
        <w:spacing w:before="0" w:after="0" w:line="276" w:lineRule="auto"/>
      </w:pPr>
      <w:r>
        <w:lastRenderedPageBreak/>
        <w:t>FAO</w:t>
      </w:r>
      <w:r>
        <w:tab/>
      </w:r>
      <w:r>
        <w:tab/>
        <w:t>Food and Agriculture Organisaton</w:t>
      </w:r>
    </w:p>
    <w:p w14:paraId="3D7F2273" w14:textId="398BC14D" w:rsidR="00775B3E" w:rsidRDefault="00775B3E" w:rsidP="006F2DBD">
      <w:pPr>
        <w:pStyle w:val="ListParagraph"/>
        <w:spacing w:before="0" w:after="0" w:line="276" w:lineRule="auto"/>
      </w:pPr>
      <w:r>
        <w:t>FFV</w:t>
      </w:r>
      <w:r>
        <w:tab/>
      </w:r>
      <w:r>
        <w:tab/>
        <w:t>feline foamy virus</w:t>
      </w:r>
    </w:p>
    <w:p w14:paraId="584183E6" w14:textId="29BCDB52" w:rsidR="00775B3E" w:rsidRDefault="00775B3E" w:rsidP="006F2DBD">
      <w:pPr>
        <w:pStyle w:val="ListParagraph"/>
        <w:spacing w:before="0" w:after="0" w:line="276" w:lineRule="auto"/>
      </w:pPr>
      <w:r>
        <w:t>gag</w:t>
      </w:r>
      <w:r>
        <w:tab/>
      </w:r>
      <w:r>
        <w:tab/>
        <w:t>group-specific antigen</w:t>
      </w:r>
    </w:p>
    <w:p w14:paraId="646DF102" w14:textId="5B9BA301" w:rsidR="00775B3E" w:rsidRDefault="00775B3E" w:rsidP="006F2DBD">
      <w:pPr>
        <w:pStyle w:val="ListParagraph"/>
        <w:spacing w:before="0" w:after="0" w:line="276" w:lineRule="auto"/>
      </w:pPr>
      <w:r>
        <w:t>GB</w:t>
      </w:r>
      <w:r>
        <w:tab/>
      </w:r>
      <w:r>
        <w:tab/>
        <w:t>gigabytes</w:t>
      </w:r>
    </w:p>
    <w:p w14:paraId="68C3CD7D" w14:textId="510DF109" w:rsidR="00775B3E" w:rsidRDefault="00775B3E" w:rsidP="006F2DBD">
      <w:pPr>
        <w:pStyle w:val="ListParagraph"/>
        <w:spacing w:before="0" w:after="0" w:line="276" w:lineRule="auto"/>
      </w:pPr>
      <w:r>
        <w:t>Gbp</w:t>
      </w:r>
      <w:r>
        <w:tab/>
      </w:r>
      <w:r>
        <w:tab/>
        <w:t>gigabase-pairs</w:t>
      </w:r>
    </w:p>
    <w:p w14:paraId="3AAF269A" w14:textId="77777777" w:rsidR="00775B3E" w:rsidRDefault="00775B3E" w:rsidP="006F2DBD">
      <w:pPr>
        <w:pStyle w:val="ListParagraph"/>
        <w:spacing w:before="0" w:after="0" w:line="276" w:lineRule="auto"/>
      </w:pPr>
      <w:r>
        <w:t>GGERV</w:t>
      </w:r>
      <w:r>
        <w:tab/>
      </w:r>
      <w:r w:rsidRPr="00775B3E">
        <w:rPr>
          <w:i/>
        </w:rPr>
        <w:t>Gallus gallus</w:t>
      </w:r>
      <w:r>
        <w:t xml:space="preserve"> endogenous retrovirus</w:t>
      </w:r>
    </w:p>
    <w:p w14:paraId="6C68B4E3" w14:textId="77777777" w:rsidR="00775B3E" w:rsidRDefault="00775B3E" w:rsidP="006F2DBD">
      <w:pPr>
        <w:pStyle w:val="ListParagraph"/>
        <w:spacing w:before="0" w:after="0" w:line="276" w:lineRule="auto"/>
      </w:pPr>
      <w:r>
        <w:t>GLIMMER</w:t>
      </w:r>
      <w:r>
        <w:tab/>
        <w:t>Gene Locator and Interpolated Markov Modeler</w:t>
      </w:r>
    </w:p>
    <w:p w14:paraId="07F06B98" w14:textId="78AA1824" w:rsidR="00775B3E" w:rsidRDefault="00775B3E" w:rsidP="006F2DBD">
      <w:pPr>
        <w:pStyle w:val="ListParagraph"/>
        <w:spacing w:before="0" w:after="0" w:line="276" w:lineRule="auto"/>
      </w:pPr>
      <w:r>
        <w:t>GLM</w:t>
      </w:r>
      <w:r>
        <w:tab/>
      </w:r>
      <w:r>
        <w:tab/>
        <w:t>general linear model</w:t>
      </w:r>
    </w:p>
    <w:p w14:paraId="306D24A0" w14:textId="74899792" w:rsidR="00134D57" w:rsidRDefault="00134D57" w:rsidP="006F2DBD">
      <w:pPr>
        <w:pStyle w:val="ListParagraph"/>
        <w:spacing w:before="0" w:after="0" w:line="276" w:lineRule="auto"/>
      </w:pPr>
      <w:r>
        <w:t>GM</w:t>
      </w:r>
      <w:r>
        <w:tab/>
      </w:r>
      <w:r>
        <w:tab/>
        <w:t>genetically modified</w:t>
      </w:r>
    </w:p>
    <w:p w14:paraId="2D5C54E7" w14:textId="41E31370" w:rsidR="00775B3E" w:rsidRDefault="00775B3E" w:rsidP="006F2DBD">
      <w:pPr>
        <w:pStyle w:val="ListParagraph"/>
        <w:spacing w:before="0" w:after="0" w:line="276" w:lineRule="auto"/>
      </w:pPr>
      <w:r>
        <w:t>GTR</w:t>
      </w:r>
      <w:r>
        <w:tab/>
      </w:r>
      <w:r>
        <w:tab/>
        <w:t>generalised time reversible</w:t>
      </w:r>
    </w:p>
    <w:p w14:paraId="4A31DB9D" w14:textId="7A992618" w:rsidR="00775B3E" w:rsidRDefault="00775B3E" w:rsidP="006F2DBD">
      <w:pPr>
        <w:pStyle w:val="ListParagraph"/>
        <w:spacing w:before="0" w:after="0" w:line="276" w:lineRule="auto"/>
      </w:pPr>
      <w:r>
        <w:t>GyDB</w:t>
      </w:r>
      <w:r>
        <w:tab/>
      </w:r>
      <w:r>
        <w:tab/>
        <w:t>Gypsy Database</w:t>
      </w:r>
    </w:p>
    <w:p w14:paraId="75C2EAA0" w14:textId="3BABA7BB" w:rsidR="00775B3E" w:rsidRDefault="00775B3E" w:rsidP="006F2DBD">
      <w:pPr>
        <w:pStyle w:val="ListParagraph"/>
        <w:spacing w:before="0" w:after="0" w:line="276" w:lineRule="auto"/>
      </w:pPr>
      <w:r>
        <w:t>HERV</w:t>
      </w:r>
      <w:r>
        <w:tab/>
      </w:r>
      <w:r>
        <w:tab/>
        <w:t>human endogenous retrovirus</w:t>
      </w:r>
    </w:p>
    <w:p w14:paraId="51AFFF19" w14:textId="34C0616B" w:rsidR="00775B3E" w:rsidRDefault="00775B3E" w:rsidP="006F2DBD">
      <w:pPr>
        <w:pStyle w:val="ListParagraph"/>
        <w:spacing w:before="0" w:after="0" w:line="276" w:lineRule="auto"/>
      </w:pPr>
      <w:r>
        <w:t>HGT</w:t>
      </w:r>
      <w:r>
        <w:tab/>
      </w:r>
      <w:r>
        <w:tab/>
        <w:t>horizontal gene transfer</w:t>
      </w:r>
    </w:p>
    <w:p w14:paraId="67DA4F66" w14:textId="064673AD" w:rsidR="00775B3E" w:rsidRDefault="00775B3E" w:rsidP="006F2DBD">
      <w:pPr>
        <w:pStyle w:val="ListParagraph"/>
        <w:spacing w:before="0" w:after="0" w:line="276" w:lineRule="auto"/>
      </w:pPr>
      <w:r>
        <w:t>HL</w:t>
      </w:r>
      <w:r>
        <w:tab/>
      </w:r>
      <w:r>
        <w:tab/>
        <w:t>Hy-Line</w:t>
      </w:r>
    </w:p>
    <w:p w14:paraId="3D24FCC8" w14:textId="77777777" w:rsidR="00775B3E" w:rsidRDefault="00775B3E" w:rsidP="006F2DBD">
      <w:pPr>
        <w:pStyle w:val="ListParagraph"/>
        <w:spacing w:before="0" w:after="0" w:line="276" w:lineRule="auto"/>
      </w:pPr>
      <w:r>
        <w:t>HMMER</w:t>
      </w:r>
      <w:r>
        <w:tab/>
        <w:t>Hidden Markov Modeler</w:t>
      </w:r>
    </w:p>
    <w:p w14:paraId="4F0260BE" w14:textId="32DCBE93" w:rsidR="00775B3E" w:rsidRDefault="00775B3E" w:rsidP="006F2DBD">
      <w:pPr>
        <w:pStyle w:val="ListParagraph"/>
        <w:spacing w:before="0" w:after="0" w:line="276" w:lineRule="auto"/>
      </w:pPr>
      <w:r>
        <w:t>HTLV</w:t>
      </w:r>
      <w:r>
        <w:tab/>
      </w:r>
      <w:r>
        <w:tab/>
        <w:t>Human T-Lymphotropic Virus</w:t>
      </w:r>
    </w:p>
    <w:p w14:paraId="29463BEE" w14:textId="3B8D22B5" w:rsidR="00775B3E" w:rsidRDefault="00775B3E" w:rsidP="006F2DBD">
      <w:pPr>
        <w:pStyle w:val="ListParagraph"/>
        <w:spacing w:before="0" w:after="0" w:line="276" w:lineRule="auto"/>
      </w:pPr>
      <w:r>
        <w:t>ICR</w:t>
      </w:r>
      <w:r>
        <w:tab/>
      </w:r>
      <w:r>
        <w:tab/>
        <w:t>internal complementary region</w:t>
      </w:r>
    </w:p>
    <w:p w14:paraId="0675EA50" w14:textId="3FF64A87" w:rsidR="00775B3E" w:rsidRDefault="00775B3E" w:rsidP="006F2DBD">
      <w:pPr>
        <w:pStyle w:val="ListParagraph"/>
        <w:spacing w:before="0" w:after="0" w:line="276" w:lineRule="auto"/>
      </w:pPr>
      <w:r>
        <w:t>IGV</w:t>
      </w:r>
      <w:r>
        <w:tab/>
      </w:r>
      <w:r>
        <w:tab/>
        <w:t>Interactive Genome Viewer</w:t>
      </w:r>
    </w:p>
    <w:p w14:paraId="74AAB229" w14:textId="5200AC2A" w:rsidR="00775B3E" w:rsidRDefault="00775B3E" w:rsidP="006F2DBD">
      <w:pPr>
        <w:pStyle w:val="ListParagraph"/>
        <w:spacing w:before="0" w:after="0" w:line="276" w:lineRule="auto"/>
      </w:pPr>
      <w:r>
        <w:t>INT</w:t>
      </w:r>
      <w:r>
        <w:tab/>
      </w:r>
      <w:r>
        <w:tab/>
        <w:t>integrase</w:t>
      </w:r>
    </w:p>
    <w:p w14:paraId="5381CA73" w14:textId="31945010" w:rsidR="00775B3E" w:rsidRDefault="00775B3E" w:rsidP="006F2DBD">
      <w:pPr>
        <w:pStyle w:val="ListParagraph"/>
        <w:spacing w:before="0" w:after="0" w:line="276" w:lineRule="auto"/>
      </w:pPr>
      <w:r>
        <w:t>ITR</w:t>
      </w:r>
      <w:r>
        <w:tab/>
      </w:r>
      <w:r>
        <w:tab/>
        <w:t>inverted tandem repeats</w:t>
      </w:r>
    </w:p>
    <w:p w14:paraId="35408BD9" w14:textId="1487D1E4" w:rsidR="00775B3E" w:rsidRDefault="00775B3E" w:rsidP="006F2DBD">
      <w:pPr>
        <w:pStyle w:val="ListParagraph"/>
        <w:spacing w:before="0" w:after="0" w:line="276" w:lineRule="auto"/>
      </w:pPr>
      <w:r>
        <w:t>JL</w:t>
      </w:r>
      <w:r>
        <w:tab/>
      </w:r>
      <w:r>
        <w:tab/>
        <w:t>J-Line</w:t>
      </w:r>
    </w:p>
    <w:p w14:paraId="0841D728" w14:textId="026E81E7" w:rsidR="00775B3E" w:rsidRDefault="00775B3E" w:rsidP="006F2DBD">
      <w:pPr>
        <w:pStyle w:val="ListParagraph"/>
        <w:spacing w:before="0" w:after="0" w:line="276" w:lineRule="auto"/>
      </w:pPr>
      <w:r>
        <w:t>K/T</w:t>
      </w:r>
      <w:r>
        <w:tab/>
      </w:r>
      <w:r>
        <w:tab/>
        <w:t>Cretaceous-Tertiary</w:t>
      </w:r>
    </w:p>
    <w:p w14:paraId="60E7CC68" w14:textId="49ACD038" w:rsidR="00775B3E" w:rsidRDefault="00775B3E" w:rsidP="006F2DBD">
      <w:pPr>
        <w:pStyle w:val="ListParagraph"/>
        <w:spacing w:before="0" w:after="0" w:line="276" w:lineRule="auto"/>
      </w:pPr>
      <w:r>
        <w:t>KASP</w:t>
      </w:r>
      <w:r>
        <w:tab/>
      </w:r>
      <w:r>
        <w:tab/>
        <w:t>Kompetitive Allele-Specific Polymerase Chain Reaction</w:t>
      </w:r>
    </w:p>
    <w:p w14:paraId="3799986F" w14:textId="3FA9BAF4" w:rsidR="00775B3E" w:rsidRDefault="00775B3E" w:rsidP="006F2DBD">
      <w:pPr>
        <w:pStyle w:val="ListParagraph"/>
        <w:spacing w:before="0" w:after="0" w:line="276" w:lineRule="auto"/>
      </w:pPr>
      <w:r>
        <w:t>kb</w:t>
      </w:r>
      <w:r>
        <w:tab/>
      </w:r>
      <w:r>
        <w:tab/>
        <w:t>kilobase pairs</w:t>
      </w:r>
    </w:p>
    <w:p w14:paraId="6D75ED7E" w14:textId="1ACE0281" w:rsidR="00625703" w:rsidRDefault="00625703" w:rsidP="006F2DBD">
      <w:pPr>
        <w:pStyle w:val="ListParagraph"/>
        <w:spacing w:before="0" w:after="0" w:line="276" w:lineRule="auto"/>
      </w:pPr>
      <w:r>
        <w:t>KJF</w:t>
      </w:r>
      <w:r>
        <w:tab/>
      </w:r>
      <w:r>
        <w:tab/>
      </w:r>
      <w:r w:rsidRPr="00625703">
        <w:t>Kees-Jan Francoijs</w:t>
      </w:r>
    </w:p>
    <w:p w14:paraId="1A79AE52" w14:textId="70F81795" w:rsidR="00775B3E" w:rsidRDefault="00775B3E" w:rsidP="006F2DBD">
      <w:pPr>
        <w:pStyle w:val="ListParagraph"/>
        <w:spacing w:before="0" w:after="0" w:line="276" w:lineRule="auto"/>
      </w:pPr>
      <w:r>
        <w:t>KoRV</w:t>
      </w:r>
      <w:r>
        <w:tab/>
      </w:r>
      <w:r>
        <w:tab/>
        <w:t>Koala retrovirus</w:t>
      </w:r>
    </w:p>
    <w:p w14:paraId="49214B04" w14:textId="7825C47F" w:rsidR="00775B3E" w:rsidRDefault="00775B3E" w:rsidP="006F2DBD">
      <w:pPr>
        <w:pStyle w:val="ListParagraph"/>
        <w:spacing w:before="0" w:after="0" w:line="276" w:lineRule="auto"/>
      </w:pPr>
      <w:r>
        <w:t>Ks</w:t>
      </w:r>
      <w:r>
        <w:tab/>
      </w:r>
      <w:r>
        <w:tab/>
        <w:t>number of synonymous substitutions per synonymous site</w:t>
      </w:r>
    </w:p>
    <w:p w14:paraId="1D47C062" w14:textId="62D04C70" w:rsidR="00775B3E" w:rsidRDefault="00775B3E" w:rsidP="006F2DBD">
      <w:pPr>
        <w:pStyle w:val="ListParagraph"/>
        <w:spacing w:before="0" w:after="0" w:line="276" w:lineRule="auto"/>
      </w:pPr>
      <w:r>
        <w:t>LB</w:t>
      </w:r>
      <w:r>
        <w:tab/>
      </w:r>
      <w:r>
        <w:tab/>
        <w:t>lysogeny broth</w:t>
      </w:r>
    </w:p>
    <w:p w14:paraId="64AC209A" w14:textId="77777777" w:rsidR="00775B3E" w:rsidRDefault="00775B3E" w:rsidP="006F2DBD">
      <w:pPr>
        <w:pStyle w:val="ListParagraph"/>
        <w:spacing w:before="0" w:after="0" w:line="276" w:lineRule="auto"/>
      </w:pPr>
      <w:r>
        <w:t>LB-amp</w:t>
      </w:r>
      <w:r>
        <w:tab/>
        <w:t>lysogeny broth supplemented with ampicillin</w:t>
      </w:r>
    </w:p>
    <w:p w14:paraId="3A6BAC35" w14:textId="0774462E" w:rsidR="00775B3E" w:rsidRDefault="00775B3E" w:rsidP="006F2DBD">
      <w:pPr>
        <w:pStyle w:val="ListParagraph"/>
        <w:spacing w:before="0" w:after="0" w:line="276" w:lineRule="auto"/>
      </w:pPr>
      <w:r>
        <w:t>LD</w:t>
      </w:r>
      <w:r>
        <w:tab/>
      </w:r>
      <w:r>
        <w:tab/>
        <w:t>LTR Digest</w:t>
      </w:r>
    </w:p>
    <w:p w14:paraId="4FBA352F" w14:textId="40FF1D17" w:rsidR="00775B3E" w:rsidRDefault="00775B3E" w:rsidP="006F2DBD">
      <w:pPr>
        <w:pStyle w:val="ListParagraph"/>
        <w:spacing w:before="0" w:after="0" w:line="276" w:lineRule="auto"/>
      </w:pPr>
      <w:r>
        <w:t>LH</w:t>
      </w:r>
      <w:r>
        <w:tab/>
      </w:r>
      <w:r>
        <w:tab/>
        <w:t>LTR Harvest</w:t>
      </w:r>
    </w:p>
    <w:p w14:paraId="3597344D" w14:textId="3902AC0F" w:rsidR="00775B3E" w:rsidRDefault="00775B3E" w:rsidP="006F2DBD">
      <w:pPr>
        <w:pStyle w:val="ListParagraph"/>
        <w:spacing w:before="0" w:after="0" w:line="276" w:lineRule="auto"/>
      </w:pPr>
      <w:r>
        <w:t>LINE</w:t>
      </w:r>
      <w:r>
        <w:tab/>
      </w:r>
      <w:r>
        <w:tab/>
        <w:t>long interspersed element</w:t>
      </w:r>
    </w:p>
    <w:p w14:paraId="04BE3ADA" w14:textId="77777777" w:rsidR="00775B3E" w:rsidRDefault="00775B3E" w:rsidP="006F2DBD">
      <w:pPr>
        <w:pStyle w:val="ListParagraph"/>
        <w:spacing w:before="0" w:after="0" w:line="276" w:lineRule="auto"/>
      </w:pPr>
      <w:r>
        <w:t>lncRNA</w:t>
      </w:r>
      <w:r>
        <w:tab/>
        <w:t>long non-coding ribonucleic acid</w:t>
      </w:r>
    </w:p>
    <w:p w14:paraId="10E47E9C" w14:textId="5E701CEC" w:rsidR="00775B3E" w:rsidRDefault="00775B3E" w:rsidP="006F2DBD">
      <w:pPr>
        <w:pStyle w:val="ListParagraph"/>
        <w:spacing w:before="0" w:after="0" w:line="276" w:lineRule="auto"/>
      </w:pPr>
      <w:r>
        <w:t>LS</w:t>
      </w:r>
      <w:r>
        <w:tab/>
      </w:r>
      <w:r>
        <w:tab/>
        <w:t>LTR_STRUC</w:t>
      </w:r>
    </w:p>
    <w:p w14:paraId="28D9F01A" w14:textId="0924B6CB" w:rsidR="00775B3E" w:rsidRDefault="00775B3E" w:rsidP="006F2DBD">
      <w:pPr>
        <w:pStyle w:val="ListParagraph"/>
        <w:spacing w:before="0" w:after="0" w:line="276" w:lineRule="auto"/>
      </w:pPr>
      <w:r>
        <w:t>LTR</w:t>
      </w:r>
      <w:r>
        <w:tab/>
      </w:r>
      <w:r>
        <w:tab/>
        <w:t>long terminal repeat</w:t>
      </w:r>
    </w:p>
    <w:p w14:paraId="4BDCEF95" w14:textId="77777777" w:rsidR="00775B3E" w:rsidRDefault="00775B3E" w:rsidP="006F2DBD">
      <w:pPr>
        <w:pStyle w:val="ListParagraph"/>
        <w:spacing w:before="0" w:after="0" w:line="276" w:lineRule="auto"/>
      </w:pPr>
      <w:r>
        <w:t>MATLAB</w:t>
      </w:r>
      <w:r>
        <w:tab/>
        <w:t>Matrix Laboratory</w:t>
      </w:r>
    </w:p>
    <w:p w14:paraId="75E014AC" w14:textId="4E58C374" w:rsidR="00775B3E" w:rsidRDefault="00775B3E" w:rsidP="006F2DBD">
      <w:pPr>
        <w:pStyle w:val="ListParagraph"/>
        <w:spacing w:before="0" w:after="0" w:line="276" w:lineRule="auto"/>
      </w:pPr>
      <w:r>
        <w:t>Mbp</w:t>
      </w:r>
      <w:r>
        <w:tab/>
      </w:r>
      <w:r>
        <w:tab/>
        <w:t>megabase pair</w:t>
      </w:r>
    </w:p>
    <w:p w14:paraId="3085F9C1" w14:textId="592BE387" w:rsidR="00775B3E" w:rsidRDefault="00775B3E" w:rsidP="006F2DBD">
      <w:pPr>
        <w:pStyle w:val="ListParagraph"/>
        <w:spacing w:before="0" w:after="0" w:line="276" w:lineRule="auto"/>
      </w:pPr>
      <w:r>
        <w:t>MdEV</w:t>
      </w:r>
      <w:r>
        <w:tab/>
      </w:r>
      <w:r>
        <w:tab/>
      </w:r>
      <w:r w:rsidRPr="00775B3E">
        <w:rPr>
          <w:i/>
        </w:rPr>
        <w:t>Mus dunni</w:t>
      </w:r>
      <w:r>
        <w:t xml:space="preserve"> endogenous virus</w:t>
      </w:r>
    </w:p>
    <w:p w14:paraId="1ECB30EA" w14:textId="73825834" w:rsidR="00775B3E" w:rsidRDefault="00775B3E" w:rsidP="006F2DBD">
      <w:pPr>
        <w:pStyle w:val="ListParagraph"/>
        <w:spacing w:before="0" w:after="0" w:line="276" w:lineRule="auto"/>
      </w:pPr>
      <w:r>
        <w:t>MDV</w:t>
      </w:r>
      <w:r>
        <w:tab/>
      </w:r>
      <w:r>
        <w:tab/>
        <w:t>Marek's disease virus</w:t>
      </w:r>
    </w:p>
    <w:p w14:paraId="742045A4" w14:textId="29379937" w:rsidR="00775B3E" w:rsidRDefault="00775B3E" w:rsidP="006F2DBD">
      <w:pPr>
        <w:pStyle w:val="ListParagraph"/>
        <w:spacing w:before="0" w:after="0" w:line="276" w:lineRule="auto"/>
      </w:pPr>
      <w:r>
        <w:t>MGS</w:t>
      </w:r>
      <w:r>
        <w:tab/>
      </w:r>
      <w:r>
        <w:tab/>
        <w:t>MGEScan_LTR</w:t>
      </w:r>
    </w:p>
    <w:p w14:paraId="151C8D1B" w14:textId="77777777" w:rsidR="00775B3E" w:rsidRDefault="00775B3E" w:rsidP="006F2DBD">
      <w:pPr>
        <w:pStyle w:val="ListParagraph"/>
        <w:spacing w:before="0" w:after="0" w:line="276" w:lineRule="auto"/>
      </w:pPr>
      <w:r>
        <w:t>MMTV</w:t>
      </w:r>
      <w:r>
        <w:tab/>
        <w:t>mouse mammary tumour virus</w:t>
      </w:r>
    </w:p>
    <w:p w14:paraId="035E0746" w14:textId="43FFF8FD" w:rsidR="00775B3E" w:rsidRDefault="00775B3E" w:rsidP="006F2DBD">
      <w:pPr>
        <w:pStyle w:val="ListParagraph"/>
        <w:spacing w:before="0" w:after="0" w:line="276" w:lineRule="auto"/>
      </w:pPr>
      <w:r>
        <w:t>mRNA</w:t>
      </w:r>
      <w:r>
        <w:tab/>
      </w:r>
      <w:r>
        <w:tab/>
        <w:t>messenger ribonucleic acid</w:t>
      </w:r>
    </w:p>
    <w:p w14:paraId="4949C053" w14:textId="576890BF" w:rsidR="00775B3E" w:rsidRDefault="00775B3E" w:rsidP="006F2DBD">
      <w:pPr>
        <w:pStyle w:val="ListParagraph"/>
        <w:spacing w:before="0" w:after="0" w:line="276" w:lineRule="auto"/>
      </w:pPr>
      <w:r>
        <w:lastRenderedPageBreak/>
        <w:t>MT</w:t>
      </w:r>
      <w:r>
        <w:tab/>
      </w:r>
      <w:r>
        <w:tab/>
        <w:t>methyl transferase</w:t>
      </w:r>
    </w:p>
    <w:p w14:paraId="2D641D53" w14:textId="77777777" w:rsidR="00775B3E" w:rsidRDefault="00775B3E" w:rsidP="006F2DBD">
      <w:pPr>
        <w:pStyle w:val="ListParagraph"/>
        <w:spacing w:before="0" w:after="0" w:line="276" w:lineRule="auto"/>
      </w:pPr>
      <w:r>
        <w:t>MUSCLE</w:t>
      </w:r>
      <w:r>
        <w:tab/>
        <w:t>Multiple Sequene Comparson by Log-Expectation</w:t>
      </w:r>
    </w:p>
    <w:p w14:paraId="74C5C594" w14:textId="2D222661" w:rsidR="00775B3E" w:rsidRDefault="00775B3E" w:rsidP="006F2DBD">
      <w:pPr>
        <w:pStyle w:val="ListParagraph"/>
        <w:spacing w:before="0" w:after="0" w:line="276" w:lineRule="auto"/>
      </w:pPr>
      <w:r>
        <w:t>MYA</w:t>
      </w:r>
      <w:r>
        <w:tab/>
      </w:r>
      <w:r>
        <w:tab/>
        <w:t>million years ago</w:t>
      </w:r>
    </w:p>
    <w:p w14:paraId="6239A318" w14:textId="671386B4" w:rsidR="00775B3E" w:rsidRDefault="00775B3E" w:rsidP="006F2DBD">
      <w:pPr>
        <w:pStyle w:val="ListParagraph"/>
        <w:spacing w:before="0" w:after="0" w:line="276" w:lineRule="auto"/>
      </w:pPr>
      <w:r>
        <w:t>NCBI</w:t>
      </w:r>
      <w:r>
        <w:tab/>
      </w:r>
      <w:r>
        <w:tab/>
        <w:t>National Center for Biotechnology Information</w:t>
      </w:r>
    </w:p>
    <w:p w14:paraId="5832B1F3" w14:textId="5A3FDF8D" w:rsidR="00775B3E" w:rsidRDefault="00775B3E" w:rsidP="006F2DBD">
      <w:pPr>
        <w:pStyle w:val="ListParagraph"/>
        <w:spacing w:before="0" w:after="0" w:line="276" w:lineRule="auto"/>
      </w:pPr>
      <w:r>
        <w:t>ND</w:t>
      </w:r>
      <w:r>
        <w:tab/>
      </w:r>
      <w:r>
        <w:tab/>
        <w:t>non-defined</w:t>
      </w:r>
    </w:p>
    <w:p w14:paraId="2BE19623" w14:textId="2D00D21E" w:rsidR="00775B3E" w:rsidRDefault="00775B3E" w:rsidP="006F2DBD">
      <w:pPr>
        <w:pStyle w:val="ListParagraph"/>
        <w:spacing w:before="0" w:after="0" w:line="276" w:lineRule="auto"/>
      </w:pPr>
      <w:r>
        <w:t>Ne</w:t>
      </w:r>
      <w:r>
        <w:tab/>
      </w:r>
      <w:r>
        <w:tab/>
        <w:t>effective population size</w:t>
      </w:r>
    </w:p>
    <w:p w14:paraId="084994E9" w14:textId="79B05849" w:rsidR="00775B3E" w:rsidRDefault="00775B3E" w:rsidP="006F2DBD">
      <w:pPr>
        <w:pStyle w:val="ListParagraph"/>
        <w:spacing w:before="0" w:after="0" w:line="276" w:lineRule="auto"/>
      </w:pPr>
      <w:r>
        <w:t>ng</w:t>
      </w:r>
      <w:r>
        <w:tab/>
      </w:r>
      <w:r>
        <w:tab/>
        <w:t>nanogram</w:t>
      </w:r>
    </w:p>
    <w:p w14:paraId="09E25A1B" w14:textId="2E8C9FE0" w:rsidR="00775B3E" w:rsidRDefault="00775B3E" w:rsidP="006F2DBD">
      <w:pPr>
        <w:pStyle w:val="ListParagraph"/>
        <w:spacing w:before="0" w:after="0" w:line="276" w:lineRule="auto"/>
      </w:pPr>
      <w:r>
        <w:t>NGS</w:t>
      </w:r>
      <w:r>
        <w:tab/>
      </w:r>
      <w:r>
        <w:tab/>
        <w:t>next generation sequencing</w:t>
      </w:r>
    </w:p>
    <w:p w14:paraId="4BA77EC5" w14:textId="1DAF1777" w:rsidR="00775B3E" w:rsidRDefault="00775B3E" w:rsidP="006F2DBD">
      <w:pPr>
        <w:pStyle w:val="ListParagraph"/>
        <w:spacing w:before="0" w:after="0" w:line="276" w:lineRule="auto"/>
      </w:pPr>
      <w:r>
        <w:t>NLS</w:t>
      </w:r>
      <w:r>
        <w:tab/>
      </w:r>
      <w:r>
        <w:tab/>
        <w:t>nuclear localisation signal</w:t>
      </w:r>
    </w:p>
    <w:p w14:paraId="73B737E9" w14:textId="129F8564" w:rsidR="00775B3E" w:rsidRDefault="00775B3E" w:rsidP="006F2DBD">
      <w:pPr>
        <w:pStyle w:val="ListParagraph"/>
        <w:spacing w:before="0" w:after="0" w:line="276" w:lineRule="auto"/>
      </w:pPr>
      <w:r>
        <w:t>NSAC</w:t>
      </w:r>
      <w:r>
        <w:tab/>
      </w:r>
      <w:r>
        <w:tab/>
        <w:t>Nova Scotia Agricultural College</w:t>
      </w:r>
    </w:p>
    <w:p w14:paraId="56E8D882" w14:textId="3DF2DA17" w:rsidR="00775B3E" w:rsidRDefault="00775B3E" w:rsidP="006F2DBD">
      <w:pPr>
        <w:pStyle w:val="ListParagraph"/>
        <w:spacing w:before="0" w:after="0" w:line="276" w:lineRule="auto"/>
      </w:pPr>
      <w:r>
        <w:t>ORF</w:t>
      </w:r>
      <w:r>
        <w:tab/>
      </w:r>
      <w:r>
        <w:tab/>
        <w:t>open reading frame</w:t>
      </w:r>
    </w:p>
    <w:p w14:paraId="3DC6DE99" w14:textId="02DA8FFB" w:rsidR="00775B3E" w:rsidRDefault="00775B3E" w:rsidP="006F2DBD">
      <w:pPr>
        <w:pStyle w:val="ListParagraph"/>
        <w:spacing w:before="0" w:after="0" w:line="276" w:lineRule="auto"/>
      </w:pPr>
      <w:r>
        <w:t>PacBio</w:t>
      </w:r>
      <w:r>
        <w:tab/>
      </w:r>
      <w:r>
        <w:tab/>
        <w:t>Pacific Biosciences</w:t>
      </w:r>
    </w:p>
    <w:p w14:paraId="11567897" w14:textId="692AD3BF" w:rsidR="00775B3E" w:rsidRDefault="00775B3E" w:rsidP="006F2DBD">
      <w:pPr>
        <w:pStyle w:val="ListParagraph"/>
        <w:spacing w:before="0" w:after="0" w:line="276" w:lineRule="auto"/>
      </w:pPr>
      <w:r>
        <w:t>PAR</w:t>
      </w:r>
      <w:r>
        <w:tab/>
      </w:r>
      <w:r>
        <w:tab/>
        <w:t>pseudoautosomal region</w:t>
      </w:r>
    </w:p>
    <w:p w14:paraId="3D5CE6A3" w14:textId="75320B7D" w:rsidR="00775B3E" w:rsidRDefault="00775B3E" w:rsidP="006F2DBD">
      <w:pPr>
        <w:pStyle w:val="ListParagraph"/>
        <w:spacing w:before="0" w:after="0" w:line="276" w:lineRule="auto"/>
      </w:pPr>
      <w:r>
        <w:t>PBS</w:t>
      </w:r>
      <w:r>
        <w:tab/>
      </w:r>
      <w:r>
        <w:tab/>
        <w:t>primer binding site</w:t>
      </w:r>
    </w:p>
    <w:p w14:paraId="3008D461" w14:textId="32F47E70" w:rsidR="00775B3E" w:rsidRDefault="00775B3E" w:rsidP="006F2DBD">
      <w:pPr>
        <w:pStyle w:val="ListParagraph"/>
        <w:spacing w:before="0" w:after="0" w:line="276" w:lineRule="auto"/>
      </w:pPr>
      <w:r>
        <w:t>PCA</w:t>
      </w:r>
      <w:r>
        <w:tab/>
      </w:r>
      <w:r>
        <w:tab/>
        <w:t>principal component analysis</w:t>
      </w:r>
    </w:p>
    <w:p w14:paraId="5DC86CEC" w14:textId="483F5ED5" w:rsidR="00775B3E" w:rsidRDefault="00775B3E" w:rsidP="006F2DBD">
      <w:pPr>
        <w:pStyle w:val="ListParagraph"/>
        <w:spacing w:before="0" w:after="0" w:line="276" w:lineRule="auto"/>
      </w:pPr>
      <w:r>
        <w:t>PCoA</w:t>
      </w:r>
      <w:r>
        <w:tab/>
      </w:r>
      <w:r>
        <w:tab/>
        <w:t>principal coordinate analysis</w:t>
      </w:r>
    </w:p>
    <w:p w14:paraId="6D0771D9" w14:textId="4D14DF3D" w:rsidR="00775B3E" w:rsidRDefault="00775B3E" w:rsidP="006F2DBD">
      <w:pPr>
        <w:pStyle w:val="ListParagraph"/>
        <w:spacing w:before="0" w:after="0" w:line="276" w:lineRule="auto"/>
      </w:pPr>
      <w:r>
        <w:t>PCR</w:t>
      </w:r>
      <w:r>
        <w:tab/>
      </w:r>
      <w:r>
        <w:tab/>
        <w:t>polymerase chain reaction</w:t>
      </w:r>
    </w:p>
    <w:p w14:paraId="51A7830C" w14:textId="77777777" w:rsidR="00775B3E" w:rsidRDefault="00775B3E" w:rsidP="006F2DBD">
      <w:pPr>
        <w:pStyle w:val="ListParagraph"/>
        <w:spacing w:before="0" w:after="0" w:line="276" w:lineRule="auto"/>
      </w:pPr>
      <w:r>
        <w:t>pHMMs</w:t>
      </w:r>
      <w:r>
        <w:tab/>
        <w:t>profile hidden Markov models</w:t>
      </w:r>
    </w:p>
    <w:p w14:paraId="225B4EE2" w14:textId="742BFAA0" w:rsidR="00775B3E" w:rsidRDefault="00775B3E" w:rsidP="006F2DBD">
      <w:pPr>
        <w:pStyle w:val="ListParagraph"/>
        <w:spacing w:before="0" w:after="0" w:line="276" w:lineRule="auto"/>
      </w:pPr>
      <w:r>
        <w:t>piRNA</w:t>
      </w:r>
      <w:r>
        <w:tab/>
      </w:r>
      <w:r>
        <w:tab/>
        <w:t>piwi-interacting ribonucleic acid</w:t>
      </w:r>
    </w:p>
    <w:p w14:paraId="23EE00AE" w14:textId="47004AA4" w:rsidR="00775B3E" w:rsidRDefault="00775B3E" w:rsidP="006F2DBD">
      <w:pPr>
        <w:pStyle w:val="ListParagraph"/>
        <w:spacing w:before="0" w:after="0" w:line="276" w:lineRule="auto"/>
      </w:pPr>
      <w:r>
        <w:t>pol</w:t>
      </w:r>
      <w:r>
        <w:tab/>
      </w:r>
      <w:r>
        <w:tab/>
        <w:t>polymerase</w:t>
      </w:r>
    </w:p>
    <w:p w14:paraId="7C9CDF1C" w14:textId="265DE8ED" w:rsidR="00775B3E" w:rsidRDefault="00775B3E" w:rsidP="006F2DBD">
      <w:pPr>
        <w:pStyle w:val="ListParagraph"/>
        <w:spacing w:before="0" w:after="0" w:line="276" w:lineRule="auto"/>
      </w:pPr>
      <w:r>
        <w:t>PPT</w:t>
      </w:r>
      <w:r>
        <w:tab/>
      </w:r>
      <w:r>
        <w:tab/>
        <w:t>polypurine tract</w:t>
      </w:r>
    </w:p>
    <w:p w14:paraId="29283573" w14:textId="178D91D9" w:rsidR="00775B3E" w:rsidRDefault="00775B3E" w:rsidP="006F2DBD">
      <w:pPr>
        <w:pStyle w:val="ListParagraph"/>
        <w:spacing w:before="0" w:after="0" w:line="276" w:lineRule="auto"/>
      </w:pPr>
      <w:r>
        <w:t>PRO</w:t>
      </w:r>
      <w:r>
        <w:tab/>
      </w:r>
      <w:r>
        <w:tab/>
        <w:t>protease</w:t>
      </w:r>
    </w:p>
    <w:p w14:paraId="2D20F040" w14:textId="6EC156EE" w:rsidR="00885125" w:rsidRDefault="00885125" w:rsidP="006F2DBD">
      <w:pPr>
        <w:pStyle w:val="ListParagraph"/>
        <w:spacing w:before="0" w:after="0" w:line="276" w:lineRule="auto"/>
      </w:pPr>
      <w:r>
        <w:t>RAM</w:t>
      </w:r>
      <w:r>
        <w:tab/>
      </w:r>
      <w:r>
        <w:tab/>
        <w:t>random access memory</w:t>
      </w:r>
    </w:p>
    <w:p w14:paraId="0697556C" w14:textId="14040F81" w:rsidR="00775B3E" w:rsidRDefault="00775B3E" w:rsidP="006F2DBD">
      <w:pPr>
        <w:pStyle w:val="ListParagraph"/>
        <w:spacing w:before="0" w:after="0" w:line="276" w:lineRule="auto"/>
      </w:pPr>
      <w:r>
        <w:t>RAx</w:t>
      </w:r>
      <w:r w:rsidR="00314E3A">
        <w:t>ML</w:t>
      </w:r>
      <w:r w:rsidR="00314E3A">
        <w:tab/>
        <w:t>Randomized Ax</w:t>
      </w:r>
      <w:r>
        <w:t>elerated Maximum Likelihood</w:t>
      </w:r>
    </w:p>
    <w:p w14:paraId="76B4BF23" w14:textId="391AD7E8" w:rsidR="00775B3E" w:rsidRDefault="00775B3E" w:rsidP="006F2DBD">
      <w:pPr>
        <w:pStyle w:val="ListParagraph"/>
        <w:spacing w:before="0" w:after="0" w:line="276" w:lineRule="auto"/>
      </w:pPr>
      <w:r>
        <w:t>ReTe</w:t>
      </w:r>
      <w:r>
        <w:tab/>
      </w:r>
      <w:r>
        <w:tab/>
        <w:t>RetroTector</w:t>
      </w:r>
    </w:p>
    <w:p w14:paraId="0F1596AE" w14:textId="68D2EDD8" w:rsidR="00775B3E" w:rsidRDefault="00775B3E" w:rsidP="006F2DBD">
      <w:pPr>
        <w:pStyle w:val="ListParagraph"/>
        <w:spacing w:before="0" w:after="0" w:line="276" w:lineRule="auto"/>
      </w:pPr>
      <w:r>
        <w:t>REV</w:t>
      </w:r>
      <w:r>
        <w:tab/>
      </w:r>
      <w:r>
        <w:tab/>
        <w:t>reticuloendotheliosis virus</w:t>
      </w:r>
    </w:p>
    <w:p w14:paraId="4A425984" w14:textId="6682ED7B" w:rsidR="00775B3E" w:rsidRDefault="00775B3E" w:rsidP="006F2DBD">
      <w:pPr>
        <w:pStyle w:val="ListParagraph"/>
        <w:spacing w:before="0" w:after="0" w:line="276" w:lineRule="auto"/>
      </w:pPr>
      <w:r>
        <w:t>RFLP</w:t>
      </w:r>
      <w:r>
        <w:tab/>
      </w:r>
      <w:r>
        <w:tab/>
        <w:t>restriction fragment length polymorphisms</w:t>
      </w:r>
    </w:p>
    <w:p w14:paraId="6E7101A7" w14:textId="0F2C03E0" w:rsidR="00775B3E" w:rsidRDefault="00775B3E" w:rsidP="006F2DBD">
      <w:pPr>
        <w:pStyle w:val="ListParagraph"/>
        <w:spacing w:before="0" w:after="0" w:line="276" w:lineRule="auto"/>
      </w:pPr>
      <w:r>
        <w:t>RH</w:t>
      </w:r>
      <w:r>
        <w:tab/>
      </w:r>
      <w:r>
        <w:tab/>
        <w:t>RNaseH</w:t>
      </w:r>
    </w:p>
    <w:p w14:paraId="005968AB" w14:textId="149E9CA3" w:rsidR="00775B3E" w:rsidRDefault="00775B3E" w:rsidP="006F2DBD">
      <w:pPr>
        <w:pStyle w:val="ListParagraph"/>
        <w:spacing w:before="0" w:after="0" w:line="276" w:lineRule="auto"/>
      </w:pPr>
      <w:r>
        <w:t>RIR</w:t>
      </w:r>
      <w:r>
        <w:tab/>
      </w:r>
      <w:r>
        <w:tab/>
        <w:t>Rhode Island Red</w:t>
      </w:r>
    </w:p>
    <w:p w14:paraId="01112B7C" w14:textId="4C69504E" w:rsidR="00775B3E" w:rsidRDefault="00775B3E" w:rsidP="006F2DBD">
      <w:pPr>
        <w:pStyle w:val="ListParagraph"/>
        <w:spacing w:before="0" w:after="0" w:line="276" w:lineRule="auto"/>
      </w:pPr>
      <w:r>
        <w:t>RIW</w:t>
      </w:r>
      <w:r>
        <w:tab/>
      </w:r>
      <w:r>
        <w:tab/>
        <w:t>Rhode Island White</w:t>
      </w:r>
    </w:p>
    <w:p w14:paraId="0ABDF2D8" w14:textId="18464B46" w:rsidR="00775B3E" w:rsidRDefault="00775B3E" w:rsidP="006F2DBD">
      <w:pPr>
        <w:pStyle w:val="ListParagraph"/>
        <w:spacing w:before="0" w:after="0" w:line="276" w:lineRule="auto"/>
      </w:pPr>
      <w:r>
        <w:t>RJF</w:t>
      </w:r>
      <w:r>
        <w:tab/>
      </w:r>
      <w:r>
        <w:tab/>
        <w:t>red junglefowl</w:t>
      </w:r>
    </w:p>
    <w:p w14:paraId="3419EC33" w14:textId="083EFB1B" w:rsidR="00775B3E" w:rsidRDefault="00775B3E" w:rsidP="006F2DBD">
      <w:pPr>
        <w:pStyle w:val="ListParagraph"/>
        <w:spacing w:before="0" w:after="0" w:line="276" w:lineRule="auto"/>
      </w:pPr>
      <w:r>
        <w:t>RM</w:t>
      </w:r>
      <w:r>
        <w:tab/>
      </w:r>
      <w:r>
        <w:tab/>
        <w:t>RepeatMasker</w:t>
      </w:r>
    </w:p>
    <w:p w14:paraId="61872143" w14:textId="572BAB49" w:rsidR="00775B3E" w:rsidRDefault="00775B3E" w:rsidP="006F2DBD">
      <w:pPr>
        <w:pStyle w:val="ListParagraph"/>
        <w:spacing w:before="0" w:after="0" w:line="276" w:lineRule="auto"/>
      </w:pPr>
      <w:r>
        <w:t>RNA</w:t>
      </w:r>
      <w:r>
        <w:tab/>
      </w:r>
      <w:r>
        <w:tab/>
        <w:t>ribonucelic acid</w:t>
      </w:r>
    </w:p>
    <w:p w14:paraId="18140526" w14:textId="3F9A2155" w:rsidR="00775B3E" w:rsidRDefault="00775B3E" w:rsidP="006F2DBD">
      <w:pPr>
        <w:pStyle w:val="ListParagraph"/>
        <w:spacing w:before="0" w:after="0" w:line="276" w:lineRule="auto"/>
      </w:pPr>
      <w:r>
        <w:t>RNAi</w:t>
      </w:r>
      <w:r>
        <w:tab/>
      </w:r>
      <w:r>
        <w:tab/>
        <w:t>ribonucleic acid interference</w:t>
      </w:r>
    </w:p>
    <w:p w14:paraId="5316354E" w14:textId="320C76E5" w:rsidR="00775B3E" w:rsidRDefault="00775B3E" w:rsidP="006F2DBD">
      <w:pPr>
        <w:pStyle w:val="ListParagraph"/>
        <w:spacing w:before="0" w:after="0" w:line="276" w:lineRule="auto"/>
      </w:pPr>
      <w:r>
        <w:t>rRNA</w:t>
      </w:r>
      <w:r>
        <w:tab/>
      </w:r>
      <w:r>
        <w:tab/>
        <w:t>ribosomal ribonucleic acid</w:t>
      </w:r>
    </w:p>
    <w:p w14:paraId="1607DB83" w14:textId="15B83151" w:rsidR="00775B3E" w:rsidRDefault="00775B3E" w:rsidP="006F2DBD">
      <w:pPr>
        <w:pStyle w:val="ListParagraph"/>
        <w:spacing w:before="0" w:after="0" w:line="276" w:lineRule="auto"/>
      </w:pPr>
      <w:r>
        <w:t>RSV</w:t>
      </w:r>
      <w:r>
        <w:tab/>
      </w:r>
      <w:r>
        <w:tab/>
        <w:t>Rous sarcoma virus</w:t>
      </w:r>
    </w:p>
    <w:p w14:paraId="467CF2D4" w14:textId="1A1BC843" w:rsidR="00775B3E" w:rsidRDefault="00775B3E" w:rsidP="006F2DBD">
      <w:pPr>
        <w:pStyle w:val="ListParagraph"/>
        <w:spacing w:before="0" w:after="0" w:line="276" w:lineRule="auto"/>
      </w:pPr>
      <w:r>
        <w:t>RT</w:t>
      </w:r>
      <w:r>
        <w:tab/>
      </w:r>
      <w:r>
        <w:tab/>
        <w:t>reverse transcriptase</w:t>
      </w:r>
    </w:p>
    <w:p w14:paraId="427C785F" w14:textId="470FCCA8" w:rsidR="00775B3E" w:rsidRDefault="00775B3E" w:rsidP="006F2DBD">
      <w:pPr>
        <w:pStyle w:val="ListParagraph"/>
        <w:spacing w:before="0" w:after="0" w:line="276" w:lineRule="auto"/>
      </w:pPr>
      <w:r>
        <w:t>SAM</w:t>
      </w:r>
      <w:r>
        <w:tab/>
      </w:r>
      <w:r>
        <w:tab/>
        <w:t>sequence alignment map</w:t>
      </w:r>
    </w:p>
    <w:p w14:paraId="3C22A7AF" w14:textId="535CB7E1" w:rsidR="00775B3E" w:rsidRDefault="00775B3E" w:rsidP="006F2DBD">
      <w:pPr>
        <w:pStyle w:val="ListParagraph"/>
        <w:spacing w:before="0" w:after="0" w:line="276" w:lineRule="auto"/>
      </w:pPr>
      <w:r>
        <w:t>SIE</w:t>
      </w:r>
      <w:r>
        <w:tab/>
      </w:r>
      <w:r>
        <w:tab/>
        <w:t>structurally intact elements</w:t>
      </w:r>
    </w:p>
    <w:p w14:paraId="1887AFE1" w14:textId="2D494B68" w:rsidR="00775B3E" w:rsidRDefault="00775B3E" w:rsidP="006F2DBD">
      <w:pPr>
        <w:pStyle w:val="ListParagraph"/>
        <w:spacing w:before="0" w:after="0" w:line="276" w:lineRule="auto"/>
      </w:pPr>
      <w:r>
        <w:t>SINE</w:t>
      </w:r>
      <w:r>
        <w:tab/>
      </w:r>
      <w:r>
        <w:tab/>
        <w:t>short interspersed element</w:t>
      </w:r>
    </w:p>
    <w:p w14:paraId="28731345" w14:textId="7C1C1E8A" w:rsidR="00775B3E" w:rsidRDefault="00775B3E" w:rsidP="006F2DBD">
      <w:pPr>
        <w:pStyle w:val="ListParagraph"/>
        <w:spacing w:before="0" w:after="0" w:line="276" w:lineRule="auto"/>
      </w:pPr>
      <w:r>
        <w:t>SNP</w:t>
      </w:r>
      <w:r>
        <w:tab/>
      </w:r>
      <w:r>
        <w:tab/>
        <w:t>single nucleotide polymorphism</w:t>
      </w:r>
    </w:p>
    <w:p w14:paraId="61B7114F" w14:textId="15B091AD" w:rsidR="00775B3E" w:rsidRDefault="00775B3E" w:rsidP="006F2DBD">
      <w:pPr>
        <w:pStyle w:val="ListParagraph"/>
        <w:spacing w:before="0" w:after="0" w:line="276" w:lineRule="auto"/>
      </w:pPr>
      <w:r>
        <w:t>SOLiD</w:t>
      </w:r>
      <w:r>
        <w:tab/>
      </w:r>
      <w:r>
        <w:tab/>
        <w:t>Sequencing by Oligonucleotide Ligation and Detection</w:t>
      </w:r>
    </w:p>
    <w:p w14:paraId="471FFC55" w14:textId="13D5A59F" w:rsidR="00775B3E" w:rsidRDefault="00775B3E" w:rsidP="006F2DBD">
      <w:pPr>
        <w:pStyle w:val="ListParagraph"/>
        <w:spacing w:before="0" w:after="0" w:line="276" w:lineRule="auto"/>
      </w:pPr>
      <w:r>
        <w:lastRenderedPageBreak/>
        <w:t>SPF</w:t>
      </w:r>
      <w:r>
        <w:tab/>
      </w:r>
      <w:r>
        <w:tab/>
        <w:t>specific pathogen-free</w:t>
      </w:r>
    </w:p>
    <w:p w14:paraId="312033A7" w14:textId="414E2416" w:rsidR="00775B3E" w:rsidRDefault="00775B3E" w:rsidP="006F2DBD">
      <w:pPr>
        <w:pStyle w:val="ListParagraph"/>
        <w:spacing w:before="0" w:after="0" w:line="276" w:lineRule="auto"/>
      </w:pPr>
      <w:r>
        <w:t>ssDNA</w:t>
      </w:r>
      <w:r>
        <w:tab/>
      </w:r>
      <w:r>
        <w:tab/>
        <w:t>single stranded deoxyribonucleic acid</w:t>
      </w:r>
    </w:p>
    <w:p w14:paraId="3B6A614A" w14:textId="79753F24" w:rsidR="00775B3E" w:rsidRDefault="00775B3E" w:rsidP="006F2DBD">
      <w:pPr>
        <w:pStyle w:val="ListParagraph"/>
        <w:spacing w:before="0" w:after="0" w:line="276" w:lineRule="auto"/>
      </w:pPr>
      <w:r>
        <w:t>ssRNA</w:t>
      </w:r>
      <w:r>
        <w:tab/>
      </w:r>
      <w:r>
        <w:tab/>
        <w:t>single stranded ribonucleic acid</w:t>
      </w:r>
    </w:p>
    <w:p w14:paraId="7B2322A1" w14:textId="0B0D96A3" w:rsidR="00775B3E" w:rsidRDefault="00775B3E" w:rsidP="006F2DBD">
      <w:pPr>
        <w:pStyle w:val="ListParagraph"/>
        <w:spacing w:before="0" w:after="0" w:line="276" w:lineRule="auto"/>
      </w:pPr>
      <w:r>
        <w:t>SU</w:t>
      </w:r>
      <w:r>
        <w:tab/>
      </w:r>
      <w:r>
        <w:tab/>
        <w:t>surface</w:t>
      </w:r>
    </w:p>
    <w:p w14:paraId="0DF47706" w14:textId="7191C610" w:rsidR="00775B3E" w:rsidRDefault="00775B3E" w:rsidP="006F2DBD">
      <w:pPr>
        <w:pStyle w:val="ListParagraph"/>
        <w:spacing w:before="0" w:after="0" w:line="276" w:lineRule="auto"/>
      </w:pPr>
      <w:r>
        <w:t>SV</w:t>
      </w:r>
      <w:r>
        <w:tab/>
      </w:r>
      <w:r>
        <w:tab/>
        <w:t>structural variant</w:t>
      </w:r>
    </w:p>
    <w:p w14:paraId="7686D075" w14:textId="58134E83" w:rsidR="00775B3E" w:rsidRDefault="00775B3E" w:rsidP="006F2DBD">
      <w:pPr>
        <w:pStyle w:val="ListParagraph"/>
        <w:spacing w:before="0" w:after="0" w:line="276" w:lineRule="auto"/>
      </w:pPr>
      <w:r>
        <w:t>TF</w:t>
      </w:r>
      <w:r>
        <w:tab/>
      </w:r>
      <w:r>
        <w:tab/>
        <w:t>transcription factor</w:t>
      </w:r>
    </w:p>
    <w:p w14:paraId="2CF809F2" w14:textId="59CE198C" w:rsidR="00775B3E" w:rsidRDefault="00775B3E" w:rsidP="006F2DBD">
      <w:pPr>
        <w:pStyle w:val="ListParagraph"/>
        <w:spacing w:before="0" w:after="0" w:line="276" w:lineRule="auto"/>
      </w:pPr>
      <w:r>
        <w:t>TM</w:t>
      </w:r>
      <w:r>
        <w:tab/>
      </w:r>
      <w:r>
        <w:tab/>
        <w:t>transmembrane</w:t>
      </w:r>
    </w:p>
    <w:p w14:paraId="52B6F95C" w14:textId="17804D5D" w:rsidR="00E65411" w:rsidRDefault="00E65411" w:rsidP="006F2DBD">
      <w:pPr>
        <w:pStyle w:val="ListParagraph"/>
        <w:spacing w:before="0" w:after="0" w:line="276" w:lineRule="auto"/>
      </w:pPr>
      <w:r>
        <w:t>Tm</w:t>
      </w:r>
      <w:r>
        <w:tab/>
      </w:r>
      <w:r>
        <w:tab/>
        <w:t>Melting temperature</w:t>
      </w:r>
    </w:p>
    <w:p w14:paraId="42A2630E" w14:textId="60249898" w:rsidR="00775B3E" w:rsidRDefault="00775B3E" w:rsidP="006F2DBD">
      <w:pPr>
        <w:pStyle w:val="ListParagraph"/>
        <w:spacing w:before="0" w:after="0" w:line="276" w:lineRule="auto"/>
      </w:pPr>
      <w:r>
        <w:t>tRNA</w:t>
      </w:r>
      <w:r>
        <w:tab/>
      </w:r>
      <w:r>
        <w:tab/>
        <w:t>transfer ribonucleic acid</w:t>
      </w:r>
    </w:p>
    <w:p w14:paraId="6ABED744" w14:textId="19D79C3F" w:rsidR="00775B3E" w:rsidRDefault="00775B3E" w:rsidP="006F2DBD">
      <w:pPr>
        <w:pStyle w:val="ListParagraph"/>
        <w:spacing w:before="0" w:after="0" w:line="276" w:lineRule="auto"/>
      </w:pPr>
      <w:r>
        <w:t>TSD</w:t>
      </w:r>
      <w:r>
        <w:tab/>
      </w:r>
      <w:r>
        <w:tab/>
        <w:t>target site duplications</w:t>
      </w:r>
    </w:p>
    <w:p w14:paraId="36553AF9" w14:textId="421DF7BE" w:rsidR="00775B3E" w:rsidRDefault="00775B3E" w:rsidP="006F2DBD">
      <w:pPr>
        <w:pStyle w:val="ListParagraph"/>
        <w:spacing w:before="0" w:after="0" w:line="276" w:lineRule="auto"/>
      </w:pPr>
      <w:r>
        <w:t>TSS</w:t>
      </w:r>
      <w:r>
        <w:tab/>
      </w:r>
      <w:r>
        <w:tab/>
        <w:t>transcription start site</w:t>
      </w:r>
    </w:p>
    <w:p w14:paraId="7EC4322D" w14:textId="15B8E6F5" w:rsidR="00775B3E" w:rsidRDefault="00775B3E" w:rsidP="006F2DBD">
      <w:pPr>
        <w:pStyle w:val="ListParagraph"/>
        <w:spacing w:before="0" w:after="0" w:line="276" w:lineRule="auto"/>
      </w:pPr>
      <w:r>
        <w:t>TU</w:t>
      </w:r>
      <w:r>
        <w:tab/>
      </w:r>
      <w:r>
        <w:tab/>
        <w:t>transcriptional units</w:t>
      </w:r>
    </w:p>
    <w:p w14:paraId="47C5F2BD" w14:textId="36D04EE4" w:rsidR="00775B3E" w:rsidRDefault="00775B3E" w:rsidP="006F2DBD">
      <w:pPr>
        <w:pStyle w:val="ListParagraph"/>
        <w:spacing w:before="0" w:after="0" w:line="276" w:lineRule="auto"/>
      </w:pPr>
      <w:r>
        <w:t>TV</w:t>
      </w:r>
      <w:r>
        <w:tab/>
      </w:r>
      <w:r>
        <w:tab/>
        <w:t>tumour virus</w:t>
      </w:r>
    </w:p>
    <w:p w14:paraId="24865D95" w14:textId="77777777" w:rsidR="00775B3E" w:rsidRDefault="00775B3E" w:rsidP="006F2DBD">
      <w:pPr>
        <w:pStyle w:val="ListParagraph"/>
        <w:spacing w:before="0" w:after="0" w:line="276" w:lineRule="auto"/>
      </w:pPr>
      <w:r>
        <w:t>U3-R-U5</w:t>
      </w:r>
      <w:r>
        <w:tab/>
        <w:t>unique 3' - repeated - unique 5'</w:t>
      </w:r>
    </w:p>
    <w:p w14:paraId="23788A73" w14:textId="77777777" w:rsidR="0087182C" w:rsidRDefault="0087182C" w:rsidP="0087182C">
      <w:pPr>
        <w:pStyle w:val="ListParagraph"/>
        <w:spacing w:before="0" w:after="0" w:line="276" w:lineRule="auto"/>
      </w:pPr>
      <w:r>
        <w:rPr>
          <w:rFonts w:ascii="Cambria" w:hAnsi="Cambria" w:cs="Cambria"/>
        </w:rPr>
        <w:t>μ</w:t>
      </w:r>
      <w:r>
        <w:t>l</w:t>
      </w:r>
      <w:r>
        <w:tab/>
      </w:r>
      <w:r>
        <w:tab/>
        <w:t>microlitre</w:t>
      </w:r>
    </w:p>
    <w:p w14:paraId="51C0F3D2" w14:textId="573D9FD5" w:rsidR="00775B3E" w:rsidRDefault="00775B3E" w:rsidP="006F2DBD">
      <w:pPr>
        <w:pStyle w:val="ListParagraph"/>
        <w:spacing w:before="0" w:after="0" w:line="276" w:lineRule="auto"/>
      </w:pPr>
      <w:r>
        <w:t>UTR</w:t>
      </w:r>
      <w:r>
        <w:tab/>
      </w:r>
      <w:r>
        <w:tab/>
        <w:t>untranslated region</w:t>
      </w:r>
    </w:p>
    <w:p w14:paraId="72569F32" w14:textId="0D669678" w:rsidR="00775B3E" w:rsidRDefault="00775B3E" w:rsidP="006F2DBD">
      <w:pPr>
        <w:pStyle w:val="ListParagraph"/>
        <w:spacing w:before="0" w:after="0" w:line="276" w:lineRule="auto"/>
      </w:pPr>
      <w:r>
        <w:t>VLDL</w:t>
      </w:r>
      <w:r>
        <w:tab/>
      </w:r>
      <w:r>
        <w:tab/>
        <w:t>very low density lipoprotein</w:t>
      </w:r>
    </w:p>
    <w:p w14:paraId="00262E30" w14:textId="6554AEA1" w:rsidR="00775B3E" w:rsidRDefault="00775B3E" w:rsidP="006F2DBD">
      <w:pPr>
        <w:pStyle w:val="ListParagraph"/>
        <w:spacing w:before="0" w:after="0" w:line="276" w:lineRule="auto"/>
      </w:pPr>
      <w:r>
        <w:t>WdSV</w:t>
      </w:r>
      <w:r>
        <w:tab/>
      </w:r>
      <w:r>
        <w:tab/>
        <w:t>Walleye dermal sarcoma virus</w:t>
      </w:r>
    </w:p>
    <w:p w14:paraId="53C6A600" w14:textId="2DEC0ACE" w:rsidR="00775B3E" w:rsidRDefault="00775B3E" w:rsidP="006F2DBD">
      <w:pPr>
        <w:pStyle w:val="ListParagraph"/>
        <w:spacing w:before="0" w:after="0" w:line="276" w:lineRule="auto"/>
      </w:pPr>
      <w:r>
        <w:t>WEL</w:t>
      </w:r>
      <w:r>
        <w:tab/>
      </w:r>
      <w:r>
        <w:tab/>
        <w:t>white egg layers</w:t>
      </w:r>
    </w:p>
    <w:p w14:paraId="06DB418B" w14:textId="5624626E" w:rsidR="00775B3E" w:rsidRDefault="00775B3E" w:rsidP="006F2DBD">
      <w:pPr>
        <w:pStyle w:val="ListParagraph"/>
        <w:spacing w:before="0" w:after="0" w:line="276" w:lineRule="auto"/>
      </w:pPr>
      <w:r>
        <w:t>WGS</w:t>
      </w:r>
      <w:r>
        <w:tab/>
      </w:r>
      <w:r>
        <w:tab/>
        <w:t>whole genome (re)sequencing</w:t>
      </w:r>
    </w:p>
    <w:p w14:paraId="246E36CF" w14:textId="3AE5A69C" w:rsidR="00775B3E" w:rsidRDefault="00775B3E" w:rsidP="006F2DBD">
      <w:pPr>
        <w:pStyle w:val="ListParagraph"/>
        <w:spacing w:before="0" w:after="0" w:line="276" w:lineRule="auto"/>
      </w:pPr>
      <w:r>
        <w:t>WL</w:t>
      </w:r>
      <w:r>
        <w:tab/>
      </w:r>
      <w:r>
        <w:tab/>
        <w:t>White Leghorn</w:t>
      </w:r>
    </w:p>
    <w:p w14:paraId="3339575A" w14:textId="599BC406" w:rsidR="00775B3E" w:rsidRDefault="00775B3E" w:rsidP="006F2DBD">
      <w:pPr>
        <w:pStyle w:val="ListParagraph"/>
        <w:spacing w:before="0" w:after="0" w:line="276" w:lineRule="auto"/>
      </w:pPr>
      <w:r>
        <w:t>WPR</w:t>
      </w:r>
      <w:r>
        <w:tab/>
      </w:r>
      <w:r>
        <w:tab/>
        <w:t>White Plymouth Rock</w:t>
      </w:r>
    </w:p>
    <w:p w14:paraId="6D284ECA" w14:textId="64DA458C" w:rsidR="00961414" w:rsidRDefault="00775B3E" w:rsidP="006F2DBD">
      <w:pPr>
        <w:pStyle w:val="ListParagraph"/>
        <w:spacing w:before="0" w:after="0" w:line="276" w:lineRule="auto"/>
      </w:pPr>
      <w:r>
        <w:t>YR</w:t>
      </w:r>
      <w:r>
        <w:tab/>
      </w:r>
      <w:r>
        <w:tab/>
        <w:t>tyrosine recombinase</w:t>
      </w:r>
    </w:p>
    <w:p w14:paraId="28866E8F" w14:textId="77777777" w:rsidR="00FF3E5A" w:rsidRDefault="00FF3E5A" w:rsidP="00391005">
      <w:pPr>
        <w:pStyle w:val="ListParagraph"/>
      </w:pPr>
    </w:p>
    <w:p w14:paraId="7C02DC40" w14:textId="77777777" w:rsidR="00961414" w:rsidRDefault="00961414" w:rsidP="00391005">
      <w:pPr>
        <w:pStyle w:val="ListParagraph"/>
        <w:sectPr w:rsidR="00961414" w:rsidSect="001B4326">
          <w:pgSz w:w="11906" w:h="16838"/>
          <w:pgMar w:top="1134" w:right="1418" w:bottom="2268" w:left="2268" w:header="709" w:footer="1066" w:gutter="0"/>
          <w:pgNumType w:fmt="lowerRoman"/>
          <w:cols w:space="708"/>
          <w:docGrid w:linePitch="360"/>
        </w:sectPr>
      </w:pPr>
    </w:p>
    <w:p w14:paraId="6D0F745F" w14:textId="19A8C38F" w:rsidR="00961414" w:rsidRDefault="00961414" w:rsidP="00FF3E5A">
      <w:pPr>
        <w:pStyle w:val="Intro"/>
        <w:numPr>
          <w:ilvl w:val="0"/>
          <w:numId w:val="0"/>
        </w:numPr>
        <w:ind w:left="431" w:hanging="431"/>
      </w:pPr>
      <w:bookmarkStart w:id="14" w:name="_Toc485721555"/>
      <w:bookmarkStart w:id="15" w:name="_Toc486787135"/>
      <w:bookmarkStart w:id="16" w:name="_Toc486787283"/>
      <w:r>
        <w:lastRenderedPageBreak/>
        <w:t>Table of Contents</w:t>
      </w:r>
      <w:bookmarkEnd w:id="14"/>
      <w:bookmarkEnd w:id="15"/>
      <w:bookmarkEnd w:id="16"/>
    </w:p>
    <w:sdt>
      <w:sdtPr>
        <w:rPr>
          <w:rFonts w:asciiTheme="minorHAnsi" w:eastAsiaTheme="minorHAnsi" w:hAnsiTheme="minorHAnsi" w:cstheme="minorBidi"/>
          <w:color w:val="auto"/>
          <w:sz w:val="22"/>
          <w:szCs w:val="22"/>
          <w:lang w:val="en-GB"/>
        </w:rPr>
        <w:id w:val="-632174716"/>
        <w:docPartObj>
          <w:docPartGallery w:val="Table of Contents"/>
          <w:docPartUnique/>
        </w:docPartObj>
      </w:sdtPr>
      <w:sdtEndPr>
        <w:rPr>
          <w:b/>
          <w:bCs/>
          <w:noProof/>
        </w:rPr>
      </w:sdtEndPr>
      <w:sdtContent>
        <w:p w14:paraId="5C259362" w14:textId="529CBE9E" w:rsidR="0046460A" w:rsidRPr="0046460A" w:rsidRDefault="0046460A">
          <w:pPr>
            <w:pStyle w:val="TOCHeading"/>
            <w:rPr>
              <w:rFonts w:ascii="Franklin Gothic Book" w:hAnsi="Franklin Gothic Book"/>
              <w:sz w:val="2"/>
              <w:szCs w:val="2"/>
            </w:rPr>
          </w:pPr>
        </w:p>
        <w:p w14:paraId="790E5BE5" w14:textId="2C015EB2" w:rsidR="0046460A" w:rsidRPr="00543288" w:rsidRDefault="0046460A">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r>
            <w:fldChar w:fldCharType="begin" w:fldLock="1"/>
          </w:r>
          <w:r w:rsidRPr="00543288">
            <w:instrText xml:space="preserve"> TOC \o "1-3" \h \z \u </w:instrText>
          </w:r>
          <w:r>
            <w:fldChar w:fldCharType="separate"/>
          </w:r>
          <w:hyperlink w:anchor="_Toc486787278" w:history="1">
            <w:r w:rsidRPr="00543288">
              <w:rPr>
                <w:rStyle w:val="Hyperlink"/>
                <w:rFonts w:ascii="Franklin Gothic Book" w:hAnsi="Franklin Gothic Book"/>
                <w:caps w:val="0"/>
                <w:noProof/>
                <w:sz w:val="24"/>
                <w:szCs w:val="24"/>
              </w:rPr>
              <w:t>Acknowledgements</w:t>
            </w:r>
            <w:r w:rsidRPr="00543288">
              <w:rPr>
                <w:rFonts w:ascii="Franklin Gothic Book" w:hAnsi="Franklin Gothic Book"/>
                <w:caps w:val="0"/>
                <w:noProof/>
                <w:webHidden/>
                <w:sz w:val="24"/>
                <w:szCs w:val="24"/>
              </w:rPr>
              <w:tab/>
            </w:r>
            <w:r w:rsidRPr="00543288">
              <w:rPr>
                <w:rFonts w:ascii="Franklin Gothic Book" w:hAnsi="Franklin Gothic Book"/>
                <w:caps w:val="0"/>
                <w:noProof/>
                <w:webHidden/>
                <w:sz w:val="24"/>
                <w:szCs w:val="24"/>
              </w:rPr>
              <w:fldChar w:fldCharType="begin" w:fldLock="1"/>
            </w:r>
            <w:r w:rsidRPr="00543288">
              <w:rPr>
                <w:rFonts w:ascii="Franklin Gothic Book" w:hAnsi="Franklin Gothic Book"/>
                <w:caps w:val="0"/>
                <w:noProof/>
                <w:webHidden/>
                <w:sz w:val="24"/>
                <w:szCs w:val="24"/>
              </w:rPr>
              <w:instrText xml:space="preserve"> PAGEREF _Toc486787278 \h </w:instrText>
            </w:r>
            <w:r w:rsidRPr="00543288">
              <w:rPr>
                <w:rFonts w:ascii="Franklin Gothic Book" w:hAnsi="Franklin Gothic Book"/>
                <w:caps w:val="0"/>
                <w:noProof/>
                <w:webHidden/>
                <w:sz w:val="24"/>
                <w:szCs w:val="24"/>
              </w:rPr>
            </w:r>
            <w:r w:rsidRPr="00543288">
              <w:rPr>
                <w:rFonts w:ascii="Franklin Gothic Book" w:hAnsi="Franklin Gothic Book"/>
                <w:caps w:val="0"/>
                <w:noProof/>
                <w:webHidden/>
                <w:sz w:val="24"/>
                <w:szCs w:val="24"/>
              </w:rPr>
              <w:fldChar w:fldCharType="separate"/>
            </w:r>
            <w:r w:rsidR="002C549C">
              <w:rPr>
                <w:rFonts w:ascii="Franklin Gothic Book" w:hAnsi="Franklin Gothic Book"/>
                <w:caps w:val="0"/>
                <w:noProof/>
                <w:webHidden/>
                <w:sz w:val="24"/>
                <w:szCs w:val="24"/>
              </w:rPr>
              <w:t>i</w:t>
            </w:r>
            <w:r w:rsidRPr="00543288">
              <w:rPr>
                <w:rFonts w:ascii="Franklin Gothic Book" w:hAnsi="Franklin Gothic Book"/>
                <w:caps w:val="0"/>
                <w:noProof/>
                <w:webHidden/>
                <w:sz w:val="24"/>
                <w:szCs w:val="24"/>
              </w:rPr>
              <w:fldChar w:fldCharType="end"/>
            </w:r>
          </w:hyperlink>
        </w:p>
        <w:p w14:paraId="36E8663D" w14:textId="4B9A9460"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79" w:history="1">
            <w:r w:rsidR="0046460A" w:rsidRPr="00543288">
              <w:rPr>
                <w:rStyle w:val="Hyperlink"/>
                <w:rFonts w:ascii="Franklin Gothic Book" w:hAnsi="Franklin Gothic Book"/>
                <w:caps w:val="0"/>
                <w:noProof/>
                <w:sz w:val="24"/>
                <w:szCs w:val="24"/>
              </w:rPr>
              <w:t>Declaration</w:t>
            </w:r>
            <w:r w:rsidR="0046460A" w:rsidRPr="00543288">
              <w:rPr>
                <w:rFonts w:ascii="Franklin Gothic Book" w:hAnsi="Franklin Gothic Book"/>
                <w:caps w:val="0"/>
                <w:noProof/>
                <w:webHidden/>
                <w:sz w:val="24"/>
                <w:szCs w:val="24"/>
              </w:rPr>
              <w:tab/>
            </w:r>
            <w:r w:rsidR="0046460A" w:rsidRPr="00543288">
              <w:rPr>
                <w:rFonts w:ascii="Franklin Gothic Book" w:hAnsi="Franklin Gothic Book"/>
                <w:caps w:val="0"/>
                <w:noProof/>
                <w:webHidden/>
                <w:sz w:val="24"/>
                <w:szCs w:val="24"/>
              </w:rPr>
              <w:fldChar w:fldCharType="begin" w:fldLock="1"/>
            </w:r>
            <w:r w:rsidR="0046460A" w:rsidRPr="00543288">
              <w:rPr>
                <w:rFonts w:ascii="Franklin Gothic Book" w:hAnsi="Franklin Gothic Book"/>
                <w:caps w:val="0"/>
                <w:noProof/>
                <w:webHidden/>
                <w:sz w:val="24"/>
                <w:szCs w:val="24"/>
              </w:rPr>
              <w:instrText xml:space="preserve"> PAGEREF _Toc486787279 \h </w:instrText>
            </w:r>
            <w:r w:rsidR="0046460A" w:rsidRPr="00543288">
              <w:rPr>
                <w:rFonts w:ascii="Franklin Gothic Book" w:hAnsi="Franklin Gothic Book"/>
                <w:caps w:val="0"/>
                <w:noProof/>
                <w:webHidden/>
                <w:sz w:val="24"/>
                <w:szCs w:val="24"/>
              </w:rPr>
            </w:r>
            <w:r w:rsidR="0046460A" w:rsidRPr="00543288">
              <w:rPr>
                <w:rFonts w:ascii="Franklin Gothic Book" w:hAnsi="Franklin Gothic Book"/>
                <w:caps w:val="0"/>
                <w:noProof/>
                <w:webHidden/>
                <w:sz w:val="24"/>
                <w:szCs w:val="24"/>
              </w:rPr>
              <w:fldChar w:fldCharType="separate"/>
            </w:r>
            <w:r w:rsidR="002C549C">
              <w:rPr>
                <w:rFonts w:ascii="Franklin Gothic Book" w:hAnsi="Franklin Gothic Book"/>
                <w:caps w:val="0"/>
                <w:noProof/>
                <w:webHidden/>
                <w:sz w:val="24"/>
                <w:szCs w:val="24"/>
              </w:rPr>
              <w:t>iii</w:t>
            </w:r>
            <w:r w:rsidR="0046460A" w:rsidRPr="00543288">
              <w:rPr>
                <w:rFonts w:ascii="Franklin Gothic Book" w:hAnsi="Franklin Gothic Book"/>
                <w:caps w:val="0"/>
                <w:noProof/>
                <w:webHidden/>
                <w:sz w:val="24"/>
                <w:szCs w:val="24"/>
              </w:rPr>
              <w:fldChar w:fldCharType="end"/>
            </w:r>
          </w:hyperlink>
        </w:p>
        <w:p w14:paraId="0CA70A5B" w14:textId="437B76FB"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0" w:history="1">
            <w:r w:rsidR="0046460A" w:rsidRPr="00D4785A">
              <w:rPr>
                <w:rStyle w:val="Hyperlink"/>
                <w:rFonts w:ascii="Franklin Gothic Book" w:hAnsi="Franklin Gothic Book"/>
                <w:caps w:val="0"/>
                <w:noProof/>
                <w:sz w:val="24"/>
                <w:szCs w:val="24"/>
              </w:rPr>
              <w:t>Abstract</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_Toc486787280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v</w:t>
            </w:r>
            <w:r w:rsidR="0046460A" w:rsidRPr="00D4785A">
              <w:rPr>
                <w:rFonts w:ascii="Franklin Gothic Book" w:hAnsi="Franklin Gothic Book"/>
                <w:caps w:val="0"/>
                <w:noProof/>
                <w:webHidden/>
                <w:sz w:val="24"/>
                <w:szCs w:val="24"/>
              </w:rPr>
              <w:fldChar w:fldCharType="end"/>
            </w:r>
          </w:hyperlink>
        </w:p>
        <w:p w14:paraId="7F44F083" w14:textId="410FCB7D"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1" w:history="1">
            <w:r w:rsidR="0046460A" w:rsidRPr="00543288">
              <w:rPr>
                <w:rStyle w:val="Hyperlink"/>
                <w:rFonts w:ascii="Franklin Gothic Book" w:hAnsi="Franklin Gothic Book"/>
                <w:caps w:val="0"/>
                <w:noProof/>
                <w:sz w:val="24"/>
                <w:szCs w:val="24"/>
              </w:rPr>
              <w:t>Lay Summary</w:t>
            </w:r>
            <w:r w:rsidR="0046460A" w:rsidRPr="00543288">
              <w:rPr>
                <w:rFonts w:ascii="Franklin Gothic Book" w:hAnsi="Franklin Gothic Book"/>
                <w:caps w:val="0"/>
                <w:noProof/>
                <w:webHidden/>
                <w:sz w:val="24"/>
                <w:szCs w:val="24"/>
              </w:rPr>
              <w:tab/>
            </w:r>
            <w:r w:rsidR="0046460A" w:rsidRPr="00543288">
              <w:rPr>
                <w:rFonts w:ascii="Franklin Gothic Book" w:hAnsi="Franklin Gothic Book"/>
                <w:caps w:val="0"/>
                <w:noProof/>
                <w:webHidden/>
                <w:sz w:val="24"/>
                <w:szCs w:val="24"/>
              </w:rPr>
              <w:fldChar w:fldCharType="begin" w:fldLock="1"/>
            </w:r>
            <w:r w:rsidR="0046460A" w:rsidRPr="00543288">
              <w:rPr>
                <w:rFonts w:ascii="Franklin Gothic Book" w:hAnsi="Franklin Gothic Book"/>
                <w:caps w:val="0"/>
                <w:noProof/>
                <w:webHidden/>
                <w:sz w:val="24"/>
                <w:szCs w:val="24"/>
              </w:rPr>
              <w:instrText xml:space="preserve"> PAGEREF _Toc486787281 \h </w:instrText>
            </w:r>
            <w:r w:rsidR="0046460A" w:rsidRPr="00543288">
              <w:rPr>
                <w:rFonts w:ascii="Franklin Gothic Book" w:hAnsi="Franklin Gothic Book"/>
                <w:caps w:val="0"/>
                <w:noProof/>
                <w:webHidden/>
                <w:sz w:val="24"/>
                <w:szCs w:val="24"/>
              </w:rPr>
            </w:r>
            <w:r w:rsidR="0046460A" w:rsidRPr="00543288">
              <w:rPr>
                <w:rFonts w:ascii="Franklin Gothic Book" w:hAnsi="Franklin Gothic Book"/>
                <w:caps w:val="0"/>
                <w:noProof/>
                <w:webHidden/>
                <w:sz w:val="24"/>
                <w:szCs w:val="24"/>
              </w:rPr>
              <w:fldChar w:fldCharType="separate"/>
            </w:r>
            <w:r w:rsidR="002C549C">
              <w:rPr>
                <w:rFonts w:ascii="Franklin Gothic Book" w:hAnsi="Franklin Gothic Book"/>
                <w:caps w:val="0"/>
                <w:noProof/>
                <w:webHidden/>
                <w:sz w:val="24"/>
                <w:szCs w:val="24"/>
              </w:rPr>
              <w:t>v</w:t>
            </w:r>
            <w:r w:rsidR="0046460A" w:rsidRPr="00543288">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ii</w:t>
          </w:r>
        </w:p>
        <w:p w14:paraId="12CBDF48" w14:textId="71210B1D"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2" w:history="1">
            <w:r w:rsidR="0046460A" w:rsidRPr="00D4785A">
              <w:rPr>
                <w:rStyle w:val="Hyperlink"/>
                <w:rFonts w:ascii="Franklin Gothic Book" w:hAnsi="Franklin Gothic Book"/>
                <w:caps w:val="0"/>
                <w:noProof/>
                <w:sz w:val="24"/>
                <w:szCs w:val="24"/>
              </w:rPr>
              <w:t>List of Abbreviations</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_Toc486787282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i</w:t>
            </w:r>
            <w:r w:rsidR="0046460A"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x</w:t>
          </w:r>
        </w:p>
        <w:p w14:paraId="32419337" w14:textId="4E7EF068"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3" w:history="1">
            <w:r w:rsidR="0046460A" w:rsidRPr="00543288">
              <w:rPr>
                <w:rStyle w:val="Hyperlink"/>
                <w:rFonts w:ascii="Franklin Gothic Book" w:hAnsi="Franklin Gothic Book"/>
                <w:caps w:val="0"/>
                <w:noProof/>
                <w:sz w:val="24"/>
                <w:szCs w:val="24"/>
              </w:rPr>
              <w:t>Table of Contents</w:t>
            </w:r>
            <w:r w:rsidR="0046460A" w:rsidRPr="00543288">
              <w:rPr>
                <w:rFonts w:ascii="Franklin Gothic Book" w:hAnsi="Franklin Gothic Book"/>
                <w:caps w:val="0"/>
                <w:noProof/>
                <w:webHidden/>
                <w:sz w:val="24"/>
                <w:szCs w:val="24"/>
              </w:rPr>
              <w:tab/>
            </w:r>
            <w:r w:rsidR="0046460A" w:rsidRPr="00543288">
              <w:rPr>
                <w:rFonts w:ascii="Franklin Gothic Book" w:hAnsi="Franklin Gothic Book"/>
                <w:caps w:val="0"/>
                <w:noProof/>
                <w:webHidden/>
                <w:sz w:val="24"/>
                <w:szCs w:val="24"/>
              </w:rPr>
              <w:fldChar w:fldCharType="begin" w:fldLock="1"/>
            </w:r>
            <w:r w:rsidR="0046460A" w:rsidRPr="00543288">
              <w:rPr>
                <w:rFonts w:ascii="Franklin Gothic Book" w:hAnsi="Franklin Gothic Book"/>
                <w:caps w:val="0"/>
                <w:noProof/>
                <w:webHidden/>
                <w:sz w:val="24"/>
                <w:szCs w:val="24"/>
              </w:rPr>
              <w:instrText xml:space="preserve"> PAGEREF _Toc486787283 \h </w:instrText>
            </w:r>
            <w:r w:rsidR="0046460A" w:rsidRPr="00543288">
              <w:rPr>
                <w:rFonts w:ascii="Franklin Gothic Book" w:hAnsi="Franklin Gothic Book"/>
                <w:caps w:val="0"/>
                <w:noProof/>
                <w:webHidden/>
                <w:sz w:val="24"/>
                <w:szCs w:val="24"/>
              </w:rPr>
            </w:r>
            <w:r w:rsidR="0046460A" w:rsidRPr="00543288">
              <w:rPr>
                <w:rFonts w:ascii="Franklin Gothic Book" w:hAnsi="Franklin Gothic Book"/>
                <w:caps w:val="0"/>
                <w:noProof/>
                <w:webHidden/>
                <w:sz w:val="24"/>
                <w:szCs w:val="24"/>
              </w:rPr>
              <w:fldChar w:fldCharType="separate"/>
            </w:r>
            <w:r w:rsidR="002C549C">
              <w:rPr>
                <w:rFonts w:ascii="Franklin Gothic Book" w:hAnsi="Franklin Gothic Book"/>
                <w:caps w:val="0"/>
                <w:noProof/>
                <w:webHidden/>
                <w:sz w:val="24"/>
                <w:szCs w:val="24"/>
              </w:rPr>
              <w:t>x</w:t>
            </w:r>
            <w:r w:rsidR="0046460A" w:rsidRPr="00543288">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iii</w:t>
          </w:r>
        </w:p>
        <w:p w14:paraId="18B97874" w14:textId="37D144E0"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4" w:history="1">
            <w:r w:rsidR="0046460A" w:rsidRPr="00D4785A">
              <w:rPr>
                <w:rStyle w:val="Hyperlink"/>
                <w:rFonts w:ascii="Franklin Gothic Book" w:hAnsi="Franklin Gothic Book"/>
                <w:caps w:val="0"/>
                <w:noProof/>
                <w:sz w:val="24"/>
                <w:szCs w:val="24"/>
              </w:rPr>
              <w:t>Table of Figures</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_Toc486787284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x</w:t>
            </w:r>
            <w:r w:rsidR="00D4785A" w:rsidRPr="00D4785A">
              <w:rPr>
                <w:rFonts w:ascii="Franklin Gothic Book" w:hAnsi="Franklin Gothic Book"/>
                <w:caps w:val="0"/>
                <w:noProof/>
                <w:webHidden/>
                <w:sz w:val="24"/>
                <w:szCs w:val="24"/>
              </w:rPr>
              <w:t>ix</w:t>
            </w:r>
            <w:r w:rsidR="0046460A" w:rsidRPr="00D4785A">
              <w:rPr>
                <w:rFonts w:ascii="Franklin Gothic Book" w:hAnsi="Franklin Gothic Book"/>
                <w:caps w:val="0"/>
                <w:noProof/>
                <w:webHidden/>
                <w:sz w:val="24"/>
                <w:szCs w:val="24"/>
              </w:rPr>
              <w:fldChar w:fldCharType="end"/>
            </w:r>
          </w:hyperlink>
        </w:p>
        <w:p w14:paraId="1E4EBAF5" w14:textId="5203478C" w:rsidR="0046460A" w:rsidRPr="00543288" w:rsidRDefault="009432A8">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5" w:history="1">
            <w:r w:rsidR="0046460A" w:rsidRPr="00D4785A">
              <w:rPr>
                <w:rStyle w:val="Hyperlink"/>
                <w:rFonts w:ascii="Franklin Gothic Book" w:hAnsi="Franklin Gothic Book"/>
                <w:caps w:val="0"/>
                <w:noProof/>
                <w:sz w:val="24"/>
                <w:szCs w:val="24"/>
              </w:rPr>
              <w:t>Table of Tables</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_Toc486787285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D4785A" w:rsidRPr="00D4785A">
              <w:rPr>
                <w:rFonts w:ascii="Franklin Gothic Book" w:hAnsi="Franklin Gothic Book"/>
                <w:caps w:val="0"/>
                <w:noProof/>
                <w:webHidden/>
                <w:sz w:val="24"/>
                <w:szCs w:val="24"/>
              </w:rPr>
              <w:t>xx</w:t>
            </w:r>
            <w:r w:rsidR="002C549C" w:rsidRPr="00D4785A">
              <w:rPr>
                <w:rFonts w:ascii="Franklin Gothic Book" w:hAnsi="Franklin Gothic Book"/>
                <w:caps w:val="0"/>
                <w:noProof/>
                <w:webHidden/>
                <w:sz w:val="24"/>
                <w:szCs w:val="24"/>
              </w:rPr>
              <w:t>iii</w:t>
            </w:r>
            <w:r w:rsidR="0046460A" w:rsidRPr="00D4785A">
              <w:rPr>
                <w:rFonts w:ascii="Franklin Gothic Book" w:hAnsi="Franklin Gothic Book"/>
                <w:caps w:val="0"/>
                <w:noProof/>
                <w:webHidden/>
                <w:sz w:val="24"/>
                <w:szCs w:val="24"/>
              </w:rPr>
              <w:fldChar w:fldCharType="end"/>
            </w:r>
          </w:hyperlink>
        </w:p>
        <w:p w14:paraId="067B19E7" w14:textId="77777777" w:rsidR="0046460A" w:rsidRPr="00543288" w:rsidRDefault="0046460A">
          <w:pPr>
            <w:pStyle w:val="TOC1"/>
            <w:tabs>
              <w:tab w:val="left" w:pos="1320"/>
              <w:tab w:val="right" w:leader="underscore" w:pos="8210"/>
            </w:tabs>
            <w:rPr>
              <w:rStyle w:val="Hyperlink"/>
              <w:rFonts w:ascii="Franklin Gothic Book" w:hAnsi="Franklin Gothic Book"/>
              <w:caps w:val="0"/>
              <w:noProof/>
              <w:sz w:val="12"/>
              <w:szCs w:val="12"/>
            </w:rPr>
          </w:pPr>
        </w:p>
        <w:p w14:paraId="4D67010D" w14:textId="48A4A1C0" w:rsidR="0046460A" w:rsidRPr="00543288" w:rsidRDefault="009432A8">
          <w:pPr>
            <w:pStyle w:val="TOC1"/>
            <w:tabs>
              <w:tab w:val="left" w:pos="1320"/>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86" w:history="1">
            <w:r w:rsidR="0046460A" w:rsidRPr="00543288">
              <w:rPr>
                <w:rStyle w:val="Hyperlink"/>
                <w:rFonts w:ascii="Franklin Gothic Book" w:hAnsi="Franklin Gothic Book"/>
                <w:caps w:val="0"/>
                <w:noProof/>
                <w:sz w:val="24"/>
                <w:szCs w:val="24"/>
              </w:rPr>
              <w:t>Chapter 1:</w:t>
            </w:r>
            <w:r w:rsidR="0046460A" w:rsidRPr="00543288">
              <w:rPr>
                <w:rFonts w:ascii="Franklin Gothic Book" w:eastAsiaTheme="minorEastAsia" w:hAnsi="Franklin Gothic Book" w:cstheme="minorBidi"/>
                <w:b w:val="0"/>
                <w:bCs w:val="0"/>
                <w:caps w:val="0"/>
                <w:noProof/>
                <w:sz w:val="24"/>
                <w:szCs w:val="24"/>
                <w:lang w:eastAsia="en-GB"/>
              </w:rPr>
              <w:tab/>
            </w:r>
            <w:r w:rsidR="0046460A" w:rsidRPr="00543288">
              <w:rPr>
                <w:rStyle w:val="Hyperlink"/>
                <w:rFonts w:ascii="Franklin Gothic Book" w:hAnsi="Franklin Gothic Book"/>
                <w:caps w:val="0"/>
                <w:noProof/>
                <w:sz w:val="24"/>
                <w:szCs w:val="24"/>
              </w:rPr>
              <w:t>Introduction</w:t>
            </w:r>
            <w:r w:rsidR="0046460A" w:rsidRPr="00543288">
              <w:rPr>
                <w:rFonts w:ascii="Franklin Gothic Book" w:hAnsi="Franklin Gothic Book"/>
                <w:caps w:val="0"/>
                <w:noProof/>
                <w:webHidden/>
                <w:sz w:val="24"/>
                <w:szCs w:val="24"/>
              </w:rPr>
              <w:tab/>
            </w:r>
            <w:r w:rsidR="0046460A" w:rsidRPr="00543288">
              <w:rPr>
                <w:rFonts w:ascii="Franklin Gothic Book" w:hAnsi="Franklin Gothic Book"/>
                <w:caps w:val="0"/>
                <w:noProof/>
                <w:webHidden/>
                <w:sz w:val="24"/>
                <w:szCs w:val="24"/>
              </w:rPr>
              <w:fldChar w:fldCharType="begin" w:fldLock="1"/>
            </w:r>
            <w:r w:rsidR="0046460A" w:rsidRPr="00543288">
              <w:rPr>
                <w:rFonts w:ascii="Franklin Gothic Book" w:hAnsi="Franklin Gothic Book"/>
                <w:caps w:val="0"/>
                <w:noProof/>
                <w:webHidden/>
                <w:sz w:val="24"/>
                <w:szCs w:val="24"/>
              </w:rPr>
              <w:instrText xml:space="preserve"> PAGEREF _Toc486787286 \h </w:instrText>
            </w:r>
            <w:r w:rsidR="0046460A" w:rsidRPr="00543288">
              <w:rPr>
                <w:rFonts w:ascii="Franklin Gothic Book" w:hAnsi="Franklin Gothic Book"/>
                <w:caps w:val="0"/>
                <w:noProof/>
                <w:webHidden/>
                <w:sz w:val="24"/>
                <w:szCs w:val="24"/>
              </w:rPr>
            </w:r>
            <w:r w:rsidR="0046460A" w:rsidRPr="00543288">
              <w:rPr>
                <w:rFonts w:ascii="Franklin Gothic Book" w:hAnsi="Franklin Gothic Book"/>
                <w:caps w:val="0"/>
                <w:noProof/>
                <w:webHidden/>
                <w:sz w:val="24"/>
                <w:szCs w:val="24"/>
              </w:rPr>
              <w:fldChar w:fldCharType="separate"/>
            </w:r>
            <w:r w:rsidR="002C549C">
              <w:rPr>
                <w:rFonts w:ascii="Franklin Gothic Book" w:hAnsi="Franklin Gothic Book"/>
                <w:caps w:val="0"/>
                <w:noProof/>
                <w:webHidden/>
                <w:sz w:val="24"/>
                <w:szCs w:val="24"/>
              </w:rPr>
              <w:t>1</w:t>
            </w:r>
            <w:r w:rsidR="0046460A" w:rsidRPr="00543288">
              <w:rPr>
                <w:rFonts w:ascii="Franklin Gothic Book" w:hAnsi="Franklin Gothic Book"/>
                <w:caps w:val="0"/>
                <w:noProof/>
                <w:webHidden/>
                <w:sz w:val="24"/>
                <w:szCs w:val="24"/>
              </w:rPr>
              <w:fldChar w:fldCharType="end"/>
            </w:r>
          </w:hyperlink>
        </w:p>
        <w:p w14:paraId="03A02478" w14:textId="6EDE0EA6"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287" w:history="1">
            <w:r w:rsidR="0046460A" w:rsidRPr="00543288">
              <w:rPr>
                <w:rStyle w:val="Hyperlink"/>
                <w:rFonts w:ascii="Franklin Gothic Book" w:hAnsi="Franklin Gothic Book"/>
                <w:noProof/>
                <w:sz w:val="24"/>
                <w:szCs w:val="24"/>
              </w:rPr>
              <w:t>1.1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LTR retrotransposons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_Toc486787287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w:t>
            </w:r>
            <w:r w:rsidR="0046460A" w:rsidRPr="00543288">
              <w:rPr>
                <w:rFonts w:ascii="Franklin Gothic Book" w:hAnsi="Franklin Gothic Book"/>
                <w:noProof/>
                <w:webHidden/>
                <w:sz w:val="24"/>
                <w:szCs w:val="24"/>
              </w:rPr>
              <w:fldChar w:fldCharType="end"/>
            </w:r>
          </w:hyperlink>
        </w:p>
        <w:p w14:paraId="31A3D3C8" w14:textId="57E4F695"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88" w:history="1">
            <w:r w:rsidR="0046460A" w:rsidRPr="00543288">
              <w:rPr>
                <w:rStyle w:val="Hyperlink"/>
                <w:rFonts w:ascii="Franklin Gothic Book" w:hAnsi="Franklin Gothic Book"/>
                <w:i w:val="0"/>
                <w:noProof/>
                <w:sz w:val="24"/>
                <w:szCs w:val="24"/>
              </w:rPr>
              <w:t>1.1.1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structure</w:t>
            </w:r>
            <w:r w:rsidR="0046460A" w:rsidRPr="00543288">
              <w:rPr>
                <w:rFonts w:ascii="Franklin Gothic Book" w:hAnsi="Franklin Gothic Book"/>
                <w:i w:val="0"/>
                <w:noProof/>
                <w:webHidden/>
                <w:sz w:val="24"/>
                <w:szCs w:val="24"/>
              </w:rPr>
              <w:tab/>
            </w:r>
            <w:r w:rsidR="000F6E90">
              <w:rPr>
                <w:rFonts w:ascii="Franklin Gothic Book" w:hAnsi="Franklin Gothic Book"/>
                <w:i w:val="0"/>
                <w:noProof/>
                <w:webHidden/>
                <w:sz w:val="24"/>
                <w:szCs w:val="24"/>
              </w:rPr>
              <w:t>2</w:t>
            </w:r>
          </w:hyperlink>
        </w:p>
        <w:p w14:paraId="75005E5E" w14:textId="05D48AC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89" w:history="1">
            <w:r w:rsidR="0046460A" w:rsidRPr="00543288">
              <w:rPr>
                <w:rStyle w:val="Hyperlink"/>
                <w:rFonts w:ascii="Franklin Gothic Book" w:hAnsi="Franklin Gothic Book"/>
                <w:i w:val="0"/>
                <w:noProof/>
                <w:sz w:val="24"/>
                <w:szCs w:val="24"/>
              </w:rPr>
              <w:t>1.1.2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Evolutionary origins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_Toc486787289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46460A" w:rsidRPr="00543288">
              <w:rPr>
                <w:rFonts w:ascii="Franklin Gothic Book" w:hAnsi="Franklin Gothic Book"/>
                <w:i w:val="0"/>
                <w:noProof/>
                <w:webHidden/>
                <w:sz w:val="24"/>
                <w:szCs w:val="24"/>
              </w:rPr>
              <w:fldChar w:fldCharType="end"/>
            </w:r>
          </w:hyperlink>
        </w:p>
        <w:p w14:paraId="2A313DA0" w14:textId="45DC7CD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0" w:history="1">
            <w:r w:rsidR="0046460A" w:rsidRPr="00543288">
              <w:rPr>
                <w:rStyle w:val="Hyperlink"/>
                <w:rFonts w:ascii="Franklin Gothic Book" w:hAnsi="Franklin Gothic Book"/>
                <w:i w:val="0"/>
                <w:noProof/>
                <w:sz w:val="24"/>
                <w:szCs w:val="24"/>
              </w:rPr>
              <w:t>1.1.3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and physiological impacts of LTR retrotransposons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46460A" w:rsidRPr="00543288">
              <w:rPr>
                <w:rFonts w:ascii="Franklin Gothic Book" w:hAnsi="Franklin Gothic Book"/>
                <w:i w:val="0"/>
                <w:noProof/>
                <w:webHidden/>
                <w:sz w:val="24"/>
                <w:szCs w:val="24"/>
              </w:rPr>
              <w:fldChar w:fldCharType="end"/>
            </w:r>
          </w:hyperlink>
        </w:p>
        <w:p w14:paraId="3E15F82B" w14:textId="36ADEC58"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291" w:history="1">
            <w:r w:rsidR="0046460A" w:rsidRPr="00543288">
              <w:rPr>
                <w:rStyle w:val="Hyperlink"/>
                <w:rFonts w:ascii="Franklin Gothic Book" w:hAnsi="Franklin Gothic Book"/>
                <w:noProof/>
                <w:sz w:val="24"/>
                <w:szCs w:val="24"/>
              </w:rPr>
              <w:t>1.2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study of LTR retrotransposons in the chicken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_Toc486787291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16</w:t>
            </w:r>
            <w:r w:rsidR="0046460A" w:rsidRPr="00543288">
              <w:rPr>
                <w:rFonts w:ascii="Franklin Gothic Book" w:hAnsi="Franklin Gothic Book"/>
                <w:noProof/>
                <w:webHidden/>
                <w:sz w:val="24"/>
                <w:szCs w:val="24"/>
              </w:rPr>
              <w:fldChar w:fldCharType="end"/>
            </w:r>
          </w:hyperlink>
        </w:p>
        <w:p w14:paraId="6BDE69AD" w14:textId="4950B43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2" w:history="1">
            <w:r w:rsidR="0046460A" w:rsidRPr="00543288">
              <w:rPr>
                <w:rStyle w:val="Hyperlink"/>
                <w:rFonts w:ascii="Franklin Gothic Book" w:hAnsi="Franklin Gothic Book"/>
                <w:i w:val="0"/>
                <w:noProof/>
                <w:sz w:val="24"/>
                <w:szCs w:val="24"/>
              </w:rPr>
              <w:t>1.2.1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Chicken genome structure and sequence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19</w:t>
            </w:r>
            <w:r w:rsidR="0046460A" w:rsidRPr="00543288">
              <w:rPr>
                <w:rFonts w:ascii="Franklin Gothic Book" w:hAnsi="Franklin Gothic Book"/>
                <w:i w:val="0"/>
                <w:noProof/>
                <w:webHidden/>
                <w:sz w:val="24"/>
                <w:szCs w:val="24"/>
              </w:rPr>
              <w:fldChar w:fldCharType="end"/>
            </w:r>
          </w:hyperlink>
        </w:p>
        <w:p w14:paraId="4E890CCE" w14:textId="381DE64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3" w:history="1">
            <w:r w:rsidR="0046460A" w:rsidRPr="00543288">
              <w:rPr>
                <w:rStyle w:val="Hyperlink"/>
                <w:rFonts w:ascii="Franklin Gothic Book" w:hAnsi="Franklin Gothic Book"/>
                <w:i w:val="0"/>
                <w:noProof/>
                <w:sz w:val="24"/>
                <w:szCs w:val="24"/>
              </w:rPr>
              <w:t>1.2.2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Chicken LTR retrotransposon content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23</w:t>
            </w:r>
            <w:r w:rsidR="0046460A" w:rsidRPr="00543288">
              <w:rPr>
                <w:rFonts w:ascii="Franklin Gothic Book" w:hAnsi="Franklin Gothic Book"/>
                <w:i w:val="0"/>
                <w:noProof/>
                <w:webHidden/>
                <w:sz w:val="24"/>
                <w:szCs w:val="24"/>
              </w:rPr>
              <w:fldChar w:fldCharType="end"/>
            </w:r>
          </w:hyperlink>
        </w:p>
        <w:p w14:paraId="7ABD1785" w14:textId="6E177B18"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4" w:history="1">
            <w:r w:rsidR="0046460A" w:rsidRPr="00543288">
              <w:rPr>
                <w:rStyle w:val="Hyperlink"/>
                <w:rFonts w:ascii="Franklin Gothic Book" w:hAnsi="Franklin Gothic Book"/>
                <w:i w:val="0"/>
                <w:noProof/>
                <w:sz w:val="24"/>
                <w:szCs w:val="24"/>
              </w:rPr>
              <w:t>1.2.3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The endogenous alpharetroviruses of the chicken genome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26</w:t>
            </w:r>
            <w:r w:rsidR="0046460A" w:rsidRPr="00543288">
              <w:rPr>
                <w:rFonts w:ascii="Franklin Gothic Book" w:hAnsi="Franklin Gothic Book"/>
                <w:i w:val="0"/>
                <w:noProof/>
                <w:webHidden/>
                <w:sz w:val="24"/>
                <w:szCs w:val="24"/>
              </w:rPr>
              <w:fldChar w:fldCharType="end"/>
            </w:r>
          </w:hyperlink>
        </w:p>
        <w:p w14:paraId="433C3D9B" w14:textId="15DA30FF"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295" w:history="1">
            <w:r w:rsidR="0046460A" w:rsidRPr="00543288">
              <w:rPr>
                <w:rStyle w:val="Hyperlink"/>
                <w:rFonts w:ascii="Franklin Gothic Book" w:hAnsi="Franklin Gothic Book"/>
                <w:noProof/>
                <w:sz w:val="24"/>
                <w:szCs w:val="24"/>
              </w:rPr>
              <w:t>1.3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scope of this PhD project</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_Toc486787295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30</w:t>
            </w:r>
            <w:r w:rsidR="0046460A" w:rsidRPr="00543288">
              <w:rPr>
                <w:rFonts w:ascii="Franklin Gothic Book" w:hAnsi="Franklin Gothic Book"/>
                <w:noProof/>
                <w:webHidden/>
                <w:sz w:val="24"/>
                <w:szCs w:val="24"/>
              </w:rPr>
              <w:fldChar w:fldCharType="end"/>
            </w:r>
          </w:hyperlink>
        </w:p>
        <w:p w14:paraId="2992810B" w14:textId="77777777" w:rsidR="0046460A" w:rsidRPr="00543288" w:rsidRDefault="0046460A" w:rsidP="0046460A">
          <w:pPr>
            <w:pStyle w:val="TOC1"/>
            <w:tabs>
              <w:tab w:val="left" w:pos="1320"/>
              <w:tab w:val="right" w:leader="underscore" w:pos="8210"/>
            </w:tabs>
            <w:rPr>
              <w:rStyle w:val="Hyperlink"/>
              <w:rFonts w:ascii="Franklin Gothic Book" w:hAnsi="Franklin Gothic Book"/>
              <w:caps w:val="0"/>
              <w:noProof/>
              <w:sz w:val="12"/>
              <w:szCs w:val="12"/>
            </w:rPr>
          </w:pPr>
        </w:p>
        <w:p w14:paraId="7914398C" w14:textId="7AC4F6AB" w:rsidR="0046460A" w:rsidRPr="00543288" w:rsidRDefault="009432A8">
          <w:pPr>
            <w:pStyle w:val="TOC1"/>
            <w:tabs>
              <w:tab w:val="left" w:pos="1320"/>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296" w:history="1">
            <w:r w:rsidR="0046460A" w:rsidRPr="00D4785A">
              <w:rPr>
                <w:rStyle w:val="Hyperlink"/>
                <w:rFonts w:ascii="Franklin Gothic Book" w:hAnsi="Franklin Gothic Book"/>
                <w:caps w:val="0"/>
                <w:noProof/>
                <w:sz w:val="24"/>
                <w:szCs w:val="24"/>
              </w:rPr>
              <w:t>Chapter 2:</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Materials and Methods (i)</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_Toc486787296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3</w:t>
            </w:r>
            <w:r w:rsidR="00D4785A" w:rsidRPr="00D4785A">
              <w:rPr>
                <w:rFonts w:ascii="Franklin Gothic Book" w:hAnsi="Franklin Gothic Book"/>
                <w:caps w:val="0"/>
                <w:noProof/>
                <w:webHidden/>
                <w:sz w:val="24"/>
                <w:szCs w:val="24"/>
              </w:rPr>
              <w:t>3</w:t>
            </w:r>
            <w:r w:rsidR="0046460A" w:rsidRPr="00D4785A">
              <w:rPr>
                <w:rFonts w:ascii="Franklin Gothic Book" w:hAnsi="Franklin Gothic Book"/>
                <w:caps w:val="0"/>
                <w:noProof/>
                <w:webHidden/>
                <w:sz w:val="24"/>
                <w:szCs w:val="24"/>
              </w:rPr>
              <w:fldChar w:fldCharType="end"/>
            </w:r>
          </w:hyperlink>
        </w:p>
        <w:p w14:paraId="17F0B2B0" w14:textId="590FDFF0"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297" w:history="1">
            <w:r w:rsidR="0046460A" w:rsidRPr="00543288">
              <w:rPr>
                <w:rStyle w:val="Hyperlink"/>
                <w:rFonts w:ascii="Franklin Gothic Book" w:hAnsi="Franklin Gothic Book"/>
                <w:noProof/>
                <w:sz w:val="24"/>
                <w:szCs w:val="24"/>
              </w:rPr>
              <w:t>2.1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Development of LocaTR – an integrated identification pipeline for LTR retrotransposons, using the Galgal4 chicken genome assembly</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_Toc486787297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3</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0803C31D" w14:textId="59B1413B"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8" w:history="1">
            <w:r w:rsidR="0046460A" w:rsidRPr="00543288">
              <w:rPr>
                <w:rStyle w:val="Hyperlink"/>
                <w:rFonts w:ascii="Franklin Gothic Book" w:hAnsi="Franklin Gothic Book"/>
                <w:i w:val="0"/>
                <w:noProof/>
                <w:sz w:val="24"/>
                <w:szCs w:val="24"/>
              </w:rPr>
              <w:t>2.1.1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resources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3</w:t>
          </w:r>
        </w:p>
        <w:p w14:paraId="1360D35B" w14:textId="18B71480"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299" w:history="1">
            <w:r w:rsidR="0046460A" w:rsidRPr="00543288">
              <w:rPr>
                <w:rStyle w:val="Hyperlink"/>
                <w:rFonts w:ascii="Franklin Gothic Book" w:hAnsi="Franklin Gothic Book"/>
                <w:i w:val="0"/>
                <w:noProof/>
                <w:sz w:val="24"/>
                <w:szCs w:val="24"/>
              </w:rPr>
              <w:t>2.1.2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Construction of the LocaTR LTR retrotransposon identification pipeline</w:t>
            </w:r>
            <w:r w:rsidR="0046460A" w:rsidRPr="00543288">
              <w:rPr>
                <w:rFonts w:ascii="Franklin Gothic Book" w:hAnsi="Franklin Gothic Book"/>
                <w:i w:val="0"/>
                <w:noProof/>
                <w:webHidden/>
                <w:sz w:val="24"/>
                <w:szCs w:val="24"/>
              </w:rPr>
              <w:tab/>
              <w:t>________________________________________________________</w:t>
            </w:r>
            <w:r w:rsidR="0046460A" w:rsidRPr="00543288">
              <w:rPr>
                <w:rFonts w:ascii="Franklin Gothic Book" w:hAnsi="Franklin Gothic Book"/>
                <w:i w:val="0"/>
                <w:noProof/>
                <w:webHidden/>
                <w:sz w:val="44"/>
                <w:szCs w:val="24"/>
              </w:rPr>
              <w:t xml:space="preserve">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_Toc486787299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3</w:t>
          </w:r>
        </w:p>
        <w:p w14:paraId="0498F6CB" w14:textId="48F1CA6B"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0" w:history="1">
            <w:r w:rsidR="0046460A" w:rsidRPr="00543288">
              <w:rPr>
                <w:rStyle w:val="Hyperlink"/>
                <w:rFonts w:ascii="Franklin Gothic Book" w:hAnsi="Franklin Gothic Book"/>
                <w:i w:val="0"/>
                <w:noProof/>
                <w:sz w:val="24"/>
                <w:szCs w:val="24"/>
              </w:rPr>
              <w:t>2.1.3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In silico methods for the identification of LTR retrotransposons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7B408E14" w14:textId="0AF81FA9"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01" w:history="1">
            <w:r w:rsidR="0046460A" w:rsidRPr="00543288">
              <w:rPr>
                <w:rStyle w:val="Hyperlink"/>
                <w:rFonts w:ascii="Franklin Gothic Book" w:hAnsi="Franklin Gothic Book"/>
                <w:noProof/>
                <w:sz w:val="24"/>
                <w:szCs w:val="24"/>
              </w:rPr>
              <w:t>2.2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Analysis of the LTR retrotransposons identified in the Galgal4 chicken genome assembly</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_Toc486787301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3</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8</w:t>
          </w:r>
        </w:p>
        <w:p w14:paraId="76978847" w14:textId="1B6C31FD"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2" w:history="1">
            <w:r w:rsidR="0046460A" w:rsidRPr="00543288">
              <w:rPr>
                <w:rStyle w:val="Hyperlink"/>
                <w:rFonts w:ascii="Franklin Gothic Book" w:hAnsi="Franklin Gothic Book"/>
                <w:i w:val="0"/>
                <w:noProof/>
                <w:sz w:val="24"/>
                <w:szCs w:val="24"/>
              </w:rPr>
              <w:t>2.2.1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Initial characterisation of structurally intact LTR retrotransposons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2E54051A" w14:textId="578E045C"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3" w:history="1">
            <w:r w:rsidR="0046460A" w:rsidRPr="00543288">
              <w:rPr>
                <w:rStyle w:val="Hyperlink"/>
                <w:rFonts w:ascii="Franklin Gothic Book" w:hAnsi="Franklin Gothic Book"/>
                <w:i w:val="0"/>
                <w:noProof/>
                <w:sz w:val="24"/>
                <w:szCs w:val="24"/>
              </w:rPr>
              <w:t>2.2.2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distribution of LTR retrotransposons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68549348" w14:textId="6E44F457"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4" w:history="1">
            <w:r w:rsidR="0046460A" w:rsidRPr="00543288">
              <w:rPr>
                <w:rStyle w:val="Hyperlink"/>
                <w:rFonts w:ascii="Franklin Gothic Book" w:hAnsi="Franklin Gothic Book"/>
                <w:i w:val="0"/>
                <w:noProof/>
                <w:sz w:val="24"/>
                <w:szCs w:val="24"/>
              </w:rPr>
              <w:t>2.2.3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Analysis of the expression of structurally intact LTR retrotransposons</w:t>
            </w:r>
            <w:r w:rsidR="0046460A" w:rsidRPr="00543288">
              <w:rPr>
                <w:rFonts w:ascii="Franklin Gothic Book" w:hAnsi="Franklin Gothic Book"/>
                <w:i w:val="0"/>
                <w:noProof/>
                <w:webHidden/>
                <w:sz w:val="24"/>
                <w:szCs w:val="24"/>
              </w:rPr>
              <w:tab/>
              <w:t>________________________________________________________</w:t>
            </w:r>
            <w:r w:rsidR="0046460A" w:rsidRPr="00543288">
              <w:rPr>
                <w:rFonts w:ascii="Franklin Gothic Book" w:hAnsi="Franklin Gothic Book"/>
                <w:i w:val="0"/>
                <w:noProof/>
                <w:webHidden/>
                <w:sz w:val="46"/>
                <w:szCs w:val="24"/>
              </w:rPr>
              <w:t xml:space="preserve">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2</w:t>
          </w:r>
        </w:p>
        <w:p w14:paraId="0FA30D06" w14:textId="71E190CF"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05" w:history="1">
            <w:r w:rsidR="0046460A" w:rsidRPr="00543288">
              <w:rPr>
                <w:rStyle w:val="Hyperlink"/>
                <w:rFonts w:ascii="Franklin Gothic Book" w:hAnsi="Franklin Gothic Book"/>
                <w:noProof/>
                <w:sz w:val="24"/>
                <w:szCs w:val="24"/>
              </w:rPr>
              <w:t>2.3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Comparative analyses of the LTR retrotransposon content of the Galgal4 and Galgal5 chicken genome assemblies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_Toc486787305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4</w:t>
          </w:r>
        </w:p>
        <w:p w14:paraId="7D3746D0" w14:textId="3840ECFB"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6" w:history="1">
            <w:r w:rsidR="0046460A" w:rsidRPr="00543288">
              <w:rPr>
                <w:rStyle w:val="Hyperlink"/>
                <w:rFonts w:ascii="Franklin Gothic Book" w:hAnsi="Franklin Gothic Book"/>
                <w:i w:val="0"/>
                <w:noProof/>
                <w:sz w:val="24"/>
                <w:szCs w:val="24"/>
              </w:rPr>
              <w:t>2.3.1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Analysis of the Galgal5 assembly with LocaTR</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4CA49D23" w14:textId="1E93DFE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7" w:history="1">
            <w:r w:rsidR="0046460A" w:rsidRPr="00543288">
              <w:rPr>
                <w:rStyle w:val="Hyperlink"/>
                <w:rFonts w:ascii="Franklin Gothic Book" w:hAnsi="Franklin Gothic Book"/>
                <w:i w:val="0"/>
                <w:noProof/>
                <w:sz w:val="24"/>
                <w:szCs w:val="24"/>
              </w:rPr>
              <w:t>2.3.2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Analysis of the LTR retrotransposons of the Galgal5 genome assembly</w:t>
            </w:r>
            <w:r w:rsidR="0046460A" w:rsidRPr="00543288">
              <w:rPr>
                <w:rFonts w:ascii="Franklin Gothic Book" w:hAnsi="Franklin Gothic Book"/>
                <w:i w:val="0"/>
                <w:noProof/>
                <w:webHidden/>
                <w:sz w:val="24"/>
                <w:szCs w:val="24"/>
              </w:rPr>
              <w:tab/>
              <w:t>________________________________________________________</w:t>
            </w:r>
            <w:r w:rsidR="0046460A" w:rsidRPr="00543288">
              <w:rPr>
                <w:rFonts w:ascii="Franklin Gothic Book" w:hAnsi="Franklin Gothic Book"/>
                <w:i w:val="0"/>
                <w:noProof/>
                <w:webHidden/>
                <w:sz w:val="42"/>
                <w:szCs w:val="24"/>
              </w:rPr>
              <w:t xml:space="preserve">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622D200E" w14:textId="21BBD961"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08" w:history="1">
            <w:r w:rsidR="0046460A" w:rsidRPr="00543288">
              <w:rPr>
                <w:rStyle w:val="Hyperlink"/>
                <w:rFonts w:ascii="Franklin Gothic Book" w:hAnsi="Franklin Gothic Book"/>
                <w:noProof/>
                <w:sz w:val="24"/>
                <w:szCs w:val="24"/>
              </w:rPr>
              <w:t>2.4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Analysis of LTR retrotransposon content across the avian lineage</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_Toc486787308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783398D7" w14:textId="1689FCA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09" w:history="1">
            <w:r w:rsidR="0046460A" w:rsidRPr="00543288">
              <w:rPr>
                <w:rStyle w:val="Hyperlink"/>
                <w:rFonts w:ascii="Franklin Gothic Book" w:hAnsi="Franklin Gothic Book"/>
                <w:i w:val="0"/>
                <w:noProof/>
                <w:sz w:val="24"/>
                <w:szCs w:val="24"/>
              </w:rPr>
              <w:t>2.4.1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resources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_Toc486787309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6E7B758D" w14:textId="1C6DA212"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10" w:history="1">
            <w:r w:rsidR="0046460A" w:rsidRPr="00543288">
              <w:rPr>
                <w:rStyle w:val="Hyperlink"/>
                <w:rFonts w:ascii="Franklin Gothic Book" w:hAnsi="Franklin Gothic Book"/>
                <w:i w:val="0"/>
                <w:noProof/>
                <w:sz w:val="24"/>
                <w:szCs w:val="24"/>
              </w:rPr>
              <w:t>2.4.2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Homology approach using updated Galgal4 LTR retrotransposon content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_Toc486787310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11598F65" w14:textId="0B52AD0A"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11" w:history="1">
            <w:r w:rsidR="0046460A" w:rsidRPr="00543288">
              <w:rPr>
                <w:rStyle w:val="Hyperlink"/>
                <w:rFonts w:ascii="Franklin Gothic Book" w:hAnsi="Franklin Gothic Book"/>
                <w:i w:val="0"/>
                <w:noProof/>
                <w:sz w:val="24"/>
                <w:szCs w:val="24"/>
              </w:rPr>
              <w:t>2.4.3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identification using LocaTR</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_Toc486787311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5</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1</w:t>
          </w:r>
        </w:p>
        <w:p w14:paraId="77F7A6A0" w14:textId="77777777" w:rsidR="0046460A" w:rsidRPr="00543288" w:rsidRDefault="0046460A" w:rsidP="0046460A">
          <w:pPr>
            <w:pStyle w:val="TOC1"/>
            <w:tabs>
              <w:tab w:val="left" w:pos="1320"/>
              <w:tab w:val="right" w:leader="underscore" w:pos="8210"/>
            </w:tabs>
            <w:ind w:left="1320" w:hanging="1320"/>
            <w:rPr>
              <w:rStyle w:val="Hyperlink"/>
              <w:rFonts w:ascii="Franklin Gothic Book" w:hAnsi="Franklin Gothic Book"/>
              <w:caps w:val="0"/>
              <w:noProof/>
              <w:sz w:val="12"/>
              <w:szCs w:val="12"/>
            </w:rPr>
          </w:pPr>
        </w:p>
        <w:p w14:paraId="33DEE232" w14:textId="3B71E5D3" w:rsidR="0046460A" w:rsidRPr="00543288" w:rsidRDefault="009432A8" w:rsidP="0046460A">
          <w:pPr>
            <w:pStyle w:val="TOC1"/>
            <w:tabs>
              <w:tab w:val="left" w:pos="1320"/>
              <w:tab w:val="right" w:leader="underscore" w:pos="8210"/>
            </w:tabs>
            <w:ind w:left="1320" w:hanging="1320"/>
            <w:rPr>
              <w:rFonts w:ascii="Franklin Gothic Book" w:eastAsiaTheme="minorEastAsia" w:hAnsi="Franklin Gothic Book" w:cstheme="minorBidi"/>
              <w:b w:val="0"/>
              <w:bCs w:val="0"/>
              <w:caps w:val="0"/>
              <w:noProof/>
              <w:sz w:val="24"/>
              <w:szCs w:val="24"/>
              <w:lang w:eastAsia="en-GB"/>
            </w:rPr>
          </w:pPr>
          <w:hyperlink w:anchor="_Toc486787312" w:history="1">
            <w:r w:rsidR="0046460A" w:rsidRPr="00D4785A">
              <w:rPr>
                <w:rStyle w:val="Hyperlink"/>
                <w:rFonts w:ascii="Franklin Gothic Book" w:hAnsi="Franklin Gothic Book"/>
                <w:caps w:val="0"/>
                <w:noProof/>
                <w:sz w:val="24"/>
                <w:szCs w:val="24"/>
              </w:rPr>
              <w:t>Chapter 3:</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A new look at the LTR retrotransposon content of the chicken genome</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_Toc486787312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5</w:t>
            </w:r>
            <w:r w:rsidR="0046460A"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3</w:t>
          </w:r>
        </w:p>
        <w:p w14:paraId="08985D1A" w14:textId="0D3F74E7"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13" w:history="1">
            <w:r w:rsidR="0046460A" w:rsidRPr="00543288">
              <w:rPr>
                <w:rStyle w:val="Hyperlink"/>
                <w:rFonts w:ascii="Franklin Gothic Book" w:hAnsi="Franklin Gothic Book"/>
                <w:noProof/>
                <w:sz w:val="24"/>
                <w:szCs w:val="24"/>
              </w:rPr>
              <w:t>3.1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Introduction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_Toc486787313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5</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5838661E" w14:textId="151C1A8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14" w:history="1">
            <w:r w:rsidR="0046460A" w:rsidRPr="00543288">
              <w:rPr>
                <w:rStyle w:val="Hyperlink"/>
                <w:rFonts w:ascii="Franklin Gothic Book" w:hAnsi="Franklin Gothic Book"/>
                <w:i w:val="0"/>
                <w:noProof/>
                <w:sz w:val="24"/>
                <w:szCs w:val="24"/>
              </w:rPr>
              <w:t>3.1.1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Review of the available identification methodologies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_Toc486787314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5</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06B2652B" w14:textId="00E076A4"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15" w:history="1">
            <w:r w:rsidR="0046460A" w:rsidRPr="00543288">
              <w:rPr>
                <w:rStyle w:val="Hyperlink"/>
                <w:rFonts w:ascii="Franklin Gothic Book" w:hAnsi="Franklin Gothic Book"/>
                <w:noProof/>
                <w:sz w:val="24"/>
                <w:szCs w:val="24"/>
              </w:rPr>
              <w:t>3.2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Research Aims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_Toc486787315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5</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8</w:t>
          </w:r>
        </w:p>
        <w:p w14:paraId="04DFD50D" w14:textId="70E71124"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16" w:history="1">
            <w:r w:rsidR="0046460A" w:rsidRPr="00543288">
              <w:rPr>
                <w:rStyle w:val="Hyperlink"/>
                <w:rFonts w:ascii="Franklin Gothic Book" w:hAnsi="Franklin Gothic Book"/>
                <w:noProof/>
                <w:sz w:val="24"/>
                <w:szCs w:val="24"/>
              </w:rPr>
              <w:t>3.3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Statement of publication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_Toc486787316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5</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19FD1091" w14:textId="19549B06"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17" w:history="1">
            <w:r w:rsidR="0046460A" w:rsidRPr="00543288">
              <w:rPr>
                <w:rStyle w:val="Hyperlink"/>
                <w:rFonts w:ascii="Franklin Gothic Book" w:hAnsi="Franklin Gothic Book"/>
                <w:noProof/>
                <w:sz w:val="24"/>
                <w:szCs w:val="24"/>
              </w:rPr>
              <w:t>3.4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Development of the LocaTR identification pipeline</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_Toc486787317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5</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1C715109" w14:textId="1AC6A5DF"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18" w:history="1">
            <w:r w:rsidR="0046460A" w:rsidRPr="00543288">
              <w:rPr>
                <w:rStyle w:val="Hyperlink"/>
                <w:rFonts w:ascii="Franklin Gothic Book" w:hAnsi="Franklin Gothic Book"/>
                <w:i w:val="0"/>
                <w:noProof/>
                <w:sz w:val="24"/>
                <w:szCs w:val="24"/>
              </w:rPr>
              <w:t>3.4.1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Initial optimisation of individual identification programs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_Toc486787318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2</w:t>
          </w:r>
        </w:p>
        <w:p w14:paraId="423E8F40" w14:textId="5470029D"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19" w:history="1">
            <w:r w:rsidR="0046460A" w:rsidRPr="00543288">
              <w:rPr>
                <w:rStyle w:val="Hyperlink"/>
                <w:rFonts w:ascii="Franklin Gothic Book" w:hAnsi="Franklin Gothic Book"/>
                <w:noProof/>
                <w:sz w:val="24"/>
                <w:szCs w:val="24"/>
              </w:rPr>
              <w:t>3.5</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LocaTR analysis of the Galgal4 chicken assembly</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_Toc486787319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6</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w:t>
          </w:r>
        </w:p>
        <w:p w14:paraId="750A60F0" w14:textId="69983B40"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0" w:history="1">
            <w:r w:rsidR="0046460A" w:rsidRPr="00543288">
              <w:rPr>
                <w:rStyle w:val="Hyperlink"/>
                <w:rFonts w:ascii="Franklin Gothic Book" w:hAnsi="Franklin Gothic Book"/>
                <w:i w:val="0"/>
                <w:noProof/>
                <w:sz w:val="24"/>
                <w:szCs w:val="24"/>
              </w:rPr>
              <w:t>3.5.1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Characterisation of the structurally intact LTR retrotransposons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_Toc486787320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2A35DD76" w14:textId="6F65A7AB"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21" w:history="1">
            <w:r w:rsidR="0046460A" w:rsidRPr="00543288">
              <w:rPr>
                <w:rStyle w:val="Hyperlink"/>
                <w:rFonts w:ascii="Franklin Gothic Book" w:hAnsi="Franklin Gothic Book"/>
                <w:i w:val="0"/>
                <w:noProof/>
                <w:sz w:val="24"/>
                <w:szCs w:val="24"/>
              </w:rPr>
              <w:t>3.5.2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Changes in LTR retrotransposon annotation since the previous genome assembly (Galgal3)</w:t>
            </w:r>
            <w:r w:rsidR="0046460A" w:rsidRPr="00543288">
              <w:rPr>
                <w:rFonts w:ascii="Franklin Gothic Book" w:hAnsi="Franklin Gothic Book"/>
                <w:i w:val="0"/>
                <w:noProof/>
                <w:webHidden/>
                <w:sz w:val="24"/>
                <w:szCs w:val="24"/>
              </w:rPr>
              <w:tab/>
            </w:r>
          </w:hyperlink>
          <w:r w:rsidR="00D4785A">
            <w:rPr>
              <w:rFonts w:ascii="Franklin Gothic Book" w:hAnsi="Franklin Gothic Book"/>
              <w:i w:val="0"/>
              <w:noProof/>
              <w:sz w:val="24"/>
              <w:szCs w:val="24"/>
            </w:rPr>
            <w:t>70</w:t>
          </w:r>
        </w:p>
        <w:p w14:paraId="6F7DBE86" w14:textId="58C2C93C"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22" w:history="1">
            <w:r w:rsidR="0046460A" w:rsidRPr="00543288">
              <w:rPr>
                <w:rStyle w:val="Hyperlink"/>
                <w:rFonts w:ascii="Franklin Gothic Book" w:hAnsi="Franklin Gothic Book"/>
                <w:noProof/>
                <w:sz w:val="24"/>
                <w:szCs w:val="24"/>
              </w:rPr>
              <w:t>3.6</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Analysis of the LTR retrotransposons of Galgal4</w:t>
            </w:r>
            <w:r w:rsidR="0046460A" w:rsidRPr="00543288">
              <w:rPr>
                <w:rFonts w:ascii="Franklin Gothic Book" w:hAnsi="Franklin Gothic Book"/>
                <w:noProof/>
                <w:webHidden/>
                <w:sz w:val="24"/>
                <w:szCs w:val="24"/>
              </w:rPr>
              <w:tab/>
            </w:r>
          </w:hyperlink>
          <w:r w:rsidR="00D4785A">
            <w:rPr>
              <w:rFonts w:ascii="Franklin Gothic Book" w:hAnsi="Franklin Gothic Book"/>
              <w:noProof/>
              <w:sz w:val="24"/>
              <w:szCs w:val="24"/>
            </w:rPr>
            <w:t>71</w:t>
          </w:r>
        </w:p>
        <w:p w14:paraId="4602FF88" w14:textId="078367FD"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3" w:history="1">
            <w:r w:rsidR="0046460A" w:rsidRPr="00543288">
              <w:rPr>
                <w:rStyle w:val="Hyperlink"/>
                <w:rFonts w:ascii="Franklin Gothic Book" w:hAnsi="Franklin Gothic Book"/>
                <w:i w:val="0"/>
                <w:noProof/>
                <w:sz w:val="24"/>
                <w:szCs w:val="24"/>
              </w:rPr>
              <w:t>3.6.1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density</w:t>
            </w:r>
            <w:r w:rsidR="0046460A" w:rsidRPr="00543288">
              <w:rPr>
                <w:rFonts w:ascii="Franklin Gothic Book" w:hAnsi="Franklin Gothic Book"/>
                <w:i w:val="0"/>
                <w:noProof/>
                <w:webHidden/>
                <w:sz w:val="24"/>
                <w:szCs w:val="24"/>
              </w:rPr>
              <w:tab/>
            </w:r>
          </w:hyperlink>
          <w:r w:rsidR="00D4785A">
            <w:rPr>
              <w:rFonts w:ascii="Franklin Gothic Book" w:hAnsi="Franklin Gothic Book"/>
              <w:i w:val="0"/>
              <w:noProof/>
              <w:sz w:val="24"/>
              <w:szCs w:val="24"/>
            </w:rPr>
            <w:t>71</w:t>
          </w:r>
        </w:p>
        <w:p w14:paraId="7C11F120" w14:textId="6B2D88CA"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4" w:history="1">
            <w:r w:rsidR="0046460A" w:rsidRPr="00543288">
              <w:rPr>
                <w:rStyle w:val="Hyperlink"/>
                <w:rFonts w:ascii="Franklin Gothic Book" w:hAnsi="Franklin Gothic Book"/>
                <w:i w:val="0"/>
                <w:noProof/>
                <w:sz w:val="24"/>
                <w:szCs w:val="24"/>
              </w:rPr>
              <w:t>3.6.2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distribution relative to transcriptional units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_Toc486787324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7</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w:t>
          </w:r>
        </w:p>
        <w:p w14:paraId="575C47F8" w14:textId="044372FF"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25" w:history="1">
            <w:r w:rsidR="0046460A" w:rsidRPr="00543288">
              <w:rPr>
                <w:rStyle w:val="Hyperlink"/>
                <w:rFonts w:ascii="Franklin Gothic Book" w:hAnsi="Franklin Gothic Book"/>
                <w:noProof/>
                <w:sz w:val="24"/>
                <w:szCs w:val="24"/>
              </w:rPr>
              <w:t>3.7</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Analysis of structurally intact LTR retrotransposon expression</w:t>
            </w:r>
            <w:r w:rsidR="0046460A" w:rsidRPr="00543288">
              <w:rPr>
                <w:rFonts w:ascii="Franklin Gothic Book" w:hAnsi="Franklin Gothic Book"/>
                <w:noProof/>
                <w:webHidden/>
                <w:sz w:val="24"/>
                <w:szCs w:val="24"/>
              </w:rPr>
              <w:tab/>
            </w:r>
          </w:hyperlink>
          <w:r w:rsidR="00D4785A">
            <w:rPr>
              <w:rFonts w:ascii="Franklin Gothic Book" w:hAnsi="Franklin Gothic Book"/>
              <w:noProof/>
              <w:sz w:val="24"/>
              <w:szCs w:val="24"/>
            </w:rPr>
            <w:t>80</w:t>
          </w:r>
        </w:p>
        <w:p w14:paraId="0A41CBF0" w14:textId="55B31E0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6" w:history="1">
            <w:r w:rsidR="0046460A" w:rsidRPr="00543288">
              <w:rPr>
                <w:rStyle w:val="Hyperlink"/>
                <w:rFonts w:ascii="Franklin Gothic Book" w:hAnsi="Franklin Gothic Book"/>
                <w:i w:val="0"/>
                <w:noProof/>
                <w:sz w:val="24"/>
                <w:szCs w:val="24"/>
              </w:rPr>
              <w:t>3.7.1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Characterisation of Ovex1, the co-opted endogenous gammaretrovirus</w:t>
            </w:r>
            <w:r w:rsidR="0046460A" w:rsidRPr="00543288">
              <w:rPr>
                <w:rFonts w:ascii="Franklin Gothic Book" w:hAnsi="Franklin Gothic Book"/>
                <w:i w:val="0"/>
                <w:noProof/>
                <w:webHidden/>
                <w:sz w:val="24"/>
                <w:szCs w:val="24"/>
              </w:rPr>
              <w:tab/>
              <w:t>________________________________________________________</w:t>
            </w:r>
            <w:r w:rsidR="0046460A" w:rsidRPr="00543288">
              <w:rPr>
                <w:rFonts w:ascii="Franklin Gothic Book" w:hAnsi="Franklin Gothic Book"/>
                <w:i w:val="0"/>
                <w:noProof/>
                <w:webHidden/>
                <w:sz w:val="40"/>
                <w:szCs w:val="24"/>
              </w:rPr>
              <w:t xml:space="preserve"> </w:t>
            </w:r>
          </w:hyperlink>
          <w:r w:rsidR="00D4785A">
            <w:rPr>
              <w:rFonts w:ascii="Franklin Gothic Book" w:hAnsi="Franklin Gothic Book"/>
              <w:i w:val="0"/>
              <w:noProof/>
              <w:sz w:val="24"/>
              <w:szCs w:val="24"/>
            </w:rPr>
            <w:t>81</w:t>
          </w:r>
        </w:p>
        <w:p w14:paraId="19397DAC" w14:textId="0279E71F"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27" w:history="1">
            <w:r w:rsidR="0046460A" w:rsidRPr="00543288">
              <w:rPr>
                <w:rStyle w:val="Hyperlink"/>
                <w:rFonts w:ascii="Franklin Gothic Book" w:hAnsi="Franklin Gothic Book"/>
                <w:noProof/>
                <w:sz w:val="24"/>
                <w:szCs w:val="24"/>
              </w:rPr>
              <w:t>3.8</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Discussion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_Toc486787327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8</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4D96EDE6" w14:textId="2252B438"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8" w:history="1">
            <w:r w:rsidR="0046460A" w:rsidRPr="00543288">
              <w:rPr>
                <w:rStyle w:val="Hyperlink"/>
                <w:rFonts w:ascii="Franklin Gothic Book" w:hAnsi="Franklin Gothic Book"/>
                <w:i w:val="0"/>
                <w:noProof/>
                <w:sz w:val="24"/>
                <w:szCs w:val="24"/>
              </w:rPr>
              <w:t>3.8.1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The development of the LocaTR identification pipeline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_Toc486787328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32317629" w14:textId="189642F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29" w:history="1">
            <w:r w:rsidR="0046460A" w:rsidRPr="00543288">
              <w:rPr>
                <w:rStyle w:val="Hyperlink"/>
                <w:rFonts w:ascii="Franklin Gothic Book" w:hAnsi="Franklin Gothic Book"/>
                <w:i w:val="0"/>
                <w:noProof/>
                <w:sz w:val="24"/>
                <w:szCs w:val="24"/>
              </w:rPr>
              <w:t>3.8.2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distribution in the chicken genome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_Toc486787329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w:t>
          </w:r>
        </w:p>
        <w:p w14:paraId="2E8EC20F" w14:textId="37452B1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30" w:history="1">
            <w:r w:rsidR="0046460A" w:rsidRPr="00543288">
              <w:rPr>
                <w:rStyle w:val="Hyperlink"/>
                <w:rFonts w:ascii="Franklin Gothic Book" w:hAnsi="Franklin Gothic Book"/>
                <w:i w:val="0"/>
                <w:noProof/>
                <w:sz w:val="24"/>
                <w:szCs w:val="24"/>
              </w:rPr>
              <w:t>3.8.3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activity within the chicken genome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_Toc486787330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35B79802" w14:textId="406FF380"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31" w:history="1">
            <w:r w:rsidR="0046460A" w:rsidRPr="00543288">
              <w:rPr>
                <w:rStyle w:val="Hyperlink"/>
                <w:rFonts w:ascii="Franklin Gothic Book" w:hAnsi="Franklin Gothic Book"/>
                <w:noProof/>
                <w:sz w:val="24"/>
                <w:szCs w:val="24"/>
              </w:rPr>
              <w:t>3.9</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Concluding remarks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_Toc486787331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8</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2D64AC00" w14:textId="77777777" w:rsidR="0046460A" w:rsidRPr="00543288" w:rsidRDefault="0046460A" w:rsidP="0046460A">
          <w:pPr>
            <w:pStyle w:val="TOC1"/>
            <w:tabs>
              <w:tab w:val="left" w:pos="1320"/>
              <w:tab w:val="right" w:leader="underscore" w:pos="8210"/>
            </w:tabs>
            <w:ind w:left="1320" w:hanging="1320"/>
            <w:rPr>
              <w:rStyle w:val="Hyperlink"/>
              <w:rFonts w:ascii="Franklin Gothic Book" w:hAnsi="Franklin Gothic Book"/>
              <w:caps w:val="0"/>
              <w:noProof/>
              <w:sz w:val="12"/>
              <w:szCs w:val="12"/>
            </w:rPr>
          </w:pPr>
        </w:p>
        <w:p w14:paraId="5F4F6768" w14:textId="5C9331B4" w:rsidR="0046460A" w:rsidRPr="00543288" w:rsidRDefault="009432A8" w:rsidP="0046460A">
          <w:pPr>
            <w:pStyle w:val="TOC1"/>
            <w:tabs>
              <w:tab w:val="left" w:pos="1320"/>
              <w:tab w:val="right" w:leader="underscore" w:pos="8210"/>
            </w:tabs>
            <w:ind w:left="1320" w:hanging="1320"/>
            <w:rPr>
              <w:rFonts w:ascii="Franklin Gothic Book" w:eastAsiaTheme="minorEastAsia" w:hAnsi="Franklin Gothic Book" w:cstheme="minorBidi"/>
              <w:b w:val="0"/>
              <w:bCs w:val="0"/>
              <w:caps w:val="0"/>
              <w:noProof/>
              <w:sz w:val="24"/>
              <w:szCs w:val="24"/>
              <w:lang w:eastAsia="en-GB"/>
            </w:rPr>
          </w:pPr>
          <w:hyperlink w:anchor="_Toc486787332" w:history="1">
            <w:r w:rsidR="0046460A" w:rsidRPr="00D4785A">
              <w:rPr>
                <w:rStyle w:val="Hyperlink"/>
                <w:rFonts w:ascii="Franklin Gothic Book" w:hAnsi="Franklin Gothic Book"/>
                <w:caps w:val="0"/>
                <w:noProof/>
                <w:sz w:val="24"/>
                <w:szCs w:val="24"/>
              </w:rPr>
              <w:t>Chapter 4:</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Patterns in LTR retrotransposon content across the Avian lineage</w:t>
            </w:r>
            <w:r w:rsidR="0046460A" w:rsidRPr="00D4785A">
              <w:rPr>
                <w:rFonts w:ascii="Franklin Gothic Book" w:hAnsi="Franklin Gothic Book"/>
                <w:caps w:val="0"/>
                <w:noProof/>
                <w:webHidden/>
                <w:sz w:val="24"/>
                <w:szCs w:val="24"/>
              </w:rPr>
              <w:tab/>
            </w:r>
          </w:hyperlink>
          <w:r w:rsidR="00D4785A">
            <w:rPr>
              <w:rFonts w:ascii="Franklin Gothic Book" w:hAnsi="Franklin Gothic Book"/>
              <w:caps w:val="0"/>
              <w:noProof/>
              <w:sz w:val="24"/>
              <w:szCs w:val="24"/>
            </w:rPr>
            <w:t>91</w:t>
          </w:r>
        </w:p>
        <w:p w14:paraId="043EE317" w14:textId="3A030D19"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33" w:history="1">
            <w:r w:rsidR="0046460A" w:rsidRPr="00543288">
              <w:rPr>
                <w:rStyle w:val="Hyperlink"/>
                <w:rFonts w:ascii="Franklin Gothic Book" w:hAnsi="Franklin Gothic Book"/>
                <w:noProof/>
                <w:sz w:val="24"/>
                <w:szCs w:val="24"/>
              </w:rPr>
              <w:t>4.1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Introduction</w:t>
            </w:r>
            <w:r w:rsidR="0046460A" w:rsidRPr="00543288">
              <w:rPr>
                <w:rFonts w:ascii="Franklin Gothic Book" w:hAnsi="Franklin Gothic Book"/>
                <w:noProof/>
                <w:webHidden/>
                <w:sz w:val="24"/>
                <w:szCs w:val="24"/>
              </w:rPr>
              <w:tab/>
            </w:r>
          </w:hyperlink>
          <w:r w:rsidR="00D4785A">
            <w:rPr>
              <w:rFonts w:ascii="Franklin Gothic Book" w:hAnsi="Franklin Gothic Book"/>
              <w:noProof/>
              <w:sz w:val="24"/>
              <w:szCs w:val="24"/>
            </w:rPr>
            <w:t>91</w:t>
          </w:r>
        </w:p>
        <w:p w14:paraId="7B9AA8D1" w14:textId="0EC706E2"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34" w:history="1">
            <w:r w:rsidR="0046460A" w:rsidRPr="00543288">
              <w:rPr>
                <w:rStyle w:val="Hyperlink"/>
                <w:rFonts w:ascii="Franklin Gothic Book" w:hAnsi="Franklin Gothic Book"/>
                <w:noProof/>
                <w:sz w:val="24"/>
                <w:szCs w:val="24"/>
              </w:rPr>
              <w:t>4.2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Research Aims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_Toc486787334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9</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774B545B" w14:textId="010658A3"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35" w:history="1">
            <w:r w:rsidR="0046460A" w:rsidRPr="00543288">
              <w:rPr>
                <w:rStyle w:val="Hyperlink"/>
                <w:rFonts w:ascii="Franklin Gothic Book" w:hAnsi="Franklin Gothic Book"/>
                <w:noProof/>
                <w:sz w:val="24"/>
                <w:szCs w:val="24"/>
              </w:rPr>
              <w:t>4.3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Statement of publication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_Toc486787335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9</w:t>
            </w:r>
            <w:r w:rsidR="00D4785A">
              <w:rPr>
                <w:rFonts w:ascii="Franklin Gothic Book" w:hAnsi="Franklin Gothic Book"/>
                <w:noProof/>
                <w:webHidden/>
                <w:sz w:val="24"/>
                <w:szCs w:val="24"/>
              </w:rPr>
              <w:t>3</w:t>
            </w:r>
            <w:r w:rsidR="0046460A" w:rsidRPr="00543288">
              <w:rPr>
                <w:rFonts w:ascii="Franklin Gothic Book" w:hAnsi="Franklin Gothic Book"/>
                <w:noProof/>
                <w:webHidden/>
                <w:sz w:val="24"/>
                <w:szCs w:val="24"/>
              </w:rPr>
              <w:fldChar w:fldCharType="end"/>
            </w:r>
          </w:hyperlink>
        </w:p>
        <w:p w14:paraId="1FF01FC5" w14:textId="5FA2A3D9"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36" w:history="1">
            <w:r w:rsidR="0046460A" w:rsidRPr="00543288">
              <w:rPr>
                <w:rStyle w:val="Hyperlink"/>
                <w:rFonts w:ascii="Franklin Gothic Book" w:hAnsi="Franklin Gothic Book"/>
                <w:noProof/>
                <w:sz w:val="24"/>
                <w:szCs w:val="24"/>
              </w:rPr>
              <w:t>4.4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Identification of the LTR retrotransposon content of the new Galgal5 chicken genome assembly</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_Toc486787336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9</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59FF9405" w14:textId="1F3B4AA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37" w:history="1">
            <w:r w:rsidR="0046460A" w:rsidRPr="00543288">
              <w:rPr>
                <w:rStyle w:val="Hyperlink"/>
                <w:rFonts w:ascii="Franklin Gothic Book" w:hAnsi="Franklin Gothic Book"/>
                <w:i w:val="0"/>
                <w:noProof/>
                <w:sz w:val="24"/>
                <w:szCs w:val="24"/>
              </w:rPr>
              <w:t>4.4.1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LTR retrotransposon density</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_Toc486787337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3CDE5A49" w14:textId="1BF7CF3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38" w:history="1">
            <w:r w:rsidR="0046460A" w:rsidRPr="00543288">
              <w:rPr>
                <w:rStyle w:val="Hyperlink"/>
                <w:rFonts w:ascii="Franklin Gothic Book" w:hAnsi="Franklin Gothic Book"/>
                <w:i w:val="0"/>
                <w:noProof/>
                <w:sz w:val="24"/>
                <w:szCs w:val="24"/>
              </w:rPr>
              <w:t>4.4.2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The distribution of LTR retrotransposons relative to genomic features</w:t>
            </w:r>
            <w:r w:rsidR="0046460A" w:rsidRPr="00543288">
              <w:rPr>
                <w:rFonts w:ascii="Franklin Gothic Book" w:hAnsi="Franklin Gothic Book"/>
                <w:i w:val="0"/>
                <w:noProof/>
                <w:webHidden/>
                <w:sz w:val="24"/>
                <w:szCs w:val="24"/>
              </w:rPr>
              <w:tab/>
              <w:t>________________________________________________________</w:t>
            </w:r>
            <w:r w:rsidR="0046460A" w:rsidRPr="00543288">
              <w:rPr>
                <w:rFonts w:ascii="Franklin Gothic Book" w:hAnsi="Franklin Gothic Book"/>
                <w:i w:val="0"/>
                <w:noProof/>
                <w:webHidden/>
                <w:sz w:val="40"/>
                <w:szCs w:val="24"/>
              </w:rPr>
              <w:t xml:space="preserve">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_Toc486787338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393A6D86" w14:textId="51F14C47"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39" w:history="1">
            <w:r w:rsidR="0046460A" w:rsidRPr="00543288">
              <w:rPr>
                <w:rStyle w:val="Hyperlink"/>
                <w:rFonts w:ascii="Franklin Gothic Book" w:hAnsi="Franklin Gothic Book"/>
                <w:noProof/>
                <w:sz w:val="24"/>
                <w:szCs w:val="24"/>
              </w:rPr>
              <w:t>4.5</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LTR retrotransposon content across the avian lineage</w:t>
            </w:r>
            <w:r w:rsidR="0046460A" w:rsidRPr="00543288">
              <w:rPr>
                <w:rFonts w:ascii="Franklin Gothic Book" w:hAnsi="Franklin Gothic Book"/>
                <w:noProof/>
                <w:webHidden/>
                <w:sz w:val="24"/>
                <w:szCs w:val="24"/>
              </w:rPr>
              <w:tab/>
            </w:r>
          </w:hyperlink>
          <w:r w:rsidR="00D4785A">
            <w:rPr>
              <w:rFonts w:ascii="Franklin Gothic Book" w:hAnsi="Franklin Gothic Book"/>
              <w:noProof/>
              <w:sz w:val="24"/>
              <w:szCs w:val="24"/>
            </w:rPr>
            <w:t>100</w:t>
          </w:r>
        </w:p>
        <w:p w14:paraId="118880B4" w14:textId="75BD3223"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40" w:history="1">
            <w:r w:rsidR="0046460A" w:rsidRPr="00543288">
              <w:rPr>
                <w:rStyle w:val="Hyperlink"/>
                <w:rFonts w:ascii="Franklin Gothic Book" w:hAnsi="Franklin Gothic Book"/>
                <w:i w:val="0"/>
                <w:noProof/>
                <w:sz w:val="24"/>
                <w:szCs w:val="24"/>
              </w:rPr>
              <w:t>4.5.1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Homology-based annotation using the LTR retrotransposon sequences identified in the analysis of the Galgal4 assembly</w:t>
            </w:r>
            <w:r w:rsidR="0046460A" w:rsidRPr="00543288">
              <w:rPr>
                <w:rFonts w:ascii="Franklin Gothic Book" w:hAnsi="Franklin Gothic Book"/>
                <w:i w:val="0"/>
                <w:noProof/>
                <w:webHidden/>
                <w:sz w:val="24"/>
                <w:szCs w:val="24"/>
              </w:rPr>
              <w:tab/>
            </w:r>
          </w:hyperlink>
          <w:r w:rsidR="00D4785A">
            <w:rPr>
              <w:rFonts w:ascii="Franklin Gothic Book" w:hAnsi="Franklin Gothic Book"/>
              <w:i w:val="0"/>
              <w:noProof/>
              <w:sz w:val="24"/>
              <w:szCs w:val="24"/>
            </w:rPr>
            <w:t>100</w:t>
          </w:r>
        </w:p>
        <w:p w14:paraId="3CBE36C2" w14:textId="2198192A"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41" w:history="1">
            <w:r w:rsidR="0046460A" w:rsidRPr="00543288">
              <w:rPr>
                <w:rStyle w:val="Hyperlink"/>
                <w:rFonts w:ascii="Franklin Gothic Book" w:hAnsi="Franklin Gothic Book"/>
                <w:i w:val="0"/>
                <w:noProof/>
                <w:sz w:val="24"/>
                <w:szCs w:val="24"/>
              </w:rPr>
              <w:t>4.5.2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LocaTR analysis of the avian lineage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_Toc486787341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10</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6847813F" w14:textId="04A03E79"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42" w:history="1">
            <w:r w:rsidR="0046460A" w:rsidRPr="00543288">
              <w:rPr>
                <w:rStyle w:val="Hyperlink"/>
                <w:rFonts w:ascii="Franklin Gothic Book" w:hAnsi="Franklin Gothic Book"/>
                <w:noProof/>
                <w:sz w:val="24"/>
                <w:szCs w:val="24"/>
              </w:rPr>
              <w:t>4.6</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Discussion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_Toc486787342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11</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1A3646C0" w14:textId="7B9D7759"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43" w:history="1">
            <w:r w:rsidR="0046460A" w:rsidRPr="00543288">
              <w:rPr>
                <w:rStyle w:val="Hyperlink"/>
                <w:rFonts w:ascii="Franklin Gothic Book" w:hAnsi="Franklin Gothic Book"/>
                <w:i w:val="0"/>
                <w:noProof/>
                <w:sz w:val="24"/>
                <w:szCs w:val="24"/>
              </w:rPr>
              <w:t>4.6.1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The LTR retrotransposons of the chicken genome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_Toc486787343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3</w:t>
          </w:r>
        </w:p>
        <w:p w14:paraId="2F44E6B4" w14:textId="538E752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44" w:history="1">
            <w:r w:rsidR="0046460A" w:rsidRPr="00543288">
              <w:rPr>
                <w:rStyle w:val="Hyperlink"/>
                <w:rFonts w:ascii="Franklin Gothic Book" w:hAnsi="Franklin Gothic Book"/>
                <w:i w:val="0"/>
                <w:noProof/>
                <w:sz w:val="24"/>
                <w:szCs w:val="24"/>
              </w:rPr>
              <w:t>4.6.2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Heterogeneous LTR retrotransposon content across the avian lineage</w:t>
            </w:r>
            <w:r w:rsidR="0046460A" w:rsidRPr="00543288">
              <w:rPr>
                <w:rFonts w:ascii="Franklin Gothic Book" w:hAnsi="Franklin Gothic Book"/>
                <w:i w:val="0"/>
                <w:noProof/>
                <w:webHidden/>
                <w:sz w:val="24"/>
                <w:szCs w:val="24"/>
              </w:rPr>
              <w:tab/>
              <w:t xml:space="preserve">_______________________________________________________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_Toc486787344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01534EA7" w14:textId="0FABD1BA"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45" w:history="1">
            <w:r w:rsidR="0046460A" w:rsidRPr="00543288">
              <w:rPr>
                <w:rStyle w:val="Hyperlink"/>
                <w:rFonts w:ascii="Franklin Gothic Book" w:hAnsi="Franklin Gothic Book"/>
                <w:i w:val="0"/>
                <w:noProof/>
                <w:sz w:val="24"/>
                <w:szCs w:val="24"/>
              </w:rPr>
              <w:t>4.6.3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Analysis of multiple genomes with LocaTR</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_Toc486787345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w:t>
          </w:r>
        </w:p>
        <w:p w14:paraId="73FD062D" w14:textId="6558F031"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46" w:history="1">
            <w:r w:rsidR="0046460A" w:rsidRPr="00543288">
              <w:rPr>
                <w:rStyle w:val="Hyperlink"/>
                <w:rFonts w:ascii="Franklin Gothic Book" w:hAnsi="Franklin Gothic Book"/>
                <w:noProof/>
                <w:sz w:val="24"/>
                <w:szCs w:val="24"/>
              </w:rPr>
              <w:t>4.7</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Concluding remarks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_Toc486787346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11</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61158C41" w14:textId="77777777" w:rsidR="0046460A" w:rsidRPr="00543288" w:rsidRDefault="0046460A">
          <w:pPr>
            <w:pStyle w:val="TOC1"/>
            <w:tabs>
              <w:tab w:val="left" w:pos="1320"/>
              <w:tab w:val="right" w:leader="underscore" w:pos="8210"/>
            </w:tabs>
            <w:rPr>
              <w:rStyle w:val="Hyperlink"/>
              <w:rFonts w:ascii="Franklin Gothic Book" w:hAnsi="Franklin Gothic Book"/>
              <w:caps w:val="0"/>
              <w:noProof/>
              <w:sz w:val="12"/>
              <w:szCs w:val="12"/>
            </w:rPr>
          </w:pPr>
        </w:p>
        <w:p w14:paraId="4CE2DE50" w14:textId="3402FFB2" w:rsidR="0046460A" w:rsidRPr="00543288" w:rsidRDefault="009432A8">
          <w:pPr>
            <w:pStyle w:val="TOC1"/>
            <w:tabs>
              <w:tab w:val="left" w:pos="1320"/>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347" w:history="1">
            <w:r w:rsidR="0046460A" w:rsidRPr="00D4785A">
              <w:rPr>
                <w:rStyle w:val="Hyperlink"/>
                <w:rFonts w:ascii="Franklin Gothic Book" w:hAnsi="Franklin Gothic Book"/>
                <w:caps w:val="0"/>
                <w:noProof/>
                <w:sz w:val="24"/>
                <w:szCs w:val="24"/>
              </w:rPr>
              <w:t>Chapter 5:</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Materials and Methods (ii)</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_Toc486787347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1</w:t>
            </w:r>
            <w:r w:rsidR="00D4785A" w:rsidRPr="00D4785A">
              <w:rPr>
                <w:rFonts w:ascii="Franklin Gothic Book" w:hAnsi="Franklin Gothic Book"/>
                <w:caps w:val="0"/>
                <w:noProof/>
                <w:webHidden/>
                <w:sz w:val="24"/>
                <w:szCs w:val="24"/>
              </w:rPr>
              <w:t>2</w:t>
            </w:r>
            <w:r w:rsidR="002C549C" w:rsidRPr="00D4785A">
              <w:rPr>
                <w:rFonts w:ascii="Franklin Gothic Book" w:hAnsi="Franklin Gothic Book"/>
                <w:caps w:val="0"/>
                <w:noProof/>
                <w:webHidden/>
                <w:sz w:val="24"/>
                <w:szCs w:val="24"/>
              </w:rPr>
              <w:t>1</w:t>
            </w:r>
            <w:r w:rsidR="0046460A" w:rsidRPr="00D4785A">
              <w:rPr>
                <w:rFonts w:ascii="Franklin Gothic Book" w:hAnsi="Franklin Gothic Book"/>
                <w:caps w:val="0"/>
                <w:noProof/>
                <w:webHidden/>
                <w:sz w:val="24"/>
                <w:szCs w:val="24"/>
              </w:rPr>
              <w:fldChar w:fldCharType="end"/>
            </w:r>
          </w:hyperlink>
        </w:p>
        <w:p w14:paraId="36779315" w14:textId="22B202D2"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48" w:history="1">
            <w:r w:rsidR="0046460A" w:rsidRPr="00543288">
              <w:rPr>
                <w:rStyle w:val="Hyperlink"/>
                <w:rFonts w:ascii="Franklin Gothic Book" w:hAnsi="Franklin Gothic Book"/>
                <w:noProof/>
                <w:sz w:val="24"/>
                <w:szCs w:val="24"/>
              </w:rPr>
              <w:t>5.1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Development of an ALVE identification pipeline using Hy-Line and Roslin J-Line DNA re-sequencing data</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_Toc486787348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w:t>
            </w:r>
            <w:r w:rsidR="00D4785A">
              <w:rPr>
                <w:rFonts w:ascii="Franklin Gothic Book" w:hAnsi="Franklin Gothic Book"/>
                <w:noProof/>
                <w:webHidden/>
                <w:sz w:val="24"/>
                <w:szCs w:val="24"/>
              </w:rPr>
              <w:t>2</w:t>
            </w:r>
            <w:r w:rsidR="002C549C">
              <w:rPr>
                <w:rFonts w:ascii="Franklin Gothic Book" w:hAnsi="Franklin Gothic Book"/>
                <w:noProof/>
                <w:webHidden/>
                <w:sz w:val="24"/>
                <w:szCs w:val="24"/>
              </w:rPr>
              <w:t>1</w:t>
            </w:r>
            <w:r w:rsidR="0046460A" w:rsidRPr="00543288">
              <w:rPr>
                <w:rFonts w:ascii="Franklin Gothic Book" w:hAnsi="Franklin Gothic Book"/>
                <w:noProof/>
                <w:webHidden/>
                <w:sz w:val="24"/>
                <w:szCs w:val="24"/>
              </w:rPr>
              <w:fldChar w:fldCharType="end"/>
            </w:r>
          </w:hyperlink>
        </w:p>
        <w:p w14:paraId="24525550" w14:textId="609229E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49" w:history="1">
            <w:r w:rsidR="0046460A" w:rsidRPr="00543288">
              <w:rPr>
                <w:rStyle w:val="Hyperlink"/>
                <w:rFonts w:ascii="Franklin Gothic Book" w:hAnsi="Franklin Gothic Book"/>
                <w:i w:val="0"/>
                <w:noProof/>
                <w:sz w:val="24"/>
                <w:szCs w:val="24"/>
              </w:rPr>
              <w:t>5.1.1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Resources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_Toc486787349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D4785A">
              <w:rPr>
                <w:rFonts w:ascii="Franklin Gothic Book" w:hAnsi="Franklin Gothic Book"/>
                <w:i w:val="0"/>
                <w:noProof/>
                <w:webHidden/>
                <w:sz w:val="24"/>
                <w:szCs w:val="24"/>
              </w:rPr>
              <w:t>2</w:t>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p>
        <w:p w14:paraId="059F98E3" w14:textId="2DF32609"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0" w:history="1">
            <w:r w:rsidR="0046460A" w:rsidRPr="00543288">
              <w:rPr>
                <w:rStyle w:val="Hyperlink"/>
                <w:rFonts w:ascii="Franklin Gothic Book" w:hAnsi="Franklin Gothic Book"/>
                <w:i w:val="0"/>
                <w:noProof/>
                <w:sz w:val="24"/>
                <w:szCs w:val="24"/>
              </w:rPr>
              <w:t>5.1.2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identification with a custom pipeline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22</w:t>
          </w:r>
        </w:p>
        <w:p w14:paraId="56B8E021" w14:textId="72289E6A"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51" w:history="1">
            <w:r w:rsidR="0046460A" w:rsidRPr="00543288">
              <w:rPr>
                <w:rStyle w:val="Hyperlink"/>
                <w:rFonts w:ascii="Franklin Gothic Book" w:hAnsi="Franklin Gothic Book"/>
                <w:noProof/>
                <w:sz w:val="24"/>
                <w:szCs w:val="24"/>
              </w:rPr>
              <w:t>5.2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Characterisation of the ALVEs identified in the Hy-Line and Roslin J-Line DNA resequencing data</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_Toc486787351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12</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6</w:t>
          </w:r>
        </w:p>
        <w:p w14:paraId="0D7B3D84" w14:textId="07072E9F"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2" w:history="1">
            <w:r w:rsidR="0046460A" w:rsidRPr="00543288">
              <w:rPr>
                <w:rStyle w:val="Hyperlink"/>
                <w:rFonts w:ascii="Franklin Gothic Book" w:hAnsi="Franklin Gothic Book"/>
                <w:i w:val="0"/>
                <w:noProof/>
                <w:sz w:val="24"/>
                <w:szCs w:val="24"/>
              </w:rPr>
              <w:t>5.2.1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Genotyping of identified ALVEs in the Hy-Line commercial flocks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4BF3972B" w14:textId="79F22D6D"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3" w:history="1">
            <w:r w:rsidR="0046460A" w:rsidRPr="00543288">
              <w:rPr>
                <w:rStyle w:val="Hyperlink"/>
                <w:rFonts w:ascii="Franklin Gothic Book" w:hAnsi="Franklin Gothic Book"/>
                <w:i w:val="0"/>
                <w:noProof/>
                <w:sz w:val="24"/>
                <w:szCs w:val="24"/>
              </w:rPr>
              <w:t>5.2.2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Genotyping of identified ALVEs in the Roslin J-Line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5AFB1886" w14:textId="6D7BE812"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4" w:history="1">
            <w:r w:rsidR="0046460A" w:rsidRPr="00543288">
              <w:rPr>
                <w:rStyle w:val="Hyperlink"/>
                <w:rFonts w:ascii="Franklin Gothic Book" w:hAnsi="Franklin Gothic Book"/>
                <w:i w:val="0"/>
                <w:noProof/>
                <w:sz w:val="24"/>
                <w:szCs w:val="24"/>
              </w:rPr>
              <w:t>5.2.3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Probability of missin</w:t>
            </w:r>
            <w:r w:rsidR="005655E9">
              <w:rPr>
                <w:rStyle w:val="Hyperlink"/>
                <w:rFonts w:ascii="Franklin Gothic Book" w:hAnsi="Franklin Gothic Book"/>
                <w:i w:val="0"/>
                <w:noProof/>
                <w:sz w:val="24"/>
                <w:szCs w:val="24"/>
              </w:rPr>
              <w:t>g an ALVE insertion within the W</w:t>
            </w:r>
            <w:r w:rsidR="0046460A" w:rsidRPr="00543288">
              <w:rPr>
                <w:rStyle w:val="Hyperlink"/>
                <w:rFonts w:ascii="Franklin Gothic Book" w:hAnsi="Franklin Gothic Book"/>
                <w:i w:val="0"/>
                <w:noProof/>
                <w:sz w:val="24"/>
                <w:szCs w:val="24"/>
              </w:rPr>
              <w:t>GS datasets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6DE8A697" w14:textId="59FE534B"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55" w:history="1">
            <w:r w:rsidR="0046460A" w:rsidRPr="00543288">
              <w:rPr>
                <w:rStyle w:val="Hyperlink"/>
                <w:rFonts w:ascii="Franklin Gothic Book" w:hAnsi="Franklin Gothic Book"/>
                <w:i w:val="0"/>
                <w:noProof/>
                <w:sz w:val="24"/>
                <w:szCs w:val="24"/>
              </w:rPr>
              <w:t>5.2.4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Sequencing and characterisation of ALVEs identified in the Hy-Line lines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D4785A">
              <w:rPr>
                <w:rFonts w:ascii="Franklin Gothic Book" w:hAnsi="Franklin Gothic Book"/>
                <w:i w:val="0"/>
                <w:noProof/>
                <w:webHidden/>
                <w:sz w:val="24"/>
                <w:szCs w:val="24"/>
              </w:rPr>
              <w:t>3</w:t>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p>
        <w:p w14:paraId="114BEDDD" w14:textId="166507B0"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6" w:history="1">
            <w:r w:rsidR="0046460A" w:rsidRPr="00543288">
              <w:rPr>
                <w:rStyle w:val="Hyperlink"/>
                <w:rFonts w:ascii="Franklin Gothic Book" w:hAnsi="Franklin Gothic Book"/>
                <w:i w:val="0"/>
                <w:noProof/>
                <w:sz w:val="24"/>
                <w:szCs w:val="24"/>
              </w:rPr>
              <w:t>5.2.5</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Characterisation of the K locus in the Hy-Line elite layer lines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28F0E644" w14:textId="45D68255"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57" w:history="1">
            <w:r w:rsidR="0046460A" w:rsidRPr="00543288">
              <w:rPr>
                <w:rStyle w:val="Hyperlink"/>
                <w:rFonts w:ascii="Franklin Gothic Book" w:hAnsi="Franklin Gothic Book"/>
                <w:noProof/>
                <w:sz w:val="24"/>
                <w:szCs w:val="24"/>
              </w:rPr>
              <w:t>5.3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Identification of ALVEs from the DNA resequencing data of various commercial, experimental and ‘wild’ chicken populations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_Toc486787357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13</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w:t>
          </w:r>
        </w:p>
        <w:p w14:paraId="3CBE9446" w14:textId="11CE4E35"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8" w:history="1">
            <w:r w:rsidR="0046460A" w:rsidRPr="00543288">
              <w:rPr>
                <w:rStyle w:val="Hyperlink"/>
                <w:rFonts w:ascii="Franklin Gothic Book" w:hAnsi="Franklin Gothic Book"/>
                <w:i w:val="0"/>
                <w:noProof/>
                <w:sz w:val="24"/>
                <w:szCs w:val="24"/>
              </w:rPr>
              <w:t>5.3.1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Pipeline implementation with single-end reads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w:t>
          </w:r>
        </w:p>
        <w:p w14:paraId="764B0589" w14:textId="4B67CEF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59" w:history="1">
            <w:r w:rsidR="0046460A" w:rsidRPr="00543288">
              <w:rPr>
                <w:rStyle w:val="Hyperlink"/>
                <w:rFonts w:ascii="Franklin Gothic Book" w:hAnsi="Franklin Gothic Book"/>
                <w:i w:val="0"/>
                <w:noProof/>
                <w:sz w:val="24"/>
                <w:szCs w:val="24"/>
              </w:rPr>
              <w:t>5.3.2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Genomic resources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_Toc486787359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37205D3E" w14:textId="04C6279D"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0" w:history="1">
            <w:r w:rsidR="0046460A" w:rsidRPr="00543288">
              <w:rPr>
                <w:rStyle w:val="Hyperlink"/>
                <w:rFonts w:ascii="Franklin Gothic Book" w:hAnsi="Franklin Gothic Book"/>
                <w:i w:val="0"/>
                <w:noProof/>
                <w:sz w:val="24"/>
                <w:szCs w:val="24"/>
              </w:rPr>
              <w:t>5.3.3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identification</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42</w:t>
          </w:r>
        </w:p>
        <w:p w14:paraId="6FA5F2C1" w14:textId="68F7ACAF"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1" w:history="1">
            <w:r w:rsidR="0046460A" w:rsidRPr="00543288">
              <w:rPr>
                <w:rStyle w:val="Hyperlink"/>
                <w:rFonts w:ascii="Franklin Gothic Book" w:hAnsi="Franklin Gothic Book"/>
                <w:i w:val="0"/>
                <w:noProof/>
                <w:sz w:val="24"/>
                <w:szCs w:val="24"/>
              </w:rPr>
              <w:t>5.3.4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Cluster analysis based on ALVE content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43</w:t>
          </w:r>
        </w:p>
        <w:p w14:paraId="5E0A1D7F" w14:textId="77777777" w:rsidR="0046460A" w:rsidRPr="00543288" w:rsidRDefault="0046460A" w:rsidP="0046460A">
          <w:pPr>
            <w:pStyle w:val="TOC1"/>
            <w:tabs>
              <w:tab w:val="left" w:pos="1320"/>
              <w:tab w:val="right" w:leader="underscore" w:pos="8210"/>
            </w:tabs>
            <w:ind w:left="1320" w:hanging="1320"/>
            <w:rPr>
              <w:rStyle w:val="Hyperlink"/>
              <w:rFonts w:ascii="Franklin Gothic Book" w:hAnsi="Franklin Gothic Book"/>
              <w:caps w:val="0"/>
              <w:noProof/>
              <w:sz w:val="12"/>
              <w:szCs w:val="12"/>
            </w:rPr>
          </w:pPr>
        </w:p>
        <w:p w14:paraId="4C5ED125" w14:textId="4F22CD90" w:rsidR="0046460A" w:rsidRPr="00543288" w:rsidRDefault="009432A8" w:rsidP="0046460A">
          <w:pPr>
            <w:pStyle w:val="TOC1"/>
            <w:tabs>
              <w:tab w:val="left" w:pos="1320"/>
              <w:tab w:val="right" w:leader="underscore" w:pos="8210"/>
            </w:tabs>
            <w:ind w:left="1320" w:hanging="1320"/>
            <w:rPr>
              <w:rFonts w:ascii="Franklin Gothic Book" w:eastAsiaTheme="minorEastAsia" w:hAnsi="Franklin Gothic Book" w:cstheme="minorBidi"/>
              <w:b w:val="0"/>
              <w:bCs w:val="0"/>
              <w:caps w:val="0"/>
              <w:noProof/>
              <w:sz w:val="24"/>
              <w:szCs w:val="24"/>
              <w:lang w:eastAsia="en-GB"/>
            </w:rPr>
          </w:pPr>
          <w:hyperlink w:anchor="_Toc486787362" w:history="1">
            <w:r w:rsidR="0046460A" w:rsidRPr="00D4785A">
              <w:rPr>
                <w:rStyle w:val="Hyperlink"/>
                <w:rFonts w:ascii="Franklin Gothic Book" w:hAnsi="Franklin Gothic Book"/>
                <w:caps w:val="0"/>
                <w:noProof/>
                <w:sz w:val="24"/>
                <w:szCs w:val="24"/>
              </w:rPr>
              <w:t>Chapter 6:</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The discovery and characterisation of Avian Leukosis Virus subgrou</w:t>
            </w:r>
            <w:r w:rsidR="005655E9" w:rsidRPr="00D4785A">
              <w:rPr>
                <w:rStyle w:val="Hyperlink"/>
                <w:rFonts w:ascii="Franklin Gothic Book" w:hAnsi="Franklin Gothic Book"/>
                <w:caps w:val="0"/>
                <w:noProof/>
                <w:sz w:val="24"/>
                <w:szCs w:val="24"/>
              </w:rPr>
              <w:t>p E (ALVE) insertions using whole genome (re)sequencing (WGS) data</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_Toc486787362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14</w:t>
            </w:r>
            <w:r w:rsidR="0046460A"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5</w:t>
          </w:r>
        </w:p>
        <w:p w14:paraId="6C8A5C2B" w14:textId="26D14C75"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63" w:history="1">
            <w:r w:rsidR="0046460A" w:rsidRPr="00543288">
              <w:rPr>
                <w:rStyle w:val="Hyperlink"/>
                <w:rFonts w:ascii="Franklin Gothic Book" w:hAnsi="Franklin Gothic Book"/>
                <w:noProof/>
                <w:sz w:val="24"/>
                <w:szCs w:val="24"/>
              </w:rPr>
              <w:t>6.1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Introduction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_Toc486787363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12FED4C3" w14:textId="71D81C26"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64" w:history="1">
            <w:r w:rsidR="0046460A" w:rsidRPr="00543288">
              <w:rPr>
                <w:rStyle w:val="Hyperlink"/>
                <w:rFonts w:ascii="Franklin Gothic Book" w:hAnsi="Franklin Gothic Book"/>
                <w:noProof/>
                <w:sz w:val="24"/>
                <w:szCs w:val="24"/>
              </w:rPr>
              <w:t>6.2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Research Aims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_Toc486787364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5534E91F" w14:textId="3127E39D"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65" w:history="1">
            <w:r w:rsidR="0046460A" w:rsidRPr="00543288">
              <w:rPr>
                <w:rStyle w:val="Hyperlink"/>
                <w:rFonts w:ascii="Franklin Gothic Book" w:hAnsi="Franklin Gothic Book"/>
                <w:noProof/>
                <w:sz w:val="24"/>
                <w:szCs w:val="24"/>
              </w:rPr>
              <w:t>6.3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Development of the ALVE identification pipeline</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_Toc486787365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69E03183" w14:textId="5293787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6" w:history="1">
            <w:r w:rsidR="0046460A" w:rsidRPr="00543288">
              <w:rPr>
                <w:rStyle w:val="Hyperlink"/>
                <w:rFonts w:ascii="Franklin Gothic Book" w:hAnsi="Franklin Gothic Book"/>
                <w:i w:val="0"/>
                <w:noProof/>
                <w:sz w:val="24"/>
                <w:szCs w:val="24"/>
              </w:rPr>
              <w:t>6.3.1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Initial approaches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58D853F7" w14:textId="5A0E0C8C"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7" w:history="1">
            <w:r w:rsidR="0046460A" w:rsidRPr="00543288">
              <w:rPr>
                <w:rStyle w:val="Hyperlink"/>
                <w:rFonts w:ascii="Franklin Gothic Book" w:hAnsi="Franklin Gothic Book"/>
                <w:i w:val="0"/>
                <w:noProof/>
                <w:sz w:val="24"/>
                <w:szCs w:val="24"/>
              </w:rPr>
              <w:t>6.3.2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Pipeline implementation</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50</w:t>
          </w:r>
        </w:p>
        <w:p w14:paraId="7E1A21B7" w14:textId="5B517E4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8" w:history="1">
            <w:r w:rsidR="0046460A" w:rsidRPr="00543288">
              <w:rPr>
                <w:rStyle w:val="Hyperlink"/>
                <w:rFonts w:ascii="Franklin Gothic Book" w:hAnsi="Franklin Gothic Book"/>
                <w:i w:val="0"/>
                <w:noProof/>
                <w:sz w:val="24"/>
                <w:szCs w:val="24"/>
              </w:rPr>
              <w:t>6.3.3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Unwanted issues with sequence homology</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52</w:t>
          </w:r>
        </w:p>
        <w:p w14:paraId="4B8C5467" w14:textId="38E85335"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69" w:history="1">
            <w:r w:rsidR="0046460A" w:rsidRPr="00543288">
              <w:rPr>
                <w:rStyle w:val="Hyperlink"/>
                <w:rFonts w:ascii="Franklin Gothic Book" w:hAnsi="Franklin Gothic Book"/>
                <w:i w:val="0"/>
                <w:noProof/>
                <w:sz w:val="24"/>
                <w:szCs w:val="24"/>
              </w:rPr>
              <w:t>6.3.4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Thresholds for suitable insertion site support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_Toc486787369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53</w:t>
          </w:r>
        </w:p>
        <w:p w14:paraId="618ED50C" w14:textId="59703095"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70" w:history="1">
            <w:r w:rsidR="0046460A" w:rsidRPr="00543288">
              <w:rPr>
                <w:rStyle w:val="Hyperlink"/>
                <w:rFonts w:ascii="Franklin Gothic Book" w:hAnsi="Franklin Gothic Book"/>
                <w:noProof/>
                <w:sz w:val="24"/>
                <w:szCs w:val="24"/>
              </w:rPr>
              <w:t>6.4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ALVEs of the Hy-Line elite layer lines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_Toc486787370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15</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3F902133" w14:textId="6E2DA8CB"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1" w:history="1">
            <w:r w:rsidR="0046460A" w:rsidRPr="00543288">
              <w:rPr>
                <w:rStyle w:val="Hyperlink"/>
                <w:rFonts w:ascii="Franklin Gothic Book" w:hAnsi="Franklin Gothic Book"/>
                <w:i w:val="0"/>
                <w:noProof/>
                <w:sz w:val="24"/>
                <w:szCs w:val="24"/>
              </w:rPr>
              <w:t>6.4.1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KASP development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15</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17567453" w14:textId="595D0189"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2" w:history="1">
            <w:r w:rsidR="0046460A" w:rsidRPr="00543288">
              <w:rPr>
                <w:rStyle w:val="Hyperlink"/>
                <w:rFonts w:ascii="Franklin Gothic Book" w:hAnsi="Franklin Gothic Book"/>
                <w:i w:val="0"/>
                <w:noProof/>
                <w:sz w:val="24"/>
                <w:szCs w:val="24"/>
              </w:rPr>
              <w:t>6.4.2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Diagnostic PCR development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6AB962FA" w14:textId="062D386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3" w:history="1">
            <w:r w:rsidR="0046460A" w:rsidRPr="00543288">
              <w:rPr>
                <w:rStyle w:val="Hyperlink"/>
                <w:rFonts w:ascii="Franklin Gothic Book" w:hAnsi="Franklin Gothic Book"/>
                <w:i w:val="0"/>
                <w:noProof/>
                <w:sz w:val="24"/>
                <w:szCs w:val="24"/>
              </w:rPr>
              <w:t>6.4.3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Genotyping of the 2008 birds used for resequencing</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6516EDF4" w14:textId="2A336A09"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4" w:history="1">
            <w:r w:rsidR="0046460A" w:rsidRPr="00543288">
              <w:rPr>
                <w:rStyle w:val="Hyperlink"/>
                <w:rFonts w:ascii="Franklin Gothic Book" w:hAnsi="Franklin Gothic Book"/>
                <w:i w:val="0"/>
                <w:noProof/>
                <w:sz w:val="24"/>
                <w:szCs w:val="24"/>
              </w:rPr>
              <w:t>6.4.4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Multi-generation genotyping of line males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70</w:t>
          </w:r>
        </w:p>
        <w:p w14:paraId="3BB3A160" w14:textId="1408CF3B"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5" w:history="1">
            <w:r w:rsidR="0046460A" w:rsidRPr="00543288">
              <w:rPr>
                <w:rStyle w:val="Hyperlink"/>
                <w:rFonts w:ascii="Franklin Gothic Book" w:hAnsi="Franklin Gothic Book"/>
                <w:i w:val="0"/>
                <w:noProof/>
                <w:sz w:val="24"/>
                <w:szCs w:val="24"/>
              </w:rPr>
              <w:t>6.4.5</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Final list of identified ALVEs in the Hy-Line lines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73</w:t>
          </w:r>
        </w:p>
        <w:p w14:paraId="7542C3C0" w14:textId="0466A847"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76" w:history="1">
            <w:r w:rsidR="0046460A" w:rsidRPr="00543288">
              <w:rPr>
                <w:rStyle w:val="Hyperlink"/>
                <w:rFonts w:ascii="Franklin Gothic Book" w:hAnsi="Franklin Gothic Book"/>
                <w:noProof/>
                <w:sz w:val="24"/>
                <w:szCs w:val="24"/>
              </w:rPr>
              <w:t>6.5</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Further characterisation of ALVE21 and the K locus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_Toc486787376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17</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6</w:t>
          </w:r>
        </w:p>
        <w:p w14:paraId="1D5CA1D3" w14:textId="40CA0EAF"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7" w:history="1">
            <w:r w:rsidR="0046460A" w:rsidRPr="00543288">
              <w:rPr>
                <w:rStyle w:val="Hyperlink"/>
                <w:rFonts w:ascii="Franklin Gothic Book" w:hAnsi="Franklin Gothic Book"/>
                <w:i w:val="0"/>
                <w:noProof/>
                <w:sz w:val="24"/>
                <w:szCs w:val="24"/>
              </w:rPr>
              <w:t>6.5.1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K locus bridging sequence KASP development</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05B8E5E9" w14:textId="4EF3C2FA"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78" w:history="1">
            <w:r w:rsidR="0046460A" w:rsidRPr="00543288">
              <w:rPr>
                <w:rStyle w:val="Hyperlink"/>
                <w:rFonts w:ascii="Franklin Gothic Book" w:hAnsi="Franklin Gothic Book"/>
                <w:i w:val="0"/>
                <w:noProof/>
                <w:sz w:val="24"/>
                <w:szCs w:val="24"/>
              </w:rPr>
              <w:t>6.5.2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Characterisation of the K locus with BioNano optic mapping</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_Toc486787378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81</w:t>
          </w:r>
        </w:p>
        <w:p w14:paraId="2158CF59" w14:textId="6F3F77C9"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379" w:history="1">
            <w:r w:rsidR="0046460A" w:rsidRPr="00543288">
              <w:rPr>
                <w:rStyle w:val="Hyperlink"/>
                <w:rFonts w:ascii="Franklin Gothic Book" w:hAnsi="Franklin Gothic Book"/>
                <w:noProof/>
                <w:sz w:val="24"/>
                <w:szCs w:val="24"/>
              </w:rPr>
              <w:t>6.6</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Characterisation of the identified ALVE sequences and assessment of their recombination, expression and retrotransposition potential</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_Toc486787379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18</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6717498B" w14:textId="2CE5AA9E"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0" w:history="1">
            <w:r w:rsidR="0046460A" w:rsidRPr="00543288">
              <w:rPr>
                <w:rStyle w:val="Hyperlink"/>
                <w:rFonts w:ascii="Franklin Gothic Book" w:hAnsi="Franklin Gothic Book"/>
                <w:i w:val="0"/>
                <w:noProof/>
                <w:sz w:val="24"/>
                <w:szCs w:val="24"/>
              </w:rPr>
              <w:t>6.6.1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Structure of the incomplete ALVE insertions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036D4CE4" w14:textId="4B0BB11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1" w:history="1">
            <w:r w:rsidR="0046460A" w:rsidRPr="00543288">
              <w:rPr>
                <w:rStyle w:val="Hyperlink"/>
                <w:rFonts w:ascii="Franklin Gothic Book" w:hAnsi="Franklin Gothic Book"/>
                <w:i w:val="0"/>
                <w:noProof/>
                <w:sz w:val="24"/>
                <w:szCs w:val="24"/>
              </w:rPr>
              <w:t>6.6.2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LTR alignment and phylogeny</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132B6FD1" w14:textId="3C778442"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2" w:history="1">
            <w:r w:rsidR="0046460A" w:rsidRPr="00543288">
              <w:rPr>
                <w:rStyle w:val="Hyperlink"/>
                <w:rFonts w:ascii="Franklin Gothic Book" w:hAnsi="Franklin Gothic Book"/>
                <w:i w:val="0"/>
                <w:noProof/>
                <w:sz w:val="24"/>
                <w:szCs w:val="24"/>
              </w:rPr>
              <w:t>6.6.3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open reading frame integrity and potential expression</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90</w:t>
          </w:r>
        </w:p>
        <w:p w14:paraId="046D661E" w14:textId="431D1DFF"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83" w:history="1">
            <w:r w:rsidR="0046460A" w:rsidRPr="00543288">
              <w:rPr>
                <w:rStyle w:val="Hyperlink"/>
                <w:rFonts w:ascii="Franklin Gothic Book" w:hAnsi="Franklin Gothic Book"/>
                <w:noProof/>
                <w:sz w:val="24"/>
                <w:szCs w:val="24"/>
              </w:rPr>
              <w:t>6.7</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ALVEs of the Roslin J-Line</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_Toc486787383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19</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3</w:t>
          </w:r>
        </w:p>
        <w:p w14:paraId="73F3416C" w14:textId="4939327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4" w:history="1">
            <w:r w:rsidR="0046460A" w:rsidRPr="00543288">
              <w:rPr>
                <w:rStyle w:val="Hyperlink"/>
                <w:rFonts w:ascii="Franklin Gothic Book" w:hAnsi="Franklin Gothic Book"/>
                <w:i w:val="0"/>
                <w:noProof/>
                <w:sz w:val="24"/>
                <w:szCs w:val="24"/>
              </w:rPr>
              <w:t>6.7.1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PCR assay development and genotyping</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5621B2BC" w14:textId="5C7F3169"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85" w:history="1">
            <w:r w:rsidR="0046460A" w:rsidRPr="00543288">
              <w:rPr>
                <w:rStyle w:val="Hyperlink"/>
                <w:rFonts w:ascii="Franklin Gothic Book" w:hAnsi="Franklin Gothic Book"/>
                <w:i w:val="0"/>
                <w:noProof/>
                <w:sz w:val="24"/>
                <w:szCs w:val="24"/>
              </w:rPr>
              <w:t>6.7.2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Comparison of results to the J-Line pool sequenced for the 600K paper</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65D2C2B7" w14:textId="0900122A"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86" w:history="1">
            <w:r w:rsidR="0046460A" w:rsidRPr="00543288">
              <w:rPr>
                <w:rStyle w:val="Hyperlink"/>
                <w:rFonts w:ascii="Franklin Gothic Book" w:hAnsi="Franklin Gothic Book"/>
                <w:noProof/>
                <w:sz w:val="24"/>
                <w:szCs w:val="24"/>
              </w:rPr>
              <w:t>6.8</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Discussion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_Toc486787386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19</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6184E050" w14:textId="519CFA9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7" w:history="1">
            <w:r w:rsidR="0046460A" w:rsidRPr="00543288">
              <w:rPr>
                <w:rStyle w:val="Hyperlink"/>
                <w:rFonts w:ascii="Franklin Gothic Book" w:hAnsi="Franklin Gothic Book"/>
                <w:i w:val="0"/>
                <w:noProof/>
                <w:sz w:val="24"/>
                <w:szCs w:val="24"/>
              </w:rPr>
              <w:t>6.8.1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Critical assessment of the ALVE identification pipeline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419E443D" w14:textId="58BAC527"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8" w:history="1">
            <w:r w:rsidR="0046460A" w:rsidRPr="00543288">
              <w:rPr>
                <w:rStyle w:val="Hyperlink"/>
                <w:rFonts w:ascii="Franklin Gothic Book" w:hAnsi="Franklin Gothic Book"/>
                <w:i w:val="0"/>
                <w:noProof/>
                <w:sz w:val="24"/>
                <w:szCs w:val="24"/>
              </w:rPr>
              <w:t>6.8.2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Development of diagnostic ALVE assays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_Toc486787388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19</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6FACB691" w14:textId="373D6EE5"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89" w:history="1">
            <w:r w:rsidR="0046460A" w:rsidRPr="00543288">
              <w:rPr>
                <w:rStyle w:val="Hyperlink"/>
                <w:rFonts w:ascii="Franklin Gothic Book" w:hAnsi="Franklin Gothic Book"/>
                <w:i w:val="0"/>
                <w:noProof/>
                <w:sz w:val="24"/>
                <w:szCs w:val="24"/>
              </w:rPr>
              <w:t>6.8.3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ALVE21 and the slow feathering K locus</w:t>
            </w:r>
            <w:r w:rsidR="0046460A" w:rsidRPr="00543288">
              <w:rPr>
                <w:rFonts w:ascii="Franklin Gothic Book" w:hAnsi="Franklin Gothic Book"/>
                <w:i w:val="0"/>
                <w:noProof/>
                <w:webHidden/>
                <w:sz w:val="24"/>
                <w:szCs w:val="24"/>
              </w:rPr>
              <w:tab/>
            </w:r>
            <w:r w:rsidR="00D4785A">
              <w:rPr>
                <w:rFonts w:ascii="Franklin Gothic Book" w:hAnsi="Franklin Gothic Book"/>
                <w:i w:val="0"/>
                <w:noProof/>
                <w:webHidden/>
                <w:sz w:val="24"/>
                <w:szCs w:val="24"/>
              </w:rPr>
              <w:t>201</w:t>
            </w:r>
          </w:hyperlink>
        </w:p>
        <w:p w14:paraId="4FE4D3C8" w14:textId="52332220"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90" w:history="1">
            <w:r w:rsidR="0046460A" w:rsidRPr="00543288">
              <w:rPr>
                <w:rStyle w:val="Hyperlink"/>
                <w:rFonts w:ascii="Franklin Gothic Book" w:hAnsi="Franklin Gothic Book"/>
                <w:i w:val="0"/>
                <w:noProof/>
                <w:sz w:val="24"/>
                <w:szCs w:val="24"/>
              </w:rPr>
              <w:t>6.8.4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The commercial response to ALVE loci</w:t>
            </w:r>
            <w:r w:rsidR="0046460A" w:rsidRPr="00543288">
              <w:rPr>
                <w:rFonts w:ascii="Franklin Gothic Book" w:hAnsi="Franklin Gothic Book"/>
                <w:i w:val="0"/>
                <w:noProof/>
                <w:webHidden/>
                <w:sz w:val="24"/>
                <w:szCs w:val="24"/>
              </w:rPr>
              <w:tab/>
            </w:r>
            <w:r w:rsidR="00D4785A">
              <w:rPr>
                <w:rFonts w:ascii="Franklin Gothic Book" w:hAnsi="Franklin Gothic Book"/>
                <w:i w:val="0"/>
                <w:noProof/>
                <w:webHidden/>
                <w:sz w:val="24"/>
                <w:szCs w:val="24"/>
              </w:rPr>
              <w:t>203</w:t>
            </w:r>
          </w:hyperlink>
        </w:p>
        <w:p w14:paraId="189D8A48" w14:textId="20D7A9F5"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91" w:history="1">
            <w:r w:rsidR="0046460A" w:rsidRPr="00543288">
              <w:rPr>
                <w:rStyle w:val="Hyperlink"/>
                <w:rFonts w:ascii="Franklin Gothic Book" w:hAnsi="Franklin Gothic Book"/>
                <w:noProof/>
                <w:sz w:val="24"/>
                <w:szCs w:val="24"/>
              </w:rPr>
              <w:t>6.9</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Concluding remarks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_Toc486787391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20</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6</w:t>
          </w:r>
        </w:p>
        <w:p w14:paraId="2DA42AB1" w14:textId="77777777" w:rsidR="0046460A" w:rsidRPr="00543288" w:rsidRDefault="0046460A" w:rsidP="0046460A">
          <w:pPr>
            <w:pStyle w:val="TOC1"/>
            <w:tabs>
              <w:tab w:val="left" w:pos="1320"/>
              <w:tab w:val="right" w:leader="underscore" w:pos="8210"/>
            </w:tabs>
            <w:ind w:left="1320" w:hanging="1320"/>
            <w:rPr>
              <w:rStyle w:val="Hyperlink"/>
              <w:rFonts w:ascii="Franklin Gothic Book" w:hAnsi="Franklin Gothic Book"/>
              <w:caps w:val="0"/>
              <w:noProof/>
              <w:sz w:val="12"/>
              <w:szCs w:val="12"/>
            </w:rPr>
          </w:pPr>
        </w:p>
        <w:p w14:paraId="6ECEB1D6" w14:textId="432238F9" w:rsidR="0046460A" w:rsidRPr="00543288" w:rsidRDefault="009432A8" w:rsidP="0046460A">
          <w:pPr>
            <w:pStyle w:val="TOC1"/>
            <w:tabs>
              <w:tab w:val="left" w:pos="1320"/>
              <w:tab w:val="right" w:leader="underscore" w:pos="8210"/>
            </w:tabs>
            <w:ind w:left="1320" w:hanging="1320"/>
            <w:rPr>
              <w:rFonts w:ascii="Franklin Gothic Book" w:eastAsiaTheme="minorEastAsia" w:hAnsi="Franklin Gothic Book" w:cstheme="minorBidi"/>
              <w:b w:val="0"/>
              <w:bCs w:val="0"/>
              <w:caps w:val="0"/>
              <w:noProof/>
              <w:sz w:val="24"/>
              <w:szCs w:val="24"/>
              <w:lang w:eastAsia="en-GB"/>
            </w:rPr>
          </w:pPr>
          <w:hyperlink w:anchor="_Toc486787392" w:history="1">
            <w:r w:rsidR="0046460A" w:rsidRPr="00D4785A">
              <w:rPr>
                <w:rStyle w:val="Hyperlink"/>
                <w:rFonts w:ascii="Franklin Gothic Book" w:hAnsi="Franklin Gothic Book"/>
                <w:caps w:val="0"/>
                <w:noProof/>
                <w:sz w:val="24"/>
                <w:szCs w:val="24"/>
              </w:rPr>
              <w:t>Chapter 7:</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 xml:space="preserve">Discovery of the wider diversity ALVE insertions across commercial and non-commercial chickens using </w:t>
            </w:r>
            <w:r w:rsidR="005655E9" w:rsidRPr="00D4785A">
              <w:rPr>
                <w:rStyle w:val="Hyperlink"/>
                <w:rFonts w:ascii="Franklin Gothic Book" w:hAnsi="Franklin Gothic Book"/>
                <w:caps w:val="0"/>
                <w:noProof/>
                <w:sz w:val="24"/>
                <w:szCs w:val="24"/>
              </w:rPr>
              <w:t>whole genome (re)equencing data</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_Toc486787392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20</w:t>
            </w:r>
            <w:r w:rsidR="0046460A"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7</w:t>
          </w:r>
        </w:p>
        <w:p w14:paraId="0A895C1A" w14:textId="7ED67AE3"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93" w:history="1">
            <w:r w:rsidR="0046460A" w:rsidRPr="00543288">
              <w:rPr>
                <w:rStyle w:val="Hyperlink"/>
                <w:rFonts w:ascii="Franklin Gothic Book" w:hAnsi="Franklin Gothic Book"/>
                <w:noProof/>
                <w:sz w:val="24"/>
                <w:szCs w:val="24"/>
              </w:rPr>
              <w:t>7.1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Introduction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_Toc486787393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20</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w:t>
          </w:r>
        </w:p>
        <w:p w14:paraId="529F0093" w14:textId="169D6353"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94" w:history="1">
            <w:r w:rsidR="0046460A" w:rsidRPr="00543288">
              <w:rPr>
                <w:rStyle w:val="Hyperlink"/>
                <w:rFonts w:ascii="Franklin Gothic Book" w:hAnsi="Franklin Gothic Book"/>
                <w:noProof/>
                <w:sz w:val="24"/>
                <w:szCs w:val="24"/>
              </w:rPr>
              <w:t>7.2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Research Aims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_Toc486787394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20</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8</w:t>
          </w:r>
        </w:p>
        <w:p w14:paraId="38E5EAE8" w14:textId="47E5F08A"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95" w:history="1">
            <w:r w:rsidR="0046460A" w:rsidRPr="00543288">
              <w:rPr>
                <w:rStyle w:val="Hyperlink"/>
                <w:rFonts w:ascii="Franklin Gothic Book" w:hAnsi="Franklin Gothic Book"/>
                <w:noProof/>
                <w:sz w:val="24"/>
                <w:szCs w:val="24"/>
              </w:rPr>
              <w:t>7.3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ALVE identification pipe</w:t>
            </w:r>
            <w:r w:rsidR="005655E9">
              <w:rPr>
                <w:rStyle w:val="Hyperlink"/>
                <w:rFonts w:ascii="Franklin Gothic Book" w:hAnsi="Franklin Gothic Book"/>
                <w:noProof/>
                <w:sz w:val="24"/>
                <w:szCs w:val="24"/>
              </w:rPr>
              <w:t>line adaptation for single end W</w:t>
            </w:r>
            <w:r w:rsidR="0046460A" w:rsidRPr="00543288">
              <w:rPr>
                <w:rStyle w:val="Hyperlink"/>
                <w:rFonts w:ascii="Franklin Gothic Book" w:hAnsi="Franklin Gothic Book"/>
                <w:noProof/>
                <w:sz w:val="24"/>
                <w:szCs w:val="24"/>
              </w:rPr>
              <w:t>GS data</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_Toc486787395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20</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6771A883" w14:textId="751496E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96" w:history="1">
            <w:r w:rsidR="0046460A" w:rsidRPr="00543288">
              <w:rPr>
                <w:rStyle w:val="Hyperlink"/>
                <w:rFonts w:ascii="Franklin Gothic Book" w:hAnsi="Franklin Gothic Book"/>
                <w:i w:val="0"/>
                <w:noProof/>
                <w:sz w:val="24"/>
                <w:szCs w:val="24"/>
              </w:rPr>
              <w:t>7.3.1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New pipeline scripts for use with single end data</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_Toc486787396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20</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9</w:t>
          </w:r>
        </w:p>
        <w:p w14:paraId="0E5A8874" w14:textId="45F82088" w:rsidR="0046460A" w:rsidRPr="00543288" w:rsidRDefault="009432A8" w:rsidP="0046460A">
          <w:pPr>
            <w:pStyle w:val="TOC3"/>
            <w:tabs>
              <w:tab w:val="left" w:pos="1100"/>
              <w:tab w:val="right" w:leader="underscore" w:pos="8210"/>
            </w:tabs>
            <w:ind w:left="1100" w:hanging="660"/>
            <w:rPr>
              <w:rFonts w:ascii="Franklin Gothic Book" w:eastAsiaTheme="minorEastAsia" w:hAnsi="Franklin Gothic Book" w:cstheme="minorBidi"/>
              <w:i w:val="0"/>
              <w:iCs w:val="0"/>
              <w:noProof/>
              <w:sz w:val="24"/>
              <w:szCs w:val="24"/>
              <w:lang w:eastAsia="en-GB"/>
            </w:rPr>
          </w:pPr>
          <w:hyperlink w:anchor="_Toc486787397" w:history="1">
            <w:r w:rsidR="0046460A" w:rsidRPr="00543288">
              <w:rPr>
                <w:rStyle w:val="Hyperlink"/>
                <w:rFonts w:ascii="Franklin Gothic Book" w:hAnsi="Franklin Gothic Book"/>
                <w:i w:val="0"/>
                <w:noProof/>
                <w:sz w:val="24"/>
                <w:szCs w:val="24"/>
              </w:rPr>
              <w:t>7.3.2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Assessing pipeline sensitivity using pseudo single end FASTQ files derived from the Hy-Line and J-Line paired end sequencing data</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_Toc486787397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D4785A">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0</w:t>
            </w:r>
            <w:r w:rsidR="0046460A" w:rsidRPr="00543288">
              <w:rPr>
                <w:rFonts w:ascii="Franklin Gothic Book" w:hAnsi="Franklin Gothic Book"/>
                <w:i w:val="0"/>
                <w:noProof/>
                <w:webHidden/>
                <w:sz w:val="24"/>
                <w:szCs w:val="24"/>
              </w:rPr>
              <w:fldChar w:fldCharType="end"/>
            </w:r>
          </w:hyperlink>
        </w:p>
        <w:p w14:paraId="42317BF8" w14:textId="4D4E2715"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398" w:history="1">
            <w:r w:rsidR="0046460A" w:rsidRPr="00543288">
              <w:rPr>
                <w:rStyle w:val="Hyperlink"/>
                <w:rFonts w:ascii="Franklin Gothic Book" w:hAnsi="Franklin Gothic Book"/>
                <w:noProof/>
                <w:sz w:val="24"/>
                <w:szCs w:val="24"/>
              </w:rPr>
              <w:t>7.4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w:t>
            </w:r>
            <w:r w:rsidR="005655E9">
              <w:rPr>
                <w:rStyle w:val="Hyperlink"/>
                <w:rFonts w:ascii="Franklin Gothic Book" w:hAnsi="Franklin Gothic Book"/>
                <w:noProof/>
                <w:sz w:val="24"/>
                <w:szCs w:val="24"/>
              </w:rPr>
              <w:t>LVE content of diverse chicken W</w:t>
            </w:r>
            <w:r w:rsidR="0046460A" w:rsidRPr="00543288">
              <w:rPr>
                <w:rStyle w:val="Hyperlink"/>
                <w:rFonts w:ascii="Franklin Gothic Book" w:hAnsi="Franklin Gothic Book"/>
                <w:noProof/>
                <w:sz w:val="24"/>
                <w:szCs w:val="24"/>
              </w:rPr>
              <w:t>GS datasets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_Toc486787398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13</w:t>
          </w:r>
        </w:p>
        <w:p w14:paraId="7F6DAAE9" w14:textId="3D76A10F"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399" w:history="1">
            <w:r w:rsidR="0046460A" w:rsidRPr="00543288">
              <w:rPr>
                <w:rStyle w:val="Hyperlink"/>
                <w:rFonts w:ascii="Franklin Gothic Book" w:hAnsi="Franklin Gothic Book"/>
                <w:i w:val="0"/>
                <w:noProof/>
                <w:sz w:val="24"/>
                <w:szCs w:val="24"/>
              </w:rPr>
              <w:t>7.4.1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Identified ALVE insertions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_Toc486787399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21</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2D42BA56" w14:textId="624DB666"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00" w:history="1">
            <w:r w:rsidR="0046460A" w:rsidRPr="00543288">
              <w:rPr>
                <w:rStyle w:val="Hyperlink"/>
                <w:rFonts w:ascii="Franklin Gothic Book" w:hAnsi="Franklin Gothic Book"/>
                <w:i w:val="0"/>
                <w:noProof/>
                <w:sz w:val="24"/>
                <w:szCs w:val="24"/>
              </w:rPr>
              <w:t>7.4.2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Failings with the Kauai and Andersson datasets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_Toc486787400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23</w:t>
          </w:r>
        </w:p>
        <w:p w14:paraId="73F33B4C" w14:textId="59AEA14B"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401" w:history="1">
            <w:r w:rsidR="0046460A" w:rsidRPr="00543288">
              <w:rPr>
                <w:rStyle w:val="Hyperlink"/>
                <w:rFonts w:ascii="Franklin Gothic Book" w:hAnsi="Franklin Gothic Book"/>
                <w:noProof/>
                <w:sz w:val="24"/>
                <w:szCs w:val="24"/>
              </w:rPr>
              <w:t>7.5</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ALVE insertion patterns across all analysed datasets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_Toc486787401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22</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4</w:t>
          </w:r>
        </w:p>
        <w:p w14:paraId="5536CC71" w14:textId="7264A33D"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02" w:history="1">
            <w:r w:rsidR="0046460A" w:rsidRPr="00543288">
              <w:rPr>
                <w:rStyle w:val="Hyperlink"/>
                <w:rFonts w:ascii="Franklin Gothic Book" w:hAnsi="Franklin Gothic Book"/>
                <w:i w:val="0"/>
                <w:noProof/>
                <w:sz w:val="24"/>
                <w:szCs w:val="24"/>
              </w:rPr>
              <w:t>7.5.1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insertion sites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_Toc486787402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324DF261" w14:textId="325F7EF5"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03" w:history="1">
            <w:r w:rsidR="0046460A" w:rsidRPr="00543288">
              <w:rPr>
                <w:rStyle w:val="Hyperlink"/>
                <w:rFonts w:ascii="Franklin Gothic Book" w:hAnsi="Franklin Gothic Book"/>
                <w:i w:val="0"/>
                <w:noProof/>
                <w:sz w:val="24"/>
                <w:szCs w:val="24"/>
              </w:rPr>
              <w:t>7.5.2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ALVEs as genetic markers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_Toc486787403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73583938" w14:textId="318172F8"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404" w:history="1">
            <w:r w:rsidR="0046460A" w:rsidRPr="00543288">
              <w:rPr>
                <w:rStyle w:val="Hyperlink"/>
                <w:rFonts w:ascii="Franklin Gothic Book" w:hAnsi="Franklin Gothic Book"/>
                <w:noProof/>
                <w:sz w:val="24"/>
                <w:szCs w:val="24"/>
              </w:rPr>
              <w:t>7.6</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Discussion</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_Toc486787404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w:t>
            </w:r>
            <w:r w:rsidR="00D4785A">
              <w:rPr>
                <w:rFonts w:ascii="Franklin Gothic Book" w:hAnsi="Franklin Gothic Book"/>
                <w:noProof/>
                <w:webHidden/>
                <w:sz w:val="24"/>
                <w:szCs w:val="24"/>
              </w:rPr>
              <w:t>30</w:t>
            </w:r>
            <w:r w:rsidR="0046460A" w:rsidRPr="00543288">
              <w:rPr>
                <w:rFonts w:ascii="Franklin Gothic Book" w:hAnsi="Franklin Gothic Book"/>
                <w:noProof/>
                <w:webHidden/>
                <w:sz w:val="24"/>
                <w:szCs w:val="24"/>
              </w:rPr>
              <w:fldChar w:fldCharType="end"/>
            </w:r>
          </w:hyperlink>
        </w:p>
        <w:p w14:paraId="1A980C36" w14:textId="3899F5A7"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05" w:history="1">
            <w:r w:rsidR="0046460A" w:rsidRPr="00543288">
              <w:rPr>
                <w:rStyle w:val="Hyperlink"/>
                <w:rFonts w:ascii="Franklin Gothic Book" w:hAnsi="Franklin Gothic Book"/>
                <w:i w:val="0"/>
                <w:noProof/>
                <w:sz w:val="24"/>
                <w:szCs w:val="24"/>
              </w:rPr>
              <w:t>7.6.1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Applying the ALVE identification pipeline to analyse multiple datasets</w:t>
            </w:r>
            <w:r w:rsidR="0046460A" w:rsidRPr="00543288">
              <w:rPr>
                <w:rFonts w:ascii="Franklin Gothic Book" w:hAnsi="Franklin Gothic Book"/>
                <w:i w:val="0"/>
                <w:noProof/>
                <w:webHidden/>
                <w:sz w:val="24"/>
                <w:szCs w:val="24"/>
              </w:rPr>
              <w:tab/>
              <w:t>_______________________________________________________</w:t>
            </w:r>
            <w:r w:rsidR="0046460A" w:rsidRPr="00543288">
              <w:rPr>
                <w:rFonts w:ascii="Franklin Gothic Book" w:hAnsi="Franklin Gothic Book"/>
                <w:i w:val="0"/>
                <w:noProof/>
                <w:webHidden/>
                <w:sz w:val="36"/>
                <w:szCs w:val="24"/>
              </w:rPr>
              <w:t xml:space="preserve"> </w:t>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_Toc486787405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30</w:t>
          </w:r>
        </w:p>
        <w:p w14:paraId="561938A0" w14:textId="725EA6F3"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06" w:history="1">
            <w:r w:rsidR="0046460A" w:rsidRPr="00543288">
              <w:rPr>
                <w:rStyle w:val="Hyperlink"/>
                <w:rFonts w:ascii="Franklin Gothic Book" w:hAnsi="Franklin Gothic Book"/>
                <w:i w:val="0"/>
                <w:noProof/>
                <w:sz w:val="24"/>
                <w:szCs w:val="24"/>
              </w:rPr>
              <w:t>7.6.2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diversity across chicken populations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_Toc486787406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31</w:t>
          </w:r>
        </w:p>
        <w:p w14:paraId="209E3721" w14:textId="1DFEA305"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407" w:history="1">
            <w:r w:rsidR="0046460A" w:rsidRPr="00543288">
              <w:rPr>
                <w:rStyle w:val="Hyperlink"/>
                <w:rFonts w:ascii="Franklin Gothic Book" w:hAnsi="Franklin Gothic Book"/>
                <w:noProof/>
                <w:sz w:val="24"/>
                <w:szCs w:val="24"/>
              </w:rPr>
              <w:t>7.7</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Concluding remarks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_Toc486787407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23</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4</w:t>
          </w:r>
        </w:p>
        <w:p w14:paraId="602D9E08" w14:textId="77777777" w:rsidR="0046460A" w:rsidRPr="00543288" w:rsidRDefault="0046460A">
          <w:pPr>
            <w:pStyle w:val="TOC1"/>
            <w:tabs>
              <w:tab w:val="left" w:pos="1320"/>
              <w:tab w:val="right" w:leader="underscore" w:pos="8210"/>
            </w:tabs>
            <w:rPr>
              <w:rStyle w:val="Hyperlink"/>
              <w:rFonts w:ascii="Franklin Gothic Book" w:hAnsi="Franklin Gothic Book"/>
              <w:caps w:val="0"/>
              <w:noProof/>
              <w:sz w:val="12"/>
              <w:szCs w:val="12"/>
            </w:rPr>
          </w:pPr>
        </w:p>
        <w:p w14:paraId="70B5C121" w14:textId="68F49728" w:rsidR="0046460A" w:rsidRPr="00543288" w:rsidRDefault="009432A8">
          <w:pPr>
            <w:pStyle w:val="TOC1"/>
            <w:tabs>
              <w:tab w:val="left" w:pos="1320"/>
              <w:tab w:val="right" w:leader="underscore" w:pos="8210"/>
            </w:tabs>
            <w:rPr>
              <w:rFonts w:ascii="Franklin Gothic Book" w:eastAsiaTheme="minorEastAsia" w:hAnsi="Franklin Gothic Book" w:cstheme="minorBidi"/>
              <w:b w:val="0"/>
              <w:bCs w:val="0"/>
              <w:caps w:val="0"/>
              <w:noProof/>
              <w:sz w:val="24"/>
              <w:szCs w:val="24"/>
              <w:lang w:eastAsia="en-GB"/>
            </w:rPr>
          </w:pPr>
          <w:hyperlink w:anchor="_Toc486787408" w:history="1">
            <w:r w:rsidR="0046460A" w:rsidRPr="00D4785A">
              <w:rPr>
                <w:rStyle w:val="Hyperlink"/>
                <w:rFonts w:ascii="Franklin Gothic Book" w:hAnsi="Franklin Gothic Book"/>
                <w:caps w:val="0"/>
                <w:noProof/>
                <w:sz w:val="24"/>
                <w:szCs w:val="24"/>
              </w:rPr>
              <w:t>Chapter 8:</w:t>
            </w:r>
            <w:r w:rsidR="0046460A" w:rsidRPr="00D4785A">
              <w:rPr>
                <w:rFonts w:ascii="Franklin Gothic Book" w:eastAsiaTheme="minorEastAsia" w:hAnsi="Franklin Gothic Book" w:cstheme="minorBidi"/>
                <w:b w:val="0"/>
                <w:bCs w:val="0"/>
                <w:caps w:val="0"/>
                <w:noProof/>
                <w:sz w:val="24"/>
                <w:szCs w:val="24"/>
                <w:lang w:eastAsia="en-GB"/>
              </w:rPr>
              <w:tab/>
            </w:r>
            <w:r w:rsidR="0046460A" w:rsidRPr="00D4785A">
              <w:rPr>
                <w:rStyle w:val="Hyperlink"/>
                <w:rFonts w:ascii="Franklin Gothic Book" w:hAnsi="Franklin Gothic Book"/>
                <w:caps w:val="0"/>
                <w:noProof/>
                <w:sz w:val="24"/>
                <w:szCs w:val="24"/>
              </w:rPr>
              <w:t>Discussion</w:t>
            </w:r>
            <w:r w:rsidR="0046460A" w:rsidRPr="00D4785A">
              <w:rPr>
                <w:rFonts w:ascii="Franklin Gothic Book" w:hAnsi="Franklin Gothic Book"/>
                <w:caps w:val="0"/>
                <w:noProof/>
                <w:webHidden/>
                <w:sz w:val="24"/>
                <w:szCs w:val="24"/>
              </w:rPr>
              <w:tab/>
            </w:r>
            <w:r w:rsidR="0046460A" w:rsidRPr="00D4785A">
              <w:rPr>
                <w:rFonts w:ascii="Franklin Gothic Book" w:hAnsi="Franklin Gothic Book"/>
                <w:caps w:val="0"/>
                <w:noProof/>
                <w:webHidden/>
                <w:sz w:val="24"/>
                <w:szCs w:val="24"/>
              </w:rPr>
              <w:fldChar w:fldCharType="begin" w:fldLock="1"/>
            </w:r>
            <w:r w:rsidR="0046460A" w:rsidRPr="00D4785A">
              <w:rPr>
                <w:rFonts w:ascii="Franklin Gothic Book" w:hAnsi="Franklin Gothic Book"/>
                <w:caps w:val="0"/>
                <w:noProof/>
                <w:webHidden/>
                <w:sz w:val="24"/>
                <w:szCs w:val="24"/>
              </w:rPr>
              <w:instrText xml:space="preserve"> PAGEREF _Toc486787408 \h </w:instrText>
            </w:r>
            <w:r w:rsidR="0046460A" w:rsidRPr="00D4785A">
              <w:rPr>
                <w:rFonts w:ascii="Franklin Gothic Book" w:hAnsi="Franklin Gothic Book"/>
                <w:caps w:val="0"/>
                <w:noProof/>
                <w:webHidden/>
                <w:sz w:val="24"/>
                <w:szCs w:val="24"/>
              </w:rPr>
            </w:r>
            <w:r w:rsidR="0046460A"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23</w:t>
            </w:r>
            <w:r w:rsidR="0046460A"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5</w:t>
          </w:r>
        </w:p>
        <w:p w14:paraId="07BF0E85" w14:textId="2FADB14C"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409" w:history="1">
            <w:r w:rsidR="0046460A" w:rsidRPr="00543288">
              <w:rPr>
                <w:rStyle w:val="Hyperlink"/>
                <w:rFonts w:ascii="Franklin Gothic Book" w:hAnsi="Franklin Gothic Book"/>
                <w:noProof/>
                <w:sz w:val="24"/>
                <w:szCs w:val="24"/>
              </w:rPr>
              <w:t>8.1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The development of novel identification pipelines for the identification of LTR retrotransposon-derived repetitive elements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_Toc486787409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23</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6</w:t>
          </w:r>
        </w:p>
        <w:p w14:paraId="479CBDC9" w14:textId="4DC32DF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0" w:history="1">
            <w:r w:rsidR="0046460A" w:rsidRPr="00543288">
              <w:rPr>
                <w:rStyle w:val="Hyperlink"/>
                <w:rFonts w:ascii="Franklin Gothic Book" w:hAnsi="Franklin Gothic Book"/>
                <w:i w:val="0"/>
                <w:noProof/>
                <w:sz w:val="24"/>
                <w:szCs w:val="24"/>
              </w:rPr>
              <w:t>8.1.1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LocaTR</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_Toc486787410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6</w:t>
          </w:r>
        </w:p>
        <w:p w14:paraId="6329AE12" w14:textId="43E132F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1" w:history="1">
            <w:r w:rsidR="0046460A" w:rsidRPr="00543288">
              <w:rPr>
                <w:rStyle w:val="Hyperlink"/>
                <w:rFonts w:ascii="Franklin Gothic Book" w:hAnsi="Franklin Gothic Book"/>
                <w:i w:val="0"/>
                <w:noProof/>
                <w:sz w:val="24"/>
                <w:szCs w:val="24"/>
              </w:rPr>
              <w:t>8.1.2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 identification pipeline</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_Toc486787411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23</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5107D183" w14:textId="171EBEC0" w:rsidR="0046460A" w:rsidRPr="00543288" w:rsidRDefault="009432A8" w:rsidP="0046460A">
          <w:pPr>
            <w:pStyle w:val="TOC2"/>
            <w:tabs>
              <w:tab w:val="left" w:pos="880"/>
              <w:tab w:val="right" w:leader="underscore" w:pos="8210"/>
            </w:tabs>
            <w:ind w:left="720" w:hanging="500"/>
            <w:rPr>
              <w:rFonts w:ascii="Franklin Gothic Book" w:eastAsiaTheme="minorEastAsia" w:hAnsi="Franklin Gothic Book" w:cstheme="minorBidi"/>
              <w:smallCaps w:val="0"/>
              <w:noProof/>
              <w:sz w:val="24"/>
              <w:szCs w:val="24"/>
              <w:lang w:eastAsia="en-GB"/>
            </w:rPr>
          </w:pPr>
          <w:hyperlink w:anchor="_Toc486787412" w:history="1">
            <w:r w:rsidR="0046460A" w:rsidRPr="00543288">
              <w:rPr>
                <w:rStyle w:val="Hyperlink"/>
                <w:rFonts w:ascii="Franklin Gothic Book" w:hAnsi="Franklin Gothic Book"/>
                <w:noProof/>
                <w:sz w:val="24"/>
                <w:szCs w:val="24"/>
              </w:rPr>
              <w:t>8.2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Evolutionary roles for LTR retrotransposon-derived sequences in avian genomes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_Toc486787412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40</w:t>
          </w:r>
        </w:p>
        <w:p w14:paraId="33FD7ACA" w14:textId="7CE8D71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3" w:history="1">
            <w:r w:rsidR="0046460A" w:rsidRPr="00543288">
              <w:rPr>
                <w:rStyle w:val="Hyperlink"/>
                <w:rFonts w:ascii="Franklin Gothic Book" w:hAnsi="Franklin Gothic Book"/>
                <w:i w:val="0"/>
                <w:noProof/>
                <w:sz w:val="24"/>
                <w:szCs w:val="24"/>
              </w:rPr>
              <w:t>8.2.1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Repetitive elements in avian genome evolution</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_Toc486787413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40</w:t>
          </w:r>
        </w:p>
        <w:p w14:paraId="1E5C55F3" w14:textId="6B984CB9"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4" w:history="1">
            <w:r w:rsidR="0046460A" w:rsidRPr="00543288">
              <w:rPr>
                <w:rStyle w:val="Hyperlink"/>
                <w:rFonts w:ascii="Franklin Gothic Book" w:hAnsi="Franklin Gothic Book"/>
                <w:i w:val="0"/>
                <w:noProof/>
                <w:sz w:val="24"/>
                <w:szCs w:val="24"/>
              </w:rPr>
              <w:t>8.2.2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Co-opted LTR retrotransposon-derived sequences in chicken</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_Toc486787414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42</w:t>
          </w:r>
        </w:p>
        <w:p w14:paraId="575A1874" w14:textId="3AE69A60"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5" w:history="1">
            <w:r w:rsidR="0046460A" w:rsidRPr="00543288">
              <w:rPr>
                <w:rStyle w:val="Hyperlink"/>
                <w:rFonts w:ascii="Franklin Gothic Book" w:hAnsi="Franklin Gothic Book"/>
                <w:i w:val="0"/>
                <w:noProof/>
                <w:sz w:val="24"/>
                <w:szCs w:val="24"/>
              </w:rPr>
              <w:t>8.2.3</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Transient ALVE-derived immunity in chickens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_Toc486787415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43</w:t>
          </w:r>
        </w:p>
        <w:p w14:paraId="3668F76D" w14:textId="0FDA3AD1"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6" w:history="1">
            <w:r w:rsidR="0046460A" w:rsidRPr="00543288">
              <w:rPr>
                <w:rStyle w:val="Hyperlink"/>
                <w:rFonts w:ascii="Franklin Gothic Book" w:hAnsi="Franklin Gothic Book"/>
                <w:i w:val="0"/>
                <w:noProof/>
                <w:sz w:val="24"/>
                <w:szCs w:val="24"/>
              </w:rPr>
              <w:t>8.2.4</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Further areas for research</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_Toc486787416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4</w:t>
          </w:r>
        </w:p>
        <w:p w14:paraId="73E8EFE7" w14:textId="0A22C1F8"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417" w:history="1">
            <w:r w:rsidR="0046460A" w:rsidRPr="00543288">
              <w:rPr>
                <w:rStyle w:val="Hyperlink"/>
                <w:rFonts w:ascii="Franklin Gothic Book" w:hAnsi="Franklin Gothic Book"/>
                <w:noProof/>
                <w:sz w:val="24"/>
                <w:szCs w:val="24"/>
              </w:rPr>
              <w:t>8.3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Practical applications from this CASE PhD project</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_Toc486787417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5</w:t>
          </w:r>
        </w:p>
        <w:p w14:paraId="4A4872EB" w14:textId="1AB983CE"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8" w:history="1">
            <w:r w:rsidR="0046460A" w:rsidRPr="00543288">
              <w:rPr>
                <w:rStyle w:val="Hyperlink"/>
                <w:rFonts w:ascii="Franklin Gothic Book" w:hAnsi="Franklin Gothic Book"/>
                <w:i w:val="0"/>
                <w:noProof/>
                <w:sz w:val="24"/>
                <w:szCs w:val="24"/>
              </w:rPr>
              <w:t>8.3.1</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ALVEs in the Hy-Line elite layer lines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_Toc486787418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5</w:t>
          </w:r>
        </w:p>
        <w:p w14:paraId="586D80E7" w14:textId="7BB55814" w:rsidR="0046460A" w:rsidRPr="00543288" w:rsidRDefault="009432A8">
          <w:pPr>
            <w:pStyle w:val="TOC3"/>
            <w:tabs>
              <w:tab w:val="left" w:pos="1100"/>
              <w:tab w:val="right" w:leader="underscore" w:pos="8210"/>
            </w:tabs>
            <w:rPr>
              <w:rFonts w:ascii="Franklin Gothic Book" w:eastAsiaTheme="minorEastAsia" w:hAnsi="Franklin Gothic Book" w:cstheme="minorBidi"/>
              <w:i w:val="0"/>
              <w:iCs w:val="0"/>
              <w:noProof/>
              <w:sz w:val="24"/>
              <w:szCs w:val="24"/>
              <w:lang w:eastAsia="en-GB"/>
            </w:rPr>
          </w:pPr>
          <w:hyperlink w:anchor="_Toc486787419" w:history="1">
            <w:r w:rsidR="0046460A" w:rsidRPr="00543288">
              <w:rPr>
                <w:rStyle w:val="Hyperlink"/>
                <w:rFonts w:ascii="Franklin Gothic Book" w:hAnsi="Franklin Gothic Book"/>
                <w:i w:val="0"/>
                <w:noProof/>
                <w:sz w:val="24"/>
                <w:szCs w:val="24"/>
              </w:rPr>
              <w:t>8.3.2</w:t>
            </w:r>
            <w:r w:rsidR="0046460A" w:rsidRPr="00543288">
              <w:rPr>
                <w:rFonts w:ascii="Franklin Gothic Book" w:eastAsiaTheme="minorEastAsia" w:hAnsi="Franklin Gothic Book" w:cstheme="minorBidi"/>
                <w:i w:val="0"/>
                <w:iCs w:val="0"/>
                <w:noProof/>
                <w:sz w:val="24"/>
                <w:szCs w:val="24"/>
                <w:lang w:eastAsia="en-GB"/>
              </w:rPr>
              <w:tab/>
            </w:r>
            <w:r w:rsidR="0046460A" w:rsidRPr="00543288">
              <w:rPr>
                <w:rStyle w:val="Hyperlink"/>
                <w:rFonts w:ascii="Franklin Gothic Book" w:hAnsi="Franklin Gothic Book"/>
                <w:i w:val="0"/>
                <w:noProof/>
                <w:sz w:val="24"/>
                <w:szCs w:val="24"/>
              </w:rPr>
              <w:t>Wider application of the identification pipelines</w:t>
            </w:r>
            <w:r w:rsidR="0046460A" w:rsidRPr="00543288">
              <w:rPr>
                <w:rFonts w:ascii="Franklin Gothic Book" w:hAnsi="Franklin Gothic Book"/>
                <w:i w:val="0"/>
                <w:noProof/>
                <w:webHidden/>
                <w:sz w:val="24"/>
                <w:szCs w:val="24"/>
              </w:rPr>
              <w:tab/>
            </w:r>
            <w:r w:rsidR="0046460A" w:rsidRPr="00543288">
              <w:rPr>
                <w:rFonts w:ascii="Franklin Gothic Book" w:hAnsi="Franklin Gothic Book"/>
                <w:i w:val="0"/>
                <w:noProof/>
                <w:webHidden/>
                <w:sz w:val="24"/>
                <w:szCs w:val="24"/>
              </w:rPr>
              <w:fldChar w:fldCharType="begin" w:fldLock="1"/>
            </w:r>
            <w:r w:rsidR="0046460A" w:rsidRPr="00543288">
              <w:rPr>
                <w:rFonts w:ascii="Franklin Gothic Book" w:hAnsi="Franklin Gothic Book"/>
                <w:i w:val="0"/>
                <w:noProof/>
                <w:webHidden/>
                <w:sz w:val="24"/>
                <w:szCs w:val="24"/>
              </w:rPr>
              <w:instrText xml:space="preserve"> PAGEREF _Toc486787419 \h </w:instrText>
            </w:r>
            <w:r w:rsidR="0046460A" w:rsidRPr="00543288">
              <w:rPr>
                <w:rFonts w:ascii="Franklin Gothic Book" w:hAnsi="Franklin Gothic Book"/>
                <w:i w:val="0"/>
                <w:noProof/>
                <w:webHidden/>
                <w:sz w:val="24"/>
                <w:szCs w:val="24"/>
              </w:rPr>
            </w:r>
            <w:r w:rsidR="0046460A" w:rsidRPr="00543288">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24</w:t>
            </w:r>
            <w:r w:rsidR="0046460A" w:rsidRPr="00543288">
              <w:rPr>
                <w:rFonts w:ascii="Franklin Gothic Book" w:hAnsi="Franklin Gothic Book"/>
                <w:i w:val="0"/>
                <w:noProof/>
                <w:webHidden/>
                <w:sz w:val="24"/>
                <w:szCs w:val="24"/>
              </w:rPr>
              <w:fldChar w:fldCharType="end"/>
            </w:r>
          </w:hyperlink>
          <w:r w:rsidR="00D4785A">
            <w:rPr>
              <w:rFonts w:ascii="Franklin Gothic Book" w:hAnsi="Franklin Gothic Book"/>
              <w:i w:val="0"/>
              <w:noProof/>
              <w:sz w:val="24"/>
              <w:szCs w:val="24"/>
            </w:rPr>
            <w:t>8</w:t>
          </w:r>
        </w:p>
        <w:p w14:paraId="7BF70E75" w14:textId="587C0721" w:rsidR="0046460A" w:rsidRPr="00543288" w:rsidRDefault="009432A8">
          <w:pPr>
            <w:pStyle w:val="TOC2"/>
            <w:tabs>
              <w:tab w:val="left" w:pos="880"/>
              <w:tab w:val="right" w:leader="underscore" w:pos="8210"/>
            </w:tabs>
            <w:rPr>
              <w:rFonts w:ascii="Franklin Gothic Book" w:eastAsiaTheme="minorEastAsia" w:hAnsi="Franklin Gothic Book" w:cstheme="minorBidi"/>
              <w:smallCaps w:val="0"/>
              <w:noProof/>
              <w:sz w:val="24"/>
              <w:szCs w:val="24"/>
              <w:lang w:eastAsia="en-GB"/>
            </w:rPr>
          </w:pPr>
          <w:hyperlink w:anchor="_Toc486787420" w:history="1">
            <w:r w:rsidR="0046460A" w:rsidRPr="00543288">
              <w:rPr>
                <w:rStyle w:val="Hyperlink"/>
                <w:rFonts w:ascii="Franklin Gothic Book" w:hAnsi="Franklin Gothic Book"/>
                <w:noProof/>
                <w:sz w:val="24"/>
                <w:szCs w:val="24"/>
              </w:rPr>
              <w:t>8.4</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Concluding remarks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_Toc486787420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24</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9</w:t>
          </w:r>
        </w:p>
        <w:p w14:paraId="4FF297F6" w14:textId="37C80AAA" w:rsidR="0046460A" w:rsidRPr="00543288" w:rsidRDefault="0046460A">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r w:rsidRPr="00543288">
            <w:rPr>
              <w:rStyle w:val="Hyperlink"/>
              <w:rFonts w:ascii="Franklin Gothic Book" w:hAnsi="Franklin Gothic Book"/>
              <w:caps w:val="0"/>
              <w:noProof/>
              <w:sz w:val="12"/>
              <w:szCs w:val="12"/>
            </w:rPr>
            <w:br/>
          </w:r>
          <w:hyperlink w:anchor="_Toc486787421" w:history="1">
            <w:r w:rsidRPr="00D4785A">
              <w:rPr>
                <w:rStyle w:val="Hyperlink"/>
                <w:rFonts w:ascii="Franklin Gothic Book" w:hAnsi="Franklin Gothic Book"/>
                <w:caps w:val="0"/>
                <w:noProof/>
                <w:sz w:val="24"/>
                <w:szCs w:val="24"/>
              </w:rPr>
              <w:t>References</w:t>
            </w:r>
            <w:r w:rsidRPr="00D4785A">
              <w:rPr>
                <w:rFonts w:ascii="Franklin Gothic Book" w:hAnsi="Franklin Gothic Book"/>
                <w:caps w:val="0"/>
                <w:noProof/>
                <w:webHidden/>
                <w:sz w:val="24"/>
                <w:szCs w:val="24"/>
              </w:rPr>
              <w:tab/>
            </w:r>
            <w:r w:rsidRPr="00D4785A">
              <w:rPr>
                <w:rFonts w:ascii="Franklin Gothic Book" w:hAnsi="Franklin Gothic Book"/>
                <w:caps w:val="0"/>
                <w:noProof/>
                <w:webHidden/>
                <w:sz w:val="24"/>
                <w:szCs w:val="24"/>
              </w:rPr>
              <w:fldChar w:fldCharType="begin" w:fldLock="1"/>
            </w:r>
            <w:r w:rsidRPr="00D4785A">
              <w:rPr>
                <w:rFonts w:ascii="Franklin Gothic Book" w:hAnsi="Franklin Gothic Book"/>
                <w:caps w:val="0"/>
                <w:noProof/>
                <w:webHidden/>
                <w:sz w:val="24"/>
                <w:szCs w:val="24"/>
              </w:rPr>
              <w:instrText xml:space="preserve"> PAGEREF _Toc486787421 \h </w:instrText>
            </w:r>
            <w:r w:rsidRPr="00D4785A">
              <w:rPr>
                <w:rFonts w:ascii="Franklin Gothic Book" w:hAnsi="Franklin Gothic Book"/>
                <w:caps w:val="0"/>
                <w:noProof/>
                <w:webHidden/>
                <w:sz w:val="24"/>
                <w:szCs w:val="24"/>
              </w:rPr>
            </w:r>
            <w:r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2</w:t>
            </w:r>
            <w:r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51</w:t>
          </w:r>
        </w:p>
        <w:p w14:paraId="28BCA324" w14:textId="02EAC0CD" w:rsidR="0046460A" w:rsidRPr="00543288" w:rsidRDefault="0046460A">
          <w:pPr>
            <w:pStyle w:val="TOC1"/>
            <w:tabs>
              <w:tab w:val="right" w:leader="underscore" w:pos="8210"/>
            </w:tabs>
            <w:rPr>
              <w:rFonts w:ascii="Franklin Gothic Book" w:eastAsiaTheme="minorEastAsia" w:hAnsi="Franklin Gothic Book" w:cstheme="minorBidi"/>
              <w:b w:val="0"/>
              <w:bCs w:val="0"/>
              <w:caps w:val="0"/>
              <w:noProof/>
              <w:sz w:val="24"/>
              <w:szCs w:val="24"/>
              <w:lang w:eastAsia="en-GB"/>
            </w:rPr>
          </w:pPr>
          <w:r w:rsidRPr="00543288">
            <w:rPr>
              <w:rStyle w:val="Hyperlink"/>
              <w:rFonts w:ascii="Franklin Gothic Book" w:hAnsi="Franklin Gothic Book"/>
              <w:caps w:val="0"/>
              <w:noProof/>
              <w:sz w:val="12"/>
              <w:szCs w:val="12"/>
            </w:rPr>
            <w:br/>
          </w:r>
          <w:hyperlink w:anchor="_Toc486787422" w:history="1">
            <w:r w:rsidRPr="00D4785A">
              <w:rPr>
                <w:rStyle w:val="Hyperlink"/>
                <w:rFonts w:ascii="Franklin Gothic Book" w:hAnsi="Franklin Gothic Book"/>
                <w:caps w:val="0"/>
                <w:noProof/>
                <w:sz w:val="24"/>
                <w:szCs w:val="24"/>
              </w:rPr>
              <w:t>Appendices</w:t>
            </w:r>
            <w:r w:rsidRPr="00D4785A">
              <w:rPr>
                <w:rFonts w:ascii="Franklin Gothic Book" w:hAnsi="Franklin Gothic Book"/>
                <w:caps w:val="0"/>
                <w:noProof/>
                <w:webHidden/>
                <w:sz w:val="24"/>
                <w:szCs w:val="24"/>
              </w:rPr>
              <w:tab/>
            </w:r>
            <w:r w:rsidRPr="00D4785A">
              <w:rPr>
                <w:rFonts w:ascii="Franklin Gothic Book" w:hAnsi="Franklin Gothic Book"/>
                <w:caps w:val="0"/>
                <w:noProof/>
                <w:webHidden/>
                <w:sz w:val="24"/>
                <w:szCs w:val="24"/>
              </w:rPr>
              <w:fldChar w:fldCharType="begin" w:fldLock="1"/>
            </w:r>
            <w:r w:rsidRPr="00D4785A">
              <w:rPr>
                <w:rFonts w:ascii="Franklin Gothic Book" w:hAnsi="Franklin Gothic Book"/>
                <w:caps w:val="0"/>
                <w:noProof/>
                <w:webHidden/>
                <w:sz w:val="24"/>
                <w:szCs w:val="24"/>
              </w:rPr>
              <w:instrText xml:space="preserve"> PAGEREF _Toc486787422 \h </w:instrText>
            </w:r>
            <w:r w:rsidRPr="00D4785A">
              <w:rPr>
                <w:rFonts w:ascii="Franklin Gothic Book" w:hAnsi="Franklin Gothic Book"/>
                <w:caps w:val="0"/>
                <w:noProof/>
                <w:webHidden/>
                <w:sz w:val="24"/>
                <w:szCs w:val="24"/>
              </w:rPr>
            </w:r>
            <w:r w:rsidRPr="00D4785A">
              <w:rPr>
                <w:rFonts w:ascii="Franklin Gothic Book" w:hAnsi="Franklin Gothic Book"/>
                <w:caps w:val="0"/>
                <w:noProof/>
                <w:webHidden/>
                <w:sz w:val="24"/>
                <w:szCs w:val="24"/>
              </w:rPr>
              <w:fldChar w:fldCharType="separate"/>
            </w:r>
            <w:r w:rsidR="002C549C" w:rsidRPr="00D4785A">
              <w:rPr>
                <w:rFonts w:ascii="Franklin Gothic Book" w:hAnsi="Franklin Gothic Book"/>
                <w:caps w:val="0"/>
                <w:noProof/>
                <w:webHidden/>
                <w:sz w:val="24"/>
                <w:szCs w:val="24"/>
              </w:rPr>
              <w:t>26</w:t>
            </w:r>
            <w:r w:rsidRPr="00D4785A">
              <w:rPr>
                <w:rFonts w:ascii="Franklin Gothic Book" w:hAnsi="Franklin Gothic Book"/>
                <w:caps w:val="0"/>
                <w:noProof/>
                <w:webHidden/>
                <w:sz w:val="24"/>
                <w:szCs w:val="24"/>
              </w:rPr>
              <w:fldChar w:fldCharType="end"/>
            </w:r>
          </w:hyperlink>
          <w:r w:rsidR="00D4785A">
            <w:rPr>
              <w:rFonts w:ascii="Franklin Gothic Book" w:hAnsi="Franklin Gothic Book"/>
              <w:caps w:val="0"/>
              <w:noProof/>
              <w:sz w:val="24"/>
              <w:szCs w:val="24"/>
            </w:rPr>
            <w:t>7</w:t>
          </w:r>
        </w:p>
        <w:p w14:paraId="67CB6FB2" w14:textId="78DAAAF3" w:rsidR="0046460A" w:rsidRPr="00543288" w:rsidRDefault="009432A8">
          <w:pPr>
            <w:pStyle w:val="TOC2"/>
            <w:tabs>
              <w:tab w:val="left" w:pos="1320"/>
              <w:tab w:val="right" w:leader="underscore" w:pos="8210"/>
            </w:tabs>
            <w:rPr>
              <w:rFonts w:ascii="Franklin Gothic Book" w:eastAsiaTheme="minorEastAsia" w:hAnsi="Franklin Gothic Book" w:cstheme="minorBidi"/>
              <w:smallCaps w:val="0"/>
              <w:noProof/>
              <w:sz w:val="24"/>
              <w:szCs w:val="24"/>
              <w:lang w:eastAsia="en-GB"/>
            </w:rPr>
          </w:pPr>
          <w:hyperlink w:anchor="_Toc486787423" w:history="1">
            <w:r w:rsidR="0046460A" w:rsidRPr="00543288">
              <w:rPr>
                <w:rStyle w:val="Hyperlink"/>
                <w:rFonts w:ascii="Franklin Gothic Book" w:hAnsi="Franklin Gothic Book"/>
                <w:noProof/>
                <w:sz w:val="24"/>
                <w:szCs w:val="24"/>
              </w:rPr>
              <w:t>Appendix 1:</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Code repositories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_Toc486787423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w:t>
            </w:r>
            <w:r w:rsidR="002C549C">
              <w:rPr>
                <w:rFonts w:ascii="Franklin Gothic Book" w:hAnsi="Franklin Gothic Book"/>
                <w:noProof/>
                <w:webHidden/>
                <w:sz w:val="24"/>
                <w:szCs w:val="24"/>
              </w:rPr>
              <w:t>6</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w:t>
          </w:r>
        </w:p>
        <w:p w14:paraId="0288F4C8" w14:textId="66872981" w:rsidR="0046460A" w:rsidRPr="00543288" w:rsidRDefault="009432A8">
          <w:pPr>
            <w:pStyle w:val="TOC2"/>
            <w:tabs>
              <w:tab w:val="left" w:pos="1320"/>
              <w:tab w:val="right" w:leader="underscore" w:pos="8210"/>
            </w:tabs>
            <w:rPr>
              <w:rFonts w:ascii="Franklin Gothic Book" w:eastAsiaTheme="minorEastAsia" w:hAnsi="Franklin Gothic Book" w:cstheme="minorBidi"/>
              <w:smallCaps w:val="0"/>
              <w:noProof/>
              <w:sz w:val="24"/>
              <w:szCs w:val="24"/>
              <w:lang w:eastAsia="en-GB"/>
            </w:rPr>
          </w:pPr>
          <w:hyperlink w:anchor="_Toc486787424" w:history="1">
            <w:r w:rsidR="0046460A" w:rsidRPr="00543288">
              <w:rPr>
                <w:rStyle w:val="Hyperlink"/>
                <w:rFonts w:ascii="Franklin Gothic Book" w:hAnsi="Franklin Gothic Book"/>
                <w:noProof/>
                <w:sz w:val="24"/>
                <w:szCs w:val="24"/>
              </w:rPr>
              <w:t>Appendix 2:</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Additional files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_Toc486787424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26</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w:t>
          </w:r>
        </w:p>
        <w:p w14:paraId="5B234C76" w14:textId="29C764B7" w:rsidR="0046460A" w:rsidRPr="00543288" w:rsidRDefault="009432A8">
          <w:pPr>
            <w:pStyle w:val="TOC2"/>
            <w:tabs>
              <w:tab w:val="left" w:pos="1320"/>
              <w:tab w:val="right" w:leader="underscore" w:pos="8210"/>
            </w:tabs>
            <w:rPr>
              <w:rFonts w:ascii="Franklin Gothic Book" w:eastAsiaTheme="minorEastAsia" w:hAnsi="Franklin Gothic Book" w:cstheme="minorBidi"/>
              <w:smallCaps w:val="0"/>
              <w:noProof/>
              <w:sz w:val="24"/>
              <w:szCs w:val="24"/>
              <w:lang w:eastAsia="en-GB"/>
            </w:rPr>
          </w:pPr>
          <w:hyperlink w:anchor="_Toc486787425" w:history="1">
            <w:r w:rsidR="0046460A" w:rsidRPr="00543288">
              <w:rPr>
                <w:rStyle w:val="Hyperlink"/>
                <w:rFonts w:ascii="Franklin Gothic Book" w:hAnsi="Franklin Gothic Book"/>
                <w:noProof/>
                <w:sz w:val="24"/>
                <w:szCs w:val="24"/>
              </w:rPr>
              <w:t>Appendix 3:</w:t>
            </w:r>
            <w:r w:rsidR="0046460A" w:rsidRPr="00543288">
              <w:rPr>
                <w:rFonts w:ascii="Franklin Gothic Book" w:eastAsiaTheme="minorEastAsia" w:hAnsi="Franklin Gothic Book" w:cstheme="minorBidi"/>
                <w:smallCaps w:val="0"/>
                <w:noProof/>
                <w:sz w:val="24"/>
                <w:szCs w:val="24"/>
                <w:lang w:eastAsia="en-GB"/>
              </w:rPr>
              <w:tab/>
            </w:r>
            <w:r w:rsidR="0046460A" w:rsidRPr="00543288">
              <w:rPr>
                <w:rStyle w:val="Hyperlink"/>
                <w:rFonts w:ascii="Franklin Gothic Book" w:hAnsi="Franklin Gothic Book"/>
                <w:noProof/>
                <w:sz w:val="24"/>
                <w:szCs w:val="24"/>
              </w:rPr>
              <w:t>Published papers</w:t>
            </w:r>
            <w:r w:rsidR="0046460A" w:rsidRPr="00543288">
              <w:rPr>
                <w:rFonts w:ascii="Franklin Gothic Book" w:hAnsi="Franklin Gothic Book"/>
                <w:noProof/>
                <w:webHidden/>
                <w:sz w:val="24"/>
                <w:szCs w:val="24"/>
              </w:rPr>
              <w:tab/>
            </w:r>
            <w:r w:rsidR="0046460A" w:rsidRPr="00543288">
              <w:rPr>
                <w:rFonts w:ascii="Franklin Gothic Book" w:hAnsi="Franklin Gothic Book"/>
                <w:noProof/>
                <w:webHidden/>
                <w:sz w:val="24"/>
                <w:szCs w:val="24"/>
              </w:rPr>
              <w:fldChar w:fldCharType="begin" w:fldLock="1"/>
            </w:r>
            <w:r w:rsidR="0046460A" w:rsidRPr="00543288">
              <w:rPr>
                <w:rFonts w:ascii="Franklin Gothic Book" w:hAnsi="Franklin Gothic Book"/>
                <w:noProof/>
                <w:webHidden/>
                <w:sz w:val="24"/>
                <w:szCs w:val="24"/>
              </w:rPr>
              <w:instrText xml:space="preserve"> PAGEREF _Toc486787425 \h </w:instrText>
            </w:r>
            <w:r w:rsidR="0046460A" w:rsidRPr="00543288">
              <w:rPr>
                <w:rFonts w:ascii="Franklin Gothic Book" w:hAnsi="Franklin Gothic Book"/>
                <w:noProof/>
                <w:webHidden/>
                <w:sz w:val="24"/>
                <w:szCs w:val="24"/>
              </w:rPr>
            </w:r>
            <w:r w:rsidR="0046460A" w:rsidRPr="00543288">
              <w:rPr>
                <w:rFonts w:ascii="Franklin Gothic Book" w:hAnsi="Franklin Gothic Book"/>
                <w:noProof/>
                <w:webHidden/>
                <w:sz w:val="24"/>
                <w:szCs w:val="24"/>
              </w:rPr>
              <w:fldChar w:fldCharType="separate"/>
            </w:r>
            <w:r w:rsidR="002C549C">
              <w:rPr>
                <w:rFonts w:ascii="Franklin Gothic Book" w:hAnsi="Franklin Gothic Book"/>
                <w:noProof/>
                <w:webHidden/>
                <w:sz w:val="24"/>
                <w:szCs w:val="24"/>
              </w:rPr>
              <w:t>2</w:t>
            </w:r>
            <w:r w:rsidR="0046460A" w:rsidRPr="00543288">
              <w:rPr>
                <w:rFonts w:ascii="Franklin Gothic Book" w:hAnsi="Franklin Gothic Book"/>
                <w:noProof/>
                <w:webHidden/>
                <w:sz w:val="24"/>
                <w:szCs w:val="24"/>
              </w:rPr>
              <w:fldChar w:fldCharType="end"/>
            </w:r>
          </w:hyperlink>
          <w:r w:rsidR="00D4785A">
            <w:rPr>
              <w:rFonts w:ascii="Franklin Gothic Book" w:hAnsi="Franklin Gothic Book"/>
              <w:noProof/>
              <w:sz w:val="24"/>
              <w:szCs w:val="24"/>
            </w:rPr>
            <w:t>70</w:t>
          </w:r>
        </w:p>
        <w:p w14:paraId="28940F76" w14:textId="15546D66" w:rsidR="0046460A" w:rsidRDefault="0046460A">
          <w:r>
            <w:rPr>
              <w:b/>
              <w:bCs/>
              <w:noProof/>
            </w:rPr>
            <w:fldChar w:fldCharType="end"/>
          </w:r>
        </w:p>
      </w:sdtContent>
    </w:sdt>
    <w:p w14:paraId="467E1C7D" w14:textId="1D895B6C" w:rsidR="00FF3E5A" w:rsidRDefault="00FF3E5A" w:rsidP="00391005">
      <w:pPr>
        <w:pStyle w:val="ListParagraph"/>
      </w:pPr>
    </w:p>
    <w:p w14:paraId="3D4DC1A8" w14:textId="5DAA1AFA" w:rsidR="00961414" w:rsidRDefault="00961414" w:rsidP="00391005">
      <w:pPr>
        <w:pStyle w:val="ListParagraph"/>
      </w:pPr>
    </w:p>
    <w:p w14:paraId="61D9BE63" w14:textId="512921C6" w:rsidR="00FE2022" w:rsidRDefault="00FE2022" w:rsidP="00391005">
      <w:pPr>
        <w:pStyle w:val="ListParagraph"/>
      </w:pPr>
    </w:p>
    <w:p w14:paraId="320189BD" w14:textId="6AA56752" w:rsidR="00FE2022" w:rsidRDefault="00FE2022" w:rsidP="00391005">
      <w:pPr>
        <w:pStyle w:val="ListParagraph"/>
      </w:pPr>
    </w:p>
    <w:p w14:paraId="6679AACD" w14:textId="169C7888" w:rsidR="00FE2022" w:rsidRDefault="00FE2022" w:rsidP="00391005">
      <w:pPr>
        <w:pStyle w:val="ListParagraph"/>
      </w:pPr>
    </w:p>
    <w:p w14:paraId="0BC8A697" w14:textId="3F233B0F" w:rsidR="00FE2022" w:rsidRDefault="00FE2022" w:rsidP="00391005">
      <w:pPr>
        <w:pStyle w:val="ListParagraph"/>
      </w:pPr>
    </w:p>
    <w:p w14:paraId="459D799B" w14:textId="55280F4D" w:rsidR="00FE2022" w:rsidRDefault="00FE2022" w:rsidP="00391005">
      <w:pPr>
        <w:pStyle w:val="ListParagraph"/>
      </w:pPr>
    </w:p>
    <w:p w14:paraId="7CDFDAEE" w14:textId="22E132D9" w:rsidR="00FE2022" w:rsidRDefault="00FE2022" w:rsidP="00391005">
      <w:pPr>
        <w:pStyle w:val="ListParagraph"/>
      </w:pPr>
    </w:p>
    <w:p w14:paraId="346876B0" w14:textId="0D6A31C3" w:rsidR="00FE2022" w:rsidRDefault="00FE2022" w:rsidP="00391005">
      <w:pPr>
        <w:pStyle w:val="ListParagraph"/>
      </w:pPr>
    </w:p>
    <w:p w14:paraId="3E03C35B" w14:textId="2B108A01" w:rsidR="00FE2022" w:rsidRDefault="00FE2022" w:rsidP="00391005">
      <w:pPr>
        <w:pStyle w:val="ListParagraph"/>
      </w:pPr>
    </w:p>
    <w:p w14:paraId="348B0847" w14:textId="53767CA3" w:rsidR="00FE2022" w:rsidRDefault="00FE2022" w:rsidP="00391005">
      <w:pPr>
        <w:pStyle w:val="ListParagraph"/>
      </w:pPr>
    </w:p>
    <w:p w14:paraId="0398609F" w14:textId="108F8C74" w:rsidR="00FE2022" w:rsidRDefault="00FE2022" w:rsidP="00391005">
      <w:pPr>
        <w:pStyle w:val="ListParagraph"/>
      </w:pPr>
    </w:p>
    <w:p w14:paraId="6E0BEC85" w14:textId="271A7D9E" w:rsidR="00FE2022" w:rsidRDefault="00FE2022" w:rsidP="00391005">
      <w:pPr>
        <w:pStyle w:val="ListParagraph"/>
      </w:pPr>
    </w:p>
    <w:p w14:paraId="3E51EE11" w14:textId="77777777" w:rsidR="00FE2022" w:rsidRDefault="00FE2022" w:rsidP="00391005">
      <w:pPr>
        <w:pStyle w:val="ListParagraph"/>
      </w:pPr>
    </w:p>
    <w:p w14:paraId="4BA9FE4F" w14:textId="77777777" w:rsidR="00961414" w:rsidRDefault="00961414" w:rsidP="00391005">
      <w:pPr>
        <w:pStyle w:val="ListParagraph"/>
        <w:sectPr w:rsidR="00961414" w:rsidSect="001B4326">
          <w:pgSz w:w="11906" w:h="16838"/>
          <w:pgMar w:top="1134" w:right="1418" w:bottom="2268" w:left="2268" w:header="709" w:footer="1066" w:gutter="0"/>
          <w:pgNumType w:fmt="lowerRoman"/>
          <w:cols w:space="708"/>
          <w:docGrid w:linePitch="360"/>
        </w:sectPr>
      </w:pPr>
    </w:p>
    <w:p w14:paraId="79B663B6" w14:textId="0475591B" w:rsidR="00961414" w:rsidRDefault="00961414" w:rsidP="00FF3E5A">
      <w:pPr>
        <w:pStyle w:val="Intro"/>
        <w:numPr>
          <w:ilvl w:val="0"/>
          <w:numId w:val="0"/>
        </w:numPr>
        <w:ind w:left="431" w:hanging="431"/>
      </w:pPr>
      <w:bookmarkStart w:id="17" w:name="_Toc485721556"/>
      <w:bookmarkStart w:id="18" w:name="_Toc486787136"/>
      <w:bookmarkStart w:id="19" w:name="_Toc486787284"/>
      <w:r>
        <w:lastRenderedPageBreak/>
        <w:t>Table of Figures</w:t>
      </w:r>
      <w:bookmarkEnd w:id="17"/>
      <w:bookmarkEnd w:id="18"/>
      <w:bookmarkEnd w:id="19"/>
    </w:p>
    <w:p w14:paraId="537A21F4" w14:textId="2B0C6F41" w:rsidR="003008EF" w:rsidRPr="003008EF" w:rsidRDefault="003008EF"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r w:rsidRPr="003008EF">
        <w:rPr>
          <w:rFonts w:ascii="Franklin Gothic Book" w:hAnsi="Franklin Gothic Book"/>
          <w:i w:val="0"/>
          <w:sz w:val="24"/>
          <w:szCs w:val="24"/>
        </w:rPr>
        <w:fldChar w:fldCharType="begin" w:fldLock="1"/>
      </w:r>
      <w:r w:rsidRPr="003008EF">
        <w:rPr>
          <w:rFonts w:ascii="Franklin Gothic Book" w:hAnsi="Franklin Gothic Book"/>
          <w:i w:val="0"/>
          <w:sz w:val="24"/>
          <w:szCs w:val="24"/>
        </w:rPr>
        <w:instrText xml:space="preserve"> TOC \h \z \c "Figure" </w:instrText>
      </w:r>
      <w:r w:rsidRPr="003008EF">
        <w:rPr>
          <w:rFonts w:ascii="Franklin Gothic Book" w:hAnsi="Franklin Gothic Book"/>
          <w:i w:val="0"/>
          <w:sz w:val="24"/>
          <w:szCs w:val="24"/>
        </w:rPr>
        <w:fldChar w:fldCharType="separate"/>
      </w:r>
      <w:hyperlink w:anchor="_Toc486785421" w:history="1">
        <w:r w:rsidRPr="003008EF">
          <w:rPr>
            <w:rStyle w:val="Hyperlink"/>
            <w:rFonts w:ascii="Franklin Gothic Book" w:hAnsi="Franklin Gothic Book"/>
            <w:i w:val="0"/>
            <w:noProof/>
            <w:sz w:val="24"/>
            <w:szCs w:val="24"/>
          </w:rPr>
          <w:t>Figure 1.1 Transposon archetypal structures.</w:t>
        </w:r>
        <w:r w:rsidRPr="003008EF">
          <w:rPr>
            <w:rFonts w:ascii="Franklin Gothic Book" w:hAnsi="Franklin Gothic Book"/>
            <w:i w:val="0"/>
            <w:noProof/>
            <w:webHidden/>
            <w:sz w:val="24"/>
            <w:szCs w:val="24"/>
          </w:rPr>
          <w:tab/>
        </w:r>
        <w:r w:rsidRPr="003008EF">
          <w:rPr>
            <w:rFonts w:ascii="Franklin Gothic Book" w:hAnsi="Franklin Gothic Book"/>
            <w:i w:val="0"/>
            <w:noProof/>
            <w:webHidden/>
            <w:sz w:val="24"/>
            <w:szCs w:val="24"/>
          </w:rPr>
          <w:fldChar w:fldCharType="begin" w:fldLock="1"/>
        </w:r>
        <w:r w:rsidRPr="003008EF">
          <w:rPr>
            <w:rFonts w:ascii="Franklin Gothic Book" w:hAnsi="Franklin Gothic Book"/>
            <w:i w:val="0"/>
            <w:noProof/>
            <w:webHidden/>
            <w:sz w:val="24"/>
            <w:szCs w:val="24"/>
          </w:rPr>
          <w:instrText xml:space="preserve"> PAGEREF _Toc486785421 \h </w:instrText>
        </w:r>
        <w:r w:rsidRPr="003008EF">
          <w:rPr>
            <w:rFonts w:ascii="Franklin Gothic Book" w:hAnsi="Franklin Gothic Book"/>
            <w:i w:val="0"/>
            <w:noProof/>
            <w:webHidden/>
            <w:sz w:val="24"/>
            <w:szCs w:val="24"/>
          </w:rPr>
        </w:r>
        <w:r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Pr="003008EF">
          <w:rPr>
            <w:rFonts w:ascii="Franklin Gothic Book" w:hAnsi="Franklin Gothic Book"/>
            <w:i w:val="0"/>
            <w:noProof/>
            <w:webHidden/>
            <w:sz w:val="24"/>
            <w:szCs w:val="24"/>
          </w:rPr>
          <w:fldChar w:fldCharType="end"/>
        </w:r>
      </w:hyperlink>
    </w:p>
    <w:p w14:paraId="0F757053" w14:textId="1714CB82"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2" w:history="1">
        <w:r w:rsidR="003008EF" w:rsidRPr="003008EF">
          <w:rPr>
            <w:rStyle w:val="Hyperlink"/>
            <w:rFonts w:ascii="Franklin Gothic Book" w:hAnsi="Franklin Gothic Book"/>
            <w:i w:val="0"/>
            <w:noProof/>
            <w:sz w:val="24"/>
            <w:szCs w:val="24"/>
          </w:rPr>
          <w:t>Figure 1.2 Mechanism for LTR retrotransposon expression and retrotransposition.</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5</w:t>
        </w:r>
        <w:r w:rsidR="003008EF" w:rsidRPr="003008EF">
          <w:rPr>
            <w:rFonts w:ascii="Franklin Gothic Book" w:hAnsi="Franklin Gothic Book"/>
            <w:i w:val="0"/>
            <w:noProof/>
            <w:webHidden/>
            <w:sz w:val="24"/>
            <w:szCs w:val="24"/>
          </w:rPr>
          <w:fldChar w:fldCharType="end"/>
        </w:r>
      </w:hyperlink>
    </w:p>
    <w:p w14:paraId="2762DC19" w14:textId="13D00B3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3" w:history="1">
        <w:r w:rsidR="003008EF" w:rsidRPr="003008EF">
          <w:rPr>
            <w:rStyle w:val="Hyperlink"/>
            <w:rFonts w:ascii="Franklin Gothic Book" w:hAnsi="Franklin Gothic Book"/>
            <w:i w:val="0"/>
            <w:noProof/>
            <w:sz w:val="24"/>
            <w:szCs w:val="24"/>
          </w:rPr>
          <w:t>Figure 1.3 LTR retrotransposon degradation.</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p>
    <w:p w14:paraId="16A26A8D" w14:textId="2F4B711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4" w:history="1">
        <w:r w:rsidR="003008EF" w:rsidRPr="003008EF">
          <w:rPr>
            <w:rStyle w:val="Hyperlink"/>
            <w:rFonts w:ascii="Franklin Gothic Book" w:hAnsi="Franklin Gothic Book"/>
            <w:i w:val="0"/>
            <w:noProof/>
            <w:sz w:val="24"/>
            <w:szCs w:val="24"/>
          </w:rPr>
          <w:t>Figure 1.4 LTR retrotransposon cladogram based on reverse transcriptase (RT) with the non-LTR retrotransposon LINE family as outgroup.</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p>
    <w:p w14:paraId="6FDE50ED" w14:textId="7C3F0C1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5" w:history="1">
        <w:r w:rsidR="003008EF" w:rsidRPr="003008EF">
          <w:rPr>
            <w:rStyle w:val="Hyperlink"/>
            <w:rFonts w:ascii="Franklin Gothic Book" w:hAnsi="Franklin Gothic Book"/>
            <w:i w:val="0"/>
            <w:noProof/>
            <w:sz w:val="24"/>
            <w:szCs w:val="24"/>
          </w:rPr>
          <w:t>Figure 1.5 LTR retrotransposon archetypal structures.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10</w:t>
        </w:r>
        <w:r w:rsidR="003008EF" w:rsidRPr="003008EF">
          <w:rPr>
            <w:rFonts w:ascii="Franklin Gothic Book" w:hAnsi="Franklin Gothic Book"/>
            <w:i w:val="0"/>
            <w:noProof/>
            <w:webHidden/>
            <w:sz w:val="24"/>
            <w:szCs w:val="24"/>
          </w:rPr>
          <w:fldChar w:fldCharType="end"/>
        </w:r>
      </w:hyperlink>
    </w:p>
    <w:p w14:paraId="3ED38CA8" w14:textId="19C0F002"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6" w:history="1">
        <w:r w:rsidR="003008EF" w:rsidRPr="003008EF">
          <w:rPr>
            <w:rStyle w:val="Hyperlink"/>
            <w:rFonts w:ascii="Franklin Gothic Book" w:hAnsi="Franklin Gothic Book"/>
            <w:i w:val="0"/>
            <w:noProof/>
            <w:sz w:val="24"/>
            <w:szCs w:val="24"/>
          </w:rPr>
          <w:t>Figure 1.6 Galloanserae cladogram showing commercially relevant species and their general relationship to the chicken, including those within the Phasianidae pheasant family.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3008EF" w:rsidRPr="003008EF">
          <w:rPr>
            <w:rFonts w:ascii="Franklin Gothic Book" w:hAnsi="Franklin Gothic Book"/>
            <w:i w:val="0"/>
            <w:noProof/>
            <w:webHidden/>
            <w:sz w:val="24"/>
            <w:szCs w:val="24"/>
          </w:rPr>
          <w:fldChar w:fldCharType="end"/>
        </w:r>
      </w:hyperlink>
    </w:p>
    <w:p w14:paraId="60810893" w14:textId="77777777" w:rsidR="003008EF" w:rsidRDefault="003008EF"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54C7ECE9" w14:textId="3D4C8B3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7" w:history="1">
        <w:r w:rsidR="003008EF" w:rsidRPr="003008EF">
          <w:rPr>
            <w:rStyle w:val="Hyperlink"/>
            <w:rFonts w:ascii="Franklin Gothic Book" w:hAnsi="Franklin Gothic Book"/>
            <w:i w:val="0"/>
            <w:noProof/>
            <w:sz w:val="24"/>
            <w:szCs w:val="24"/>
          </w:rPr>
          <w:t>Figure 3.1 The LocaTR identification pipeline workflow.</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60</w:t>
      </w:r>
    </w:p>
    <w:p w14:paraId="14D8855B" w14:textId="0491D78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8" w:history="1">
        <w:r w:rsidR="003008EF" w:rsidRPr="003008EF">
          <w:rPr>
            <w:rStyle w:val="Hyperlink"/>
            <w:rFonts w:ascii="Franklin Gothic Book" w:hAnsi="Franklin Gothic Book"/>
            <w:i w:val="0"/>
            <w:noProof/>
            <w:sz w:val="24"/>
            <w:szCs w:val="24"/>
          </w:rPr>
          <w:t>Figure 3.2 Performance of the homology and structure-based identification methodologies.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5180BE50" w14:textId="39E8939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29" w:history="1">
        <w:r w:rsidR="003008EF" w:rsidRPr="003008EF">
          <w:rPr>
            <w:rStyle w:val="Hyperlink"/>
            <w:rFonts w:ascii="Franklin Gothic Book" w:hAnsi="Franklin Gothic Book"/>
            <w:i w:val="0"/>
            <w:noProof/>
            <w:sz w:val="24"/>
            <w:szCs w:val="24"/>
          </w:rPr>
          <w:t>Figure 3.3 Four-set Venn diagram of the overlap between structurally intact LTR retrotransposons identified by the four structure-based identification methods.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_Toc486785429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w:t>
      </w:r>
    </w:p>
    <w:p w14:paraId="5311DD20" w14:textId="6CF81E3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0" w:history="1">
        <w:r w:rsidR="003008EF" w:rsidRPr="003008EF">
          <w:rPr>
            <w:rStyle w:val="Hyperlink"/>
            <w:rFonts w:ascii="Franklin Gothic Book" w:hAnsi="Franklin Gothic Book"/>
            <w:i w:val="0"/>
            <w:noProof/>
            <w:sz w:val="24"/>
            <w:szCs w:val="24"/>
          </w:rPr>
          <w:t>Figure 3.4 Absolute SIE GC content deviance from the genomic mean as a function of their age, measured by LTR pair identity.</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70</w:t>
      </w:r>
    </w:p>
    <w:p w14:paraId="6F5CFB33" w14:textId="709D1D6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1" w:history="1">
        <w:r w:rsidR="003008EF" w:rsidRPr="003008EF">
          <w:rPr>
            <w:rStyle w:val="Hyperlink"/>
            <w:rFonts w:ascii="Franklin Gothic Book" w:hAnsi="Franklin Gothic Book"/>
            <w:i w:val="0"/>
            <w:noProof/>
            <w:sz w:val="24"/>
            <w:szCs w:val="24"/>
          </w:rPr>
          <w:t>Figure 3.5 Correlation between the chromosome length and its LTR retrotransposon density, where both measures have been log</w:t>
        </w:r>
        <w:r w:rsidR="003008EF" w:rsidRPr="003008EF">
          <w:rPr>
            <w:rStyle w:val="Hyperlink"/>
            <w:rFonts w:ascii="Franklin Gothic Book" w:hAnsi="Franklin Gothic Book"/>
            <w:i w:val="0"/>
            <w:noProof/>
            <w:sz w:val="24"/>
            <w:szCs w:val="24"/>
            <w:vertAlign w:val="subscript"/>
          </w:rPr>
          <w:t>10</w:t>
        </w:r>
        <w:r w:rsidR="003008EF" w:rsidRPr="003008EF">
          <w:rPr>
            <w:rStyle w:val="Hyperlink"/>
            <w:rFonts w:ascii="Franklin Gothic Book" w:hAnsi="Franklin Gothic Book"/>
            <w:i w:val="0"/>
            <w:noProof/>
            <w:sz w:val="24"/>
            <w:szCs w:val="24"/>
          </w:rPr>
          <w:t xml:space="preserve"> transformed.</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2</w:t>
      </w:r>
    </w:p>
    <w:p w14:paraId="5D1DC6EA" w14:textId="7CEBFBE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2" w:history="1">
        <w:r w:rsidR="003008EF" w:rsidRPr="003008EF">
          <w:rPr>
            <w:rStyle w:val="Hyperlink"/>
            <w:rFonts w:ascii="Franklin Gothic Book" w:hAnsi="Franklin Gothic Book"/>
            <w:i w:val="0"/>
            <w:noProof/>
            <w:sz w:val="24"/>
            <w:szCs w:val="24"/>
          </w:rPr>
          <w:t>Figure 3.6 LTR retrotransposon distribution relative to the Ensembl genome annotations (v79).</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5A64F4B8" w14:textId="6B964C9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3" w:history="1">
        <w:r w:rsidR="003008EF" w:rsidRPr="003008EF">
          <w:rPr>
            <w:rStyle w:val="Hyperlink"/>
            <w:rFonts w:ascii="Franklin Gothic Book" w:hAnsi="Franklin Gothic Book"/>
            <w:i w:val="0"/>
            <w:noProof/>
            <w:sz w:val="24"/>
            <w:szCs w:val="24"/>
          </w:rPr>
          <w:t>Figure 3.7 Ovex1 schematic showing the long gag-pol 5’UTR and envelope-derived exon, promoted by the 5’ LTR.</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81</w:t>
      </w:r>
    </w:p>
    <w:p w14:paraId="6E0D1E64" w14:textId="6424C06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4" w:history="1">
        <w:r w:rsidR="003008EF" w:rsidRPr="003008EF">
          <w:rPr>
            <w:rStyle w:val="Hyperlink"/>
            <w:rFonts w:ascii="Franklin Gothic Book" w:hAnsi="Franklin Gothic Book"/>
            <w:i w:val="0"/>
            <w:noProof/>
            <w:sz w:val="24"/>
            <w:szCs w:val="24"/>
          </w:rPr>
          <w:t>Figure 3.8 Domain analysis of the 873 amino acid Ovex1 protein.</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2</w:t>
      </w:r>
    </w:p>
    <w:p w14:paraId="0853E395" w14:textId="0099DBA5"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5" w:history="1">
        <w:r w:rsidR="003008EF" w:rsidRPr="003008EF">
          <w:rPr>
            <w:rStyle w:val="Hyperlink"/>
            <w:rFonts w:ascii="Franklin Gothic Book" w:hAnsi="Franklin Gothic Book"/>
            <w:i w:val="0"/>
            <w:noProof/>
            <w:sz w:val="24"/>
            <w:szCs w:val="24"/>
          </w:rPr>
          <w:t>Figure 3.9 Phylogeny of retroviral envelope proteins, Ovex1 and the sauropsid Ovex1 homologues.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3B457DA1" w14:textId="77777777" w:rsidR="003008EF" w:rsidRDefault="003008EF"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154E8B58" w14:textId="13C797D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6" w:history="1">
        <w:r w:rsidR="003008EF" w:rsidRPr="003008EF">
          <w:rPr>
            <w:rStyle w:val="Hyperlink"/>
            <w:rFonts w:ascii="Franklin Gothic Book" w:hAnsi="Franklin Gothic Book"/>
            <w:i w:val="0"/>
            <w:noProof/>
            <w:sz w:val="24"/>
            <w:szCs w:val="24"/>
          </w:rPr>
          <w:t>Figure 4.1 Correlation between chromosome length and LTR retrotransposon density, where both measures have been log</w:t>
        </w:r>
        <w:r w:rsidR="003008EF" w:rsidRPr="003008EF">
          <w:rPr>
            <w:rStyle w:val="Hyperlink"/>
            <w:rFonts w:ascii="Franklin Gothic Book" w:hAnsi="Franklin Gothic Book"/>
            <w:i w:val="0"/>
            <w:noProof/>
            <w:sz w:val="24"/>
            <w:szCs w:val="24"/>
            <w:vertAlign w:val="subscript"/>
          </w:rPr>
          <w:t>10</w:t>
        </w:r>
        <w:r w:rsidR="003008EF" w:rsidRPr="003008EF">
          <w:rPr>
            <w:rStyle w:val="Hyperlink"/>
            <w:rFonts w:ascii="Franklin Gothic Book" w:hAnsi="Franklin Gothic Book"/>
            <w:i w:val="0"/>
            <w:noProof/>
            <w:sz w:val="24"/>
            <w:szCs w:val="24"/>
          </w:rPr>
          <w:t xml:space="preserve"> transformed and all the outlier chromosomes (16,27,30-33,W,Z) have been removed.</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01447C00" w14:textId="53549FB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7" w:history="1">
        <w:r w:rsidR="003008EF" w:rsidRPr="003008EF">
          <w:rPr>
            <w:rStyle w:val="Hyperlink"/>
            <w:rFonts w:ascii="Franklin Gothic Book" w:hAnsi="Franklin Gothic Book"/>
            <w:i w:val="0"/>
            <w:noProof/>
            <w:sz w:val="24"/>
            <w:szCs w:val="24"/>
          </w:rPr>
          <w:t>Figure 4.2 LTR retrotransposon distribution relative to the Ensembl genome annotations (v86).</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w:t>
      </w:r>
    </w:p>
    <w:p w14:paraId="3B55B4FD" w14:textId="2F777A3B"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8" w:history="1">
        <w:r w:rsidR="003008EF" w:rsidRPr="003008EF">
          <w:rPr>
            <w:rStyle w:val="Hyperlink"/>
            <w:rFonts w:ascii="Franklin Gothic Book" w:hAnsi="Franklin Gothic Book"/>
            <w:i w:val="0"/>
            <w:noProof/>
            <w:sz w:val="24"/>
            <w:szCs w:val="24"/>
          </w:rPr>
          <w:t>Figure 4.3 LTR retrotransposon genome content across the Avian lineage.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10</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3</w:t>
      </w:r>
    </w:p>
    <w:p w14:paraId="620D0F19" w14:textId="38AE4C3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39" w:history="1">
        <w:r w:rsidR="003008EF" w:rsidRPr="003008EF">
          <w:rPr>
            <w:rStyle w:val="Hyperlink"/>
            <w:rFonts w:ascii="Franklin Gothic Book" w:hAnsi="Franklin Gothic Book"/>
            <w:i w:val="0"/>
            <w:noProof/>
            <w:sz w:val="24"/>
            <w:szCs w:val="24"/>
          </w:rPr>
          <w:t>Figure 4.4 Scatter plots showing the absence of correlations between identified LTR retrotransposon content (%), genome size and genome quality.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_Toc486785439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10</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2A091870" w14:textId="14298E5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0" w:history="1">
        <w:r w:rsidR="003008EF" w:rsidRPr="003008EF">
          <w:rPr>
            <w:rStyle w:val="Hyperlink"/>
            <w:rFonts w:ascii="Franklin Gothic Book" w:hAnsi="Franklin Gothic Book"/>
            <w:i w:val="0"/>
            <w:noProof/>
            <w:sz w:val="24"/>
            <w:szCs w:val="24"/>
          </w:rPr>
          <w:t>Figure 4.5 Cladogram of the avian lineage, including reptilian outgroups, with the annotated LTR retrotransposon content of each genome.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0</w:t>
        </w:r>
        <w:r w:rsidR="003008EF" w:rsidRPr="003008EF">
          <w:rPr>
            <w:rFonts w:ascii="Franklin Gothic Book" w:hAnsi="Franklin Gothic Book"/>
            <w:i w:val="0"/>
            <w:noProof/>
            <w:webHidden/>
            <w:sz w:val="24"/>
            <w:szCs w:val="24"/>
          </w:rPr>
          <w:fldChar w:fldCharType="end"/>
        </w:r>
      </w:hyperlink>
    </w:p>
    <w:p w14:paraId="29B297BF" w14:textId="77777777" w:rsidR="003008EF" w:rsidRDefault="003008EF"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39FB38CF" w14:textId="330D0C9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1" w:history="1">
        <w:r w:rsidR="003008EF" w:rsidRPr="003008EF">
          <w:rPr>
            <w:rStyle w:val="Hyperlink"/>
            <w:rFonts w:ascii="Franklin Gothic Book" w:hAnsi="Franklin Gothic Book"/>
            <w:i w:val="0"/>
            <w:noProof/>
            <w:sz w:val="24"/>
            <w:szCs w:val="24"/>
          </w:rPr>
          <w:t>Figure 5.1 Reads mapped to the retroviral pseudochromosome.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23</w:t>
      </w:r>
    </w:p>
    <w:p w14:paraId="75BF38E9" w14:textId="6EE4AC4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2" w:history="1">
        <w:r w:rsidR="003008EF" w:rsidRPr="003008EF">
          <w:rPr>
            <w:rStyle w:val="Hyperlink"/>
            <w:rFonts w:ascii="Franklin Gothic Book" w:hAnsi="Franklin Gothic Book"/>
            <w:i w:val="0"/>
            <w:noProof/>
            <w:sz w:val="24"/>
            <w:szCs w:val="24"/>
          </w:rPr>
          <w:t>Figure 5.2 Clipped read support for ALVE insertion sites.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43F72912" w14:textId="3CECA3A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3" w:history="1">
        <w:r w:rsidR="003008EF" w:rsidRPr="003008EF">
          <w:rPr>
            <w:rStyle w:val="Hyperlink"/>
            <w:rFonts w:ascii="Franklin Gothic Book" w:hAnsi="Franklin Gothic Book"/>
            <w:i w:val="0"/>
            <w:noProof/>
            <w:sz w:val="24"/>
            <w:szCs w:val="24"/>
          </w:rPr>
          <w:t>Figure 5.3 KASP assay primer rationale for wildtype and insert-containing sites.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7BEF7D10" w14:textId="206B9E5D"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4" w:history="1">
        <w:r w:rsidR="003008EF" w:rsidRPr="003008EF">
          <w:rPr>
            <w:rStyle w:val="Hyperlink"/>
            <w:rFonts w:ascii="Franklin Gothic Book" w:hAnsi="Franklin Gothic Book"/>
            <w:i w:val="0"/>
            <w:noProof/>
            <w:sz w:val="24"/>
            <w:szCs w:val="24"/>
          </w:rPr>
          <w:t>Figure 5.4 Schematic highlighting the issues with sampling bias for insertion discovery from individual sequencing datasets.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30</w:t>
      </w:r>
    </w:p>
    <w:p w14:paraId="2D9DD3BD" w14:textId="61818EA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5" w:history="1">
        <w:r w:rsidR="003008EF" w:rsidRPr="003008EF">
          <w:rPr>
            <w:rStyle w:val="Hyperlink"/>
            <w:rFonts w:ascii="Franklin Gothic Book" w:hAnsi="Franklin Gothic Book"/>
            <w:i w:val="0"/>
            <w:noProof/>
            <w:sz w:val="24"/>
            <w:szCs w:val="24"/>
          </w:rPr>
          <w:t>Figure 5.5 ALVE1 reference sequence domains and sequencing primer locations.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1F2E00A1" w14:textId="77777777" w:rsidR="003008EF" w:rsidRDefault="003008EF"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1AD0B621" w14:textId="59250FE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6" w:history="1">
        <w:r w:rsidR="003008EF" w:rsidRPr="003008EF">
          <w:rPr>
            <w:rStyle w:val="Hyperlink"/>
            <w:rFonts w:ascii="Franklin Gothic Book" w:hAnsi="Franklin Gothic Book"/>
            <w:i w:val="0"/>
            <w:noProof/>
            <w:sz w:val="24"/>
            <w:szCs w:val="24"/>
          </w:rPr>
          <w:t>Figure 6.1 ALVE identification pipeline workflow.</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51</w:t>
      </w:r>
    </w:p>
    <w:p w14:paraId="53E7D9DE" w14:textId="6A47686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7" w:history="1">
        <w:r w:rsidR="003008EF" w:rsidRPr="003008EF">
          <w:rPr>
            <w:rStyle w:val="Hyperlink"/>
            <w:rFonts w:ascii="Franklin Gothic Book" w:hAnsi="Franklin Gothic Book"/>
            <w:i w:val="0"/>
            <w:noProof/>
            <w:sz w:val="24"/>
            <w:szCs w:val="24"/>
          </w:rPr>
          <w:t>Figure 6.2 The ALVE_ros007 genomic region showing the ALVE homologous reads and the full RIR BAM file.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15</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w:t>
      </w:r>
    </w:p>
    <w:p w14:paraId="009DF73D" w14:textId="070B97D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8" w:history="1">
        <w:r w:rsidR="003008EF" w:rsidRPr="003008EF">
          <w:rPr>
            <w:rStyle w:val="Hyperlink"/>
            <w:rFonts w:ascii="Franklin Gothic Book" w:hAnsi="Franklin Gothic Book"/>
            <w:i w:val="0"/>
            <w:noProof/>
            <w:sz w:val="24"/>
            <w:szCs w:val="24"/>
          </w:rPr>
          <w:t>Figure 6.3 KASP diagrams for each of the identified ALVEs using the 2010 males of all eight Hy-Line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62</w:t>
      </w:r>
    </w:p>
    <w:p w14:paraId="47228D9E" w14:textId="4F9F3A8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49" w:history="1">
        <w:r w:rsidR="003008EF" w:rsidRPr="003008EF">
          <w:rPr>
            <w:rStyle w:val="Hyperlink"/>
            <w:rFonts w:ascii="Franklin Gothic Book" w:hAnsi="Franklin Gothic Book"/>
            <w:i w:val="0"/>
            <w:noProof/>
            <w:sz w:val="24"/>
            <w:szCs w:val="24"/>
          </w:rPr>
          <w:t>Figure 6.4 ALVE15 KASP assay redesign based on a SNP the base before the insert hexamer.</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_Toc486785449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63</w:t>
      </w:r>
    </w:p>
    <w:p w14:paraId="139FB18E" w14:textId="586ABD9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0" w:history="1">
        <w:r w:rsidR="003008EF" w:rsidRPr="003008EF">
          <w:rPr>
            <w:rStyle w:val="Hyperlink"/>
            <w:rFonts w:ascii="Franklin Gothic Book" w:hAnsi="Franklin Gothic Book"/>
            <w:i w:val="0"/>
            <w:noProof/>
            <w:sz w:val="24"/>
            <w:szCs w:val="24"/>
          </w:rPr>
          <w:t>Figure 6.5 ALVE-NSAC1 KASP assay redesign due to non-amplification of the insert primers.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63</w:t>
      </w:r>
    </w:p>
    <w:p w14:paraId="706B5AA4" w14:textId="02F3EDC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1" w:history="1">
        <w:r w:rsidR="003008EF" w:rsidRPr="003008EF">
          <w:rPr>
            <w:rStyle w:val="Hyperlink"/>
            <w:rFonts w:ascii="Franklin Gothic Book" w:hAnsi="Franklin Gothic Book"/>
            <w:i w:val="0"/>
            <w:noProof/>
            <w:sz w:val="24"/>
            <w:szCs w:val="24"/>
          </w:rPr>
          <w:t>Figure 6.6 ALVE_ros005 assay redesign due to presence of an origin group consisting of individuals from both WPR lines and the RIR.</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61813F69" w14:textId="32B9280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2" w:history="1">
        <w:r w:rsidR="003008EF" w:rsidRPr="003008EF">
          <w:rPr>
            <w:rStyle w:val="Hyperlink"/>
            <w:rFonts w:ascii="Franklin Gothic Book" w:hAnsi="Franklin Gothic Book"/>
            <w:i w:val="0"/>
            <w:noProof/>
            <w:sz w:val="24"/>
            <w:szCs w:val="24"/>
          </w:rPr>
          <w:t>Figure 6.7 ALVE-NSAC7 genotype cluster resolution during PCR cycling, with cycles increasing from left to right.</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5</w:t>
      </w:r>
    </w:p>
    <w:p w14:paraId="366A8679" w14:textId="563E7C02"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3" w:history="1">
        <w:r w:rsidR="003008EF" w:rsidRPr="003008EF">
          <w:rPr>
            <w:rStyle w:val="Hyperlink"/>
            <w:rFonts w:ascii="Franklin Gothic Book" w:hAnsi="Franklin Gothic Book"/>
            <w:i w:val="0"/>
            <w:noProof/>
            <w:sz w:val="24"/>
            <w:szCs w:val="24"/>
          </w:rPr>
          <w:t>Figure 6.8 Ensembl view of the 200 kb genomic region centred on the ALVE3-containing HCK gene.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1</w:t>
      </w:r>
    </w:p>
    <w:p w14:paraId="2FB595F1" w14:textId="064CB84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4" w:history="1">
        <w:r w:rsidR="003008EF" w:rsidRPr="003008EF">
          <w:rPr>
            <w:rStyle w:val="Hyperlink"/>
            <w:rFonts w:ascii="Franklin Gothic Book" w:hAnsi="Franklin Gothic Book"/>
            <w:i w:val="0"/>
            <w:noProof/>
            <w:sz w:val="24"/>
            <w:szCs w:val="24"/>
          </w:rPr>
          <w:t>Figure 6.9 Network map of shared ALVEs in the Hy-Line elite layer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64460B0D" w14:textId="362A9DE3"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5" w:history="1">
        <w:r w:rsidR="003008EF" w:rsidRPr="003008EF">
          <w:rPr>
            <w:rStyle w:val="Hyperlink"/>
            <w:rFonts w:ascii="Franklin Gothic Book" w:hAnsi="Franklin Gothic Book"/>
            <w:i w:val="0"/>
            <w:noProof/>
            <w:sz w:val="24"/>
            <w:szCs w:val="24"/>
          </w:rPr>
          <w:t>Figure 6.10 Hy-Line WPR1 read mapping (with linked read pairs) around the Galgal5-assembled ALVE-RJF.</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w:t>
      </w:r>
    </w:p>
    <w:p w14:paraId="6E22DD04" w14:textId="7ED5CE5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6" w:history="1">
        <w:r w:rsidR="003008EF" w:rsidRPr="003008EF">
          <w:rPr>
            <w:rStyle w:val="Hyperlink"/>
            <w:rFonts w:ascii="Franklin Gothic Book" w:hAnsi="Franklin Gothic Book"/>
            <w:i w:val="0"/>
            <w:noProof/>
            <w:sz w:val="24"/>
            <w:szCs w:val="24"/>
          </w:rPr>
          <w:t>Figure 6.11 Hy-Line WPR1 read mapping (with linked read pairs) around the putative ALVE6 insertion site (red dashed line) in the first 2,000 bp of the Galgal5 chromosome 1.</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w:t>
      </w:r>
    </w:p>
    <w:p w14:paraId="4A85E6DA" w14:textId="21E1D7F3"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7" w:history="1">
        <w:r w:rsidR="003008EF" w:rsidRPr="003008EF">
          <w:rPr>
            <w:rStyle w:val="Hyperlink"/>
            <w:rFonts w:ascii="Franklin Gothic Book" w:hAnsi="Franklin Gothic Book"/>
            <w:i w:val="0"/>
            <w:noProof/>
            <w:sz w:val="24"/>
            <w:szCs w:val="24"/>
          </w:rPr>
          <w:t>Figure 6.12 BAM file support for ALVE21.</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0DF6118A" w14:textId="47A64E8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8" w:history="1">
        <w:r w:rsidR="003008EF" w:rsidRPr="003008EF">
          <w:rPr>
            <w:rStyle w:val="Hyperlink"/>
            <w:rFonts w:ascii="Franklin Gothic Book" w:hAnsi="Franklin Gothic Book"/>
            <w:i w:val="0"/>
            <w:noProof/>
            <w:sz w:val="24"/>
            <w:szCs w:val="24"/>
          </w:rPr>
          <w:t>Figure 6.13 Schematic for the feathering locus.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w:t>
      </w:r>
    </w:p>
    <w:p w14:paraId="340B9487" w14:textId="3CFB552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59" w:history="1">
        <w:r w:rsidR="003008EF" w:rsidRPr="003008EF">
          <w:rPr>
            <w:rStyle w:val="Hyperlink"/>
            <w:rFonts w:ascii="Franklin Gothic Book" w:hAnsi="Franklin Gothic Book"/>
            <w:i w:val="0"/>
            <w:noProof/>
            <w:sz w:val="24"/>
            <w:szCs w:val="24"/>
          </w:rPr>
          <w:t>Figure 6.14 Potential K allele revertants.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_Toc486785459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w:t>
      </w:r>
    </w:p>
    <w:p w14:paraId="3B4DDE21" w14:textId="16C64F3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0" w:history="1">
        <w:r w:rsidR="003008EF" w:rsidRPr="003008EF">
          <w:rPr>
            <w:rStyle w:val="Hyperlink"/>
            <w:rFonts w:ascii="Franklin Gothic Book" w:hAnsi="Franklin Gothic Book"/>
            <w:i w:val="0"/>
            <w:noProof/>
            <w:sz w:val="24"/>
            <w:szCs w:val="24"/>
          </w:rPr>
          <w:t>Figure 6.15 KASP assay results for ALVE21.</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w:t>
      </w:r>
    </w:p>
    <w:p w14:paraId="354F5EB9" w14:textId="6BC0DF35"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1" w:history="1">
        <w:r w:rsidR="003008EF" w:rsidRPr="003008EF">
          <w:rPr>
            <w:rStyle w:val="Hyperlink"/>
            <w:rFonts w:ascii="Franklin Gothic Book" w:hAnsi="Franklin Gothic Book"/>
            <w:i w:val="0"/>
            <w:noProof/>
            <w:sz w:val="24"/>
            <w:szCs w:val="24"/>
          </w:rPr>
          <w:t>Figure 6.16 The continuum of possible ALVE21 KASP results from the six K locus genotypes.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80</w:t>
      </w:r>
    </w:p>
    <w:p w14:paraId="40F1A4AA" w14:textId="4052AAF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2" w:history="1">
        <w:r w:rsidR="003008EF" w:rsidRPr="003008EF">
          <w:rPr>
            <w:rStyle w:val="Hyperlink"/>
            <w:rFonts w:ascii="Franklin Gothic Book" w:hAnsi="Franklin Gothic Book"/>
            <w:i w:val="0"/>
            <w:noProof/>
            <w:sz w:val="24"/>
            <w:szCs w:val="24"/>
          </w:rPr>
          <w:t>Figure 6.17 K-duplication KASP assay results.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81</w:t>
      </w:r>
    </w:p>
    <w:p w14:paraId="1146F636" w14:textId="3F8FA49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3" w:history="1">
        <w:r w:rsidR="003008EF" w:rsidRPr="003008EF">
          <w:rPr>
            <w:rStyle w:val="Hyperlink"/>
            <w:rFonts w:ascii="Franklin Gothic Book" w:hAnsi="Franklin Gothic Book"/>
            <w:i w:val="0"/>
            <w:noProof/>
            <w:sz w:val="24"/>
            <w:szCs w:val="24"/>
          </w:rPr>
          <w:t>Figure 6.18 BioNano strategy for optic mapping of the K locus.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2</w:t>
      </w:r>
    </w:p>
    <w:p w14:paraId="6A603108" w14:textId="3F536FF2"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4" w:history="1">
        <w:r w:rsidR="003008EF" w:rsidRPr="003008EF">
          <w:rPr>
            <w:rStyle w:val="Hyperlink"/>
            <w:rFonts w:ascii="Franklin Gothic Book" w:hAnsi="Franklin Gothic Book"/>
            <w:i w:val="0"/>
            <w:noProof/>
            <w:sz w:val="24"/>
            <w:szCs w:val="24"/>
          </w:rPr>
          <w:t>Figure 6.19 Optic maps for the WL3 (k</w:t>
        </w:r>
        <w:r w:rsidR="003008EF" w:rsidRPr="003008EF">
          <w:rPr>
            <w:rStyle w:val="Hyperlink"/>
            <w:rFonts w:ascii="Franklin Gothic Book" w:hAnsi="Franklin Gothic Book"/>
            <w:i w:val="0"/>
            <w:noProof/>
            <w:sz w:val="24"/>
            <w:szCs w:val="24"/>
            <w:vertAlign w:val="superscript"/>
          </w:rPr>
          <w:t>+</w:t>
        </w:r>
        <w:r w:rsidR="003008EF" w:rsidRPr="003008EF">
          <w:rPr>
            <w:rStyle w:val="Hyperlink"/>
            <w:rFonts w:ascii="Franklin Gothic Book" w:hAnsi="Franklin Gothic Book"/>
            <w:i w:val="0"/>
            <w:noProof/>
            <w:sz w:val="24"/>
            <w:szCs w:val="24"/>
          </w:rPr>
          <w:t>) samples.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83</w:t>
      </w:r>
    </w:p>
    <w:p w14:paraId="074601B0" w14:textId="0652DD3D"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5" w:history="1">
        <w:r w:rsidR="003008EF" w:rsidRPr="003008EF">
          <w:rPr>
            <w:rStyle w:val="Hyperlink"/>
            <w:rFonts w:ascii="Franklin Gothic Book" w:hAnsi="Franklin Gothic Book"/>
            <w:i w:val="0"/>
            <w:noProof/>
            <w:sz w:val="24"/>
            <w:szCs w:val="24"/>
          </w:rPr>
          <w:t>Figure 6.20 Consensus map for the WPR2 (k</w:t>
        </w:r>
        <w:r w:rsidR="003008EF" w:rsidRPr="003008EF">
          <w:rPr>
            <w:rStyle w:val="Hyperlink"/>
            <w:rFonts w:ascii="Franklin Gothic Book" w:hAnsi="Franklin Gothic Book"/>
            <w:i w:val="0"/>
            <w:noProof/>
            <w:sz w:val="24"/>
            <w:szCs w:val="24"/>
            <w:vertAlign w:val="superscript"/>
          </w:rPr>
          <w:t>R</w:t>
        </w:r>
        <w:r w:rsidR="003008EF" w:rsidRPr="003008EF">
          <w:rPr>
            <w:rStyle w:val="Hyperlink"/>
            <w:rFonts w:ascii="Franklin Gothic Book" w:hAnsi="Franklin Gothic Book"/>
            <w:i w:val="0"/>
            <w:noProof/>
            <w:sz w:val="24"/>
            <w:szCs w:val="24"/>
          </w:rPr>
          <w:t>) allele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23BB6121" w14:textId="64FD815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6" w:history="1">
        <w:r w:rsidR="003008EF" w:rsidRPr="003008EF">
          <w:rPr>
            <w:rStyle w:val="Hyperlink"/>
            <w:rFonts w:ascii="Franklin Gothic Book" w:hAnsi="Franklin Gothic Book"/>
            <w:i w:val="0"/>
            <w:noProof/>
            <w:sz w:val="24"/>
            <w:szCs w:val="24"/>
          </w:rPr>
          <w:t>Figure 6.21 Schematic for the predicted ALVE_ros007 insertion and subsequent genomic deletion.</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8</w:t>
      </w:r>
    </w:p>
    <w:p w14:paraId="6689FE8F" w14:textId="7294778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7" w:history="1">
        <w:r w:rsidR="003008EF" w:rsidRPr="003008EF">
          <w:rPr>
            <w:rStyle w:val="Hyperlink"/>
            <w:rFonts w:ascii="Franklin Gothic Book" w:hAnsi="Franklin Gothic Book"/>
            <w:i w:val="0"/>
            <w:noProof/>
            <w:sz w:val="24"/>
            <w:szCs w:val="24"/>
          </w:rPr>
          <w:t>Figure 6.22 The features of the ALVE LTR.</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w:t>
      </w:r>
    </w:p>
    <w:p w14:paraId="56F7B067" w14:textId="7EEEB18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8" w:history="1">
        <w:r w:rsidR="003008EF" w:rsidRPr="003008EF">
          <w:rPr>
            <w:rStyle w:val="Hyperlink"/>
            <w:rFonts w:ascii="Franklin Gothic Book" w:hAnsi="Franklin Gothic Book"/>
            <w:i w:val="0"/>
            <w:noProof/>
            <w:sz w:val="24"/>
            <w:szCs w:val="24"/>
          </w:rPr>
          <w:t>Figure 6.23 ALVE LTR phylogeny with the exogenous ALV-A and ALV-J 3’ LTRs forming the outgroup.</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90</w:t>
      </w:r>
    </w:p>
    <w:p w14:paraId="7737544E" w14:textId="609AFE25"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69" w:history="1">
        <w:r w:rsidR="003008EF" w:rsidRPr="003008EF">
          <w:rPr>
            <w:rStyle w:val="Hyperlink"/>
            <w:rFonts w:ascii="Franklin Gothic Book" w:hAnsi="Franklin Gothic Book"/>
            <w:i w:val="0"/>
            <w:noProof/>
            <w:sz w:val="24"/>
            <w:szCs w:val="24"/>
          </w:rPr>
          <w:t xml:space="preserve">Figure 6.24 Schematic showing ALVE gag-pol domains and the open reading frames identified in each of the twelve ALVEs containing gag or pol sequence. </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_Toc486785469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92</w:t>
      </w:r>
    </w:p>
    <w:p w14:paraId="20AA1BF7" w14:textId="0F1BAD7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0" w:history="1">
        <w:r w:rsidR="003008EF" w:rsidRPr="003008EF">
          <w:rPr>
            <w:rStyle w:val="Hyperlink"/>
            <w:rFonts w:ascii="Franklin Gothic Book" w:hAnsi="Franklin Gothic Book"/>
            <w:i w:val="0"/>
            <w:noProof/>
            <w:sz w:val="24"/>
            <w:szCs w:val="24"/>
          </w:rPr>
          <w:t>Figure 6.25 ALVE envelope schematic showing surface (SU) and transmembrane (TM) domains and the open reading frames identified in the three ALVEs with non-intact envelope ORFs compared to the intact ORF.</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3</w:t>
      </w:r>
    </w:p>
    <w:p w14:paraId="32E8292E" w14:textId="77777777" w:rsidR="003008EF" w:rsidRDefault="003008EF"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38FF8E4D" w14:textId="0D773D65"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1" w:history="1">
        <w:r w:rsidR="003008EF" w:rsidRPr="003008EF">
          <w:rPr>
            <w:rStyle w:val="Hyperlink"/>
            <w:rFonts w:ascii="Franklin Gothic Book" w:hAnsi="Franklin Gothic Book"/>
            <w:i w:val="0"/>
            <w:noProof/>
            <w:sz w:val="24"/>
            <w:szCs w:val="24"/>
          </w:rPr>
          <w:t>Figure 7.1 ALVE identification pipeline workflow s</w:t>
        </w:r>
        <w:r w:rsidR="005655E9">
          <w:rPr>
            <w:rStyle w:val="Hyperlink"/>
            <w:rFonts w:ascii="Franklin Gothic Book" w:hAnsi="Franklin Gothic Book"/>
            <w:i w:val="0"/>
            <w:noProof/>
            <w:sz w:val="24"/>
            <w:szCs w:val="24"/>
          </w:rPr>
          <w:t>howing how the single end (se) W</w:t>
        </w:r>
        <w:r w:rsidR="003008EF" w:rsidRPr="003008EF">
          <w:rPr>
            <w:rStyle w:val="Hyperlink"/>
            <w:rFonts w:ascii="Franklin Gothic Book" w:hAnsi="Franklin Gothic Book"/>
            <w:i w:val="0"/>
            <w:noProof/>
            <w:sz w:val="24"/>
            <w:szCs w:val="24"/>
          </w:rPr>
          <w:t>GS data scripts fit.</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0</w:t>
        </w:r>
        <w:r w:rsidR="003008EF" w:rsidRPr="003008EF">
          <w:rPr>
            <w:rFonts w:ascii="Franklin Gothic Book" w:hAnsi="Franklin Gothic Book"/>
            <w:i w:val="0"/>
            <w:noProof/>
            <w:webHidden/>
            <w:sz w:val="24"/>
            <w:szCs w:val="24"/>
          </w:rPr>
          <w:fldChar w:fldCharType="end"/>
        </w:r>
      </w:hyperlink>
    </w:p>
    <w:p w14:paraId="3F02E2F5" w14:textId="0A918A1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2" w:history="1">
        <w:r w:rsidR="003008EF" w:rsidRPr="003008EF">
          <w:rPr>
            <w:rStyle w:val="Hyperlink"/>
            <w:rFonts w:ascii="Franklin Gothic Book" w:hAnsi="Franklin Gothic Book"/>
            <w:i w:val="0"/>
            <w:noProof/>
            <w:sz w:val="24"/>
            <w:szCs w:val="24"/>
          </w:rPr>
          <w:t>Figure 7.2 Read coverage of the ALVE-NSAC7 insertion site in Hy-Line WPR1 using the paired end (A) and pseudo single end (B) NGS data.</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12</w:t>
      </w:r>
    </w:p>
    <w:p w14:paraId="6CC9B9AD" w14:textId="6CB680F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3" w:history="1">
        <w:r w:rsidR="003008EF" w:rsidRPr="003008EF">
          <w:rPr>
            <w:rStyle w:val="Hyperlink"/>
            <w:rFonts w:ascii="Franklin Gothic Book" w:hAnsi="Franklin Gothic Book"/>
            <w:i w:val="0"/>
            <w:noProof/>
            <w:sz w:val="24"/>
            <w:szCs w:val="24"/>
          </w:rPr>
          <w:t>Figure 7.3 Read coverage of the ALVE-NSAC3 insertion site in Hy-Line WPR1 using the paired end (A) and pseudo single end (B) NGS data.</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12</w:t>
      </w:r>
    </w:p>
    <w:p w14:paraId="11E5188A" w14:textId="7ED5E41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4" w:history="1">
        <w:r w:rsidR="003008EF" w:rsidRPr="003008EF">
          <w:rPr>
            <w:rStyle w:val="Hyperlink"/>
            <w:rFonts w:ascii="Franklin Gothic Book" w:hAnsi="Franklin Gothic Book"/>
            <w:i w:val="0"/>
            <w:noProof/>
            <w:sz w:val="24"/>
            <w:szCs w:val="24"/>
          </w:rPr>
          <w:t>Figure 7.4 Dendrogram of relatedness between successfully analysed chicken lines using ALVE presence/absence data.</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5</w:t>
      </w:r>
    </w:p>
    <w:p w14:paraId="1CEB0ED2" w14:textId="0AB2029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5475" w:history="1">
        <w:r w:rsidR="003008EF" w:rsidRPr="003008EF">
          <w:rPr>
            <w:rStyle w:val="Hyperlink"/>
            <w:rFonts w:ascii="Franklin Gothic Book" w:hAnsi="Franklin Gothic Book"/>
            <w:i w:val="0"/>
            <w:noProof/>
            <w:sz w:val="24"/>
            <w:szCs w:val="24"/>
          </w:rPr>
          <w:t>Figure 7.5 Dendrograms constructed for lines with twelve ALVEs or fewer.</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_Toc486785475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22</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3C925111" w14:textId="10E14D8F" w:rsidR="00961414" w:rsidRDefault="003008EF" w:rsidP="00274F0A">
      <w:pPr>
        <w:pStyle w:val="ListParagraph"/>
        <w:ind w:left="709" w:hanging="709"/>
      </w:pPr>
      <w:r w:rsidRPr="003008EF">
        <w:rPr>
          <w:rFonts w:ascii="Franklin Gothic Book" w:hAnsi="Franklin Gothic Book"/>
          <w:szCs w:val="24"/>
        </w:rPr>
        <w:fldChar w:fldCharType="end"/>
      </w:r>
    </w:p>
    <w:p w14:paraId="5E6F0AC7" w14:textId="77777777" w:rsidR="00FF3E5A" w:rsidRDefault="00FF3E5A" w:rsidP="00391005">
      <w:pPr>
        <w:pStyle w:val="ListParagraph"/>
      </w:pPr>
    </w:p>
    <w:p w14:paraId="7A54E49F" w14:textId="623400D5" w:rsidR="00961414" w:rsidRDefault="00961414" w:rsidP="00391005">
      <w:pPr>
        <w:pStyle w:val="ListParagraph"/>
      </w:pPr>
    </w:p>
    <w:p w14:paraId="0010C3E0" w14:textId="5248908B" w:rsidR="00FE2022" w:rsidRDefault="00FE2022" w:rsidP="00391005">
      <w:pPr>
        <w:pStyle w:val="ListParagraph"/>
      </w:pPr>
    </w:p>
    <w:p w14:paraId="44DDFF59" w14:textId="7450DD57" w:rsidR="00FE2022" w:rsidRDefault="00FE2022" w:rsidP="00391005">
      <w:pPr>
        <w:pStyle w:val="ListParagraph"/>
      </w:pPr>
    </w:p>
    <w:p w14:paraId="5D484ED6" w14:textId="536D54C7" w:rsidR="00FE2022" w:rsidRDefault="00FE2022" w:rsidP="00391005">
      <w:pPr>
        <w:pStyle w:val="ListParagraph"/>
      </w:pPr>
    </w:p>
    <w:p w14:paraId="245A4471" w14:textId="496325D8" w:rsidR="00FE2022" w:rsidRDefault="00FE2022" w:rsidP="00391005">
      <w:pPr>
        <w:pStyle w:val="ListParagraph"/>
      </w:pPr>
    </w:p>
    <w:p w14:paraId="7BAFAB54" w14:textId="60AA5684" w:rsidR="00FE2022" w:rsidRDefault="00FE2022" w:rsidP="00391005">
      <w:pPr>
        <w:pStyle w:val="ListParagraph"/>
      </w:pPr>
    </w:p>
    <w:p w14:paraId="01C5EC4F" w14:textId="3082F72F" w:rsidR="00FE2022" w:rsidRDefault="00FE2022" w:rsidP="00391005">
      <w:pPr>
        <w:pStyle w:val="ListParagraph"/>
      </w:pPr>
    </w:p>
    <w:p w14:paraId="2B5182C5" w14:textId="4F36CFB4" w:rsidR="00FE2022" w:rsidRDefault="00FE2022" w:rsidP="00391005">
      <w:pPr>
        <w:pStyle w:val="ListParagraph"/>
      </w:pPr>
    </w:p>
    <w:p w14:paraId="04CAF9DF" w14:textId="77777777" w:rsidR="00FE2022" w:rsidRDefault="00FE2022" w:rsidP="00391005">
      <w:pPr>
        <w:pStyle w:val="ListParagraph"/>
        <w:sectPr w:rsidR="00FE2022" w:rsidSect="001B4326">
          <w:pgSz w:w="11906" w:h="16838"/>
          <w:pgMar w:top="1134" w:right="1418" w:bottom="2268" w:left="2268" w:header="709" w:footer="1066" w:gutter="0"/>
          <w:pgNumType w:fmt="lowerRoman"/>
          <w:cols w:space="708"/>
          <w:docGrid w:linePitch="360"/>
        </w:sectPr>
      </w:pPr>
    </w:p>
    <w:p w14:paraId="3601E9D9" w14:textId="649031D2" w:rsidR="00961414" w:rsidRDefault="00961414" w:rsidP="00FF3E5A">
      <w:pPr>
        <w:pStyle w:val="Intro"/>
        <w:numPr>
          <w:ilvl w:val="0"/>
          <w:numId w:val="0"/>
        </w:numPr>
        <w:ind w:left="431" w:hanging="431"/>
      </w:pPr>
      <w:bookmarkStart w:id="20" w:name="_Toc485721557"/>
      <w:bookmarkStart w:id="21" w:name="_Toc486787137"/>
      <w:bookmarkStart w:id="22" w:name="_Toc486787285"/>
      <w:r>
        <w:lastRenderedPageBreak/>
        <w:t>Table of Tables</w:t>
      </w:r>
      <w:bookmarkEnd w:id="20"/>
      <w:bookmarkEnd w:id="21"/>
      <w:bookmarkEnd w:id="22"/>
    </w:p>
    <w:p w14:paraId="7333E078" w14:textId="630195E7" w:rsidR="003008EF" w:rsidRPr="003008EF" w:rsidRDefault="003008EF"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r w:rsidRPr="003008EF">
        <w:rPr>
          <w:rFonts w:ascii="Franklin Gothic Book" w:hAnsi="Franklin Gothic Book"/>
          <w:i w:val="0"/>
          <w:sz w:val="24"/>
          <w:szCs w:val="24"/>
        </w:rPr>
        <w:fldChar w:fldCharType="begin" w:fldLock="1"/>
      </w:r>
      <w:r w:rsidRPr="003008EF">
        <w:rPr>
          <w:rFonts w:ascii="Franklin Gothic Book" w:hAnsi="Franklin Gothic Book"/>
          <w:i w:val="0"/>
          <w:sz w:val="24"/>
          <w:szCs w:val="24"/>
        </w:rPr>
        <w:instrText xml:space="preserve"> TOC \h \z \c "Table" </w:instrText>
      </w:r>
      <w:r w:rsidRPr="003008EF">
        <w:rPr>
          <w:rFonts w:ascii="Franklin Gothic Book" w:hAnsi="Franklin Gothic Book"/>
          <w:i w:val="0"/>
          <w:sz w:val="24"/>
          <w:szCs w:val="24"/>
        </w:rPr>
        <w:fldChar w:fldCharType="separate"/>
      </w:r>
      <w:hyperlink w:anchor="_Toc486786297" w:history="1">
        <w:r w:rsidRPr="003008EF">
          <w:rPr>
            <w:rStyle w:val="Hyperlink"/>
            <w:rFonts w:ascii="Franklin Gothic Book" w:hAnsi="Franklin Gothic Book"/>
            <w:i w:val="0"/>
            <w:noProof/>
            <w:sz w:val="24"/>
            <w:szCs w:val="24"/>
          </w:rPr>
          <w:t>Table 2.1 Default and chosen parameters for LTR Harvest optimisation.</w:t>
        </w:r>
        <w:r w:rsidRPr="003008EF">
          <w:rPr>
            <w:rFonts w:ascii="Franklin Gothic Book" w:hAnsi="Franklin Gothic Book"/>
            <w:i w:val="0"/>
            <w:noProof/>
            <w:webHidden/>
            <w:sz w:val="24"/>
            <w:szCs w:val="24"/>
          </w:rPr>
          <w:tab/>
        </w:r>
        <w:r w:rsidRPr="003008EF">
          <w:rPr>
            <w:rFonts w:ascii="Franklin Gothic Book" w:hAnsi="Franklin Gothic Book"/>
            <w:i w:val="0"/>
            <w:noProof/>
            <w:webHidden/>
            <w:sz w:val="24"/>
            <w:szCs w:val="24"/>
          </w:rPr>
          <w:fldChar w:fldCharType="begin" w:fldLock="1"/>
        </w:r>
        <w:r w:rsidRPr="003008EF">
          <w:rPr>
            <w:rFonts w:ascii="Franklin Gothic Book" w:hAnsi="Franklin Gothic Book"/>
            <w:i w:val="0"/>
            <w:noProof/>
            <w:webHidden/>
            <w:sz w:val="24"/>
            <w:szCs w:val="24"/>
          </w:rPr>
          <w:instrText xml:space="preserve"> PAGEREF _Toc486786297 \h </w:instrText>
        </w:r>
        <w:r w:rsidRPr="003008EF">
          <w:rPr>
            <w:rFonts w:ascii="Franklin Gothic Book" w:hAnsi="Franklin Gothic Book"/>
            <w:i w:val="0"/>
            <w:noProof/>
            <w:webHidden/>
            <w:sz w:val="24"/>
            <w:szCs w:val="24"/>
          </w:rPr>
        </w:r>
        <w:r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3</w:t>
        </w:r>
        <w:r w:rsidRPr="003008EF">
          <w:rPr>
            <w:rFonts w:ascii="Franklin Gothic Book" w:hAnsi="Franklin Gothic Book"/>
            <w:i w:val="0"/>
            <w:noProof/>
            <w:webHidden/>
            <w:sz w:val="24"/>
            <w:szCs w:val="24"/>
          </w:rPr>
          <w:fldChar w:fldCharType="end"/>
        </w:r>
      </w:hyperlink>
      <w:r w:rsidR="009432A8">
        <w:rPr>
          <w:rFonts w:ascii="Franklin Gothic Book" w:hAnsi="Franklin Gothic Book"/>
          <w:i w:val="0"/>
          <w:noProof/>
          <w:sz w:val="24"/>
          <w:szCs w:val="24"/>
        </w:rPr>
        <w:t>6</w:t>
      </w:r>
    </w:p>
    <w:p w14:paraId="283740F9" w14:textId="443CCBA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298" w:history="1">
        <w:r w:rsidR="003008EF" w:rsidRPr="003008EF">
          <w:rPr>
            <w:rStyle w:val="Hyperlink"/>
            <w:rFonts w:ascii="Franklin Gothic Book" w:hAnsi="Franklin Gothic Book"/>
            <w:i w:val="0"/>
            <w:noProof/>
            <w:sz w:val="24"/>
            <w:szCs w:val="24"/>
          </w:rPr>
          <w:t>Table 2.2 Galgal4 centromeric locations identified using the flanking sequence to the 1.5 Mb of ambiguous bases used to mark the centromeres in the Galgal3 WASHCU2 annotation file.</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40</w:t>
      </w:r>
    </w:p>
    <w:p w14:paraId="6AC46127" w14:textId="4807F772"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299" w:history="1">
        <w:r w:rsidR="003008EF" w:rsidRPr="003008EF">
          <w:rPr>
            <w:rStyle w:val="Hyperlink"/>
            <w:rFonts w:ascii="Franklin Gothic Book" w:hAnsi="Franklin Gothic Book"/>
            <w:i w:val="0"/>
            <w:noProof/>
            <w:sz w:val="24"/>
            <w:szCs w:val="24"/>
          </w:rPr>
          <w:t>Table 2.3 Comparison of the Galgal4 and Galgal5 chicken genome assemblies.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_Toc486786299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0AD00710" w14:textId="212D031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0" w:history="1">
        <w:r w:rsidR="003008EF" w:rsidRPr="003008EF">
          <w:rPr>
            <w:rStyle w:val="Hyperlink"/>
            <w:rFonts w:ascii="Franklin Gothic Book" w:hAnsi="Franklin Gothic Book"/>
            <w:i w:val="0"/>
            <w:noProof/>
            <w:sz w:val="24"/>
            <w:szCs w:val="24"/>
          </w:rPr>
          <w:t>Table 2.4 Genome assembly statistics for the seventy-three species used in this study.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4</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5</w:t>
      </w:r>
    </w:p>
    <w:p w14:paraId="0B4EC494" w14:textId="77777777" w:rsidR="00274F0A" w:rsidRDefault="00274F0A"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69ABA7E2" w14:textId="0D6DDD13"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1" w:history="1">
        <w:r w:rsidR="003008EF" w:rsidRPr="003008EF">
          <w:rPr>
            <w:rStyle w:val="Hyperlink"/>
            <w:rFonts w:ascii="Franklin Gothic Book" w:hAnsi="Franklin Gothic Book"/>
            <w:i w:val="0"/>
            <w:noProof/>
            <w:sz w:val="24"/>
            <w:szCs w:val="24"/>
          </w:rPr>
          <w:t>Table 3.1 The LocaTR intermediary scripts.</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61</w:t>
      </w:r>
    </w:p>
    <w:p w14:paraId="79547658" w14:textId="7D8A4EA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2" w:history="1">
        <w:r w:rsidR="003008EF" w:rsidRPr="003008EF">
          <w:rPr>
            <w:rStyle w:val="Hyperlink"/>
            <w:rFonts w:ascii="Franklin Gothic Book" w:hAnsi="Franklin Gothic Book"/>
            <w:i w:val="0"/>
            <w:noProof/>
            <w:sz w:val="24"/>
            <w:szCs w:val="24"/>
          </w:rPr>
          <w:t>Table 3.2 The LocaTR accessory scripts.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2</w:t>
      </w:r>
    </w:p>
    <w:p w14:paraId="384D07BA" w14:textId="2D28448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3" w:history="1">
        <w:r w:rsidR="003008EF" w:rsidRPr="003008EF">
          <w:rPr>
            <w:rStyle w:val="Hyperlink"/>
            <w:rFonts w:ascii="Franklin Gothic Book" w:hAnsi="Franklin Gothic Book"/>
            <w:i w:val="0"/>
            <w:noProof/>
            <w:sz w:val="24"/>
            <w:szCs w:val="24"/>
          </w:rPr>
          <w:t>Table 3.3 Annotated Galgal4 repeat content using RepeatMasker with three different available RepBase libraries.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3</w:t>
      </w:r>
    </w:p>
    <w:p w14:paraId="7E2E4ADA" w14:textId="7386002D"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4" w:history="1">
        <w:r w:rsidR="003008EF" w:rsidRPr="003008EF">
          <w:rPr>
            <w:rStyle w:val="Hyperlink"/>
            <w:rFonts w:ascii="Franklin Gothic Book" w:hAnsi="Franklin Gothic Book"/>
            <w:i w:val="0"/>
            <w:noProof/>
            <w:sz w:val="24"/>
            <w:szCs w:val="24"/>
          </w:rPr>
          <w:t>Table 3.4 The effect of the different RepeatMasker specificity settings on detected LTR retrotransposon content and processing time.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3</w:t>
      </w:r>
    </w:p>
    <w:p w14:paraId="50FA76B2" w14:textId="6231257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5" w:history="1">
        <w:r w:rsidR="003008EF" w:rsidRPr="003008EF">
          <w:rPr>
            <w:rStyle w:val="Hyperlink"/>
            <w:rFonts w:ascii="Franklin Gothic Book" w:hAnsi="Franklin Gothic Book"/>
            <w:i w:val="0"/>
            <w:noProof/>
            <w:sz w:val="24"/>
            <w:szCs w:val="24"/>
          </w:rPr>
          <w:t>Table 3.5 Sensitivity testing with LTR_STRUC using Galgal4 chromosome 1 and Z.</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4</w:t>
      </w:r>
    </w:p>
    <w:p w14:paraId="33A85AEA" w14:textId="29336FE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6" w:history="1">
        <w:r w:rsidR="003008EF" w:rsidRPr="003008EF">
          <w:rPr>
            <w:rStyle w:val="Hyperlink"/>
            <w:rFonts w:ascii="Franklin Gothic Book" w:hAnsi="Franklin Gothic Book"/>
            <w:i w:val="0"/>
            <w:noProof/>
            <w:sz w:val="24"/>
            <w:szCs w:val="24"/>
          </w:rPr>
          <w:t>Table 3.6 Parameter optimisation with LTR Harvest</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5</w:t>
      </w:r>
    </w:p>
    <w:p w14:paraId="5CB48B16" w14:textId="122992D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7" w:history="1">
        <w:r w:rsidR="003008EF" w:rsidRPr="003008EF">
          <w:rPr>
            <w:rStyle w:val="Hyperlink"/>
            <w:rFonts w:ascii="Franklin Gothic Book" w:hAnsi="Franklin Gothic Book"/>
            <w:i w:val="0"/>
            <w:noProof/>
            <w:sz w:val="24"/>
            <w:szCs w:val="24"/>
          </w:rPr>
          <w:t>Table 3.7 The impact of increasing the LTR pair identity on the false positive rate of LTR Harvest</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6</w:t>
      </w:r>
    </w:p>
    <w:p w14:paraId="1548C128" w14:textId="12ADCBD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8" w:history="1">
        <w:r w:rsidR="003008EF" w:rsidRPr="003008EF">
          <w:rPr>
            <w:rStyle w:val="Hyperlink"/>
            <w:rFonts w:ascii="Franklin Gothic Book" w:hAnsi="Franklin Gothic Book"/>
            <w:i w:val="0"/>
            <w:noProof/>
            <w:sz w:val="24"/>
            <w:szCs w:val="24"/>
          </w:rPr>
          <w:t>Table 3.8 Comparison of intact LTR retrotransposons (SIEs) features identified by the four structure-based identification programs.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_Toc486786308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6</w:t>
        </w:r>
        <w:r w:rsidR="003008EF" w:rsidRPr="003008EF">
          <w:rPr>
            <w:rFonts w:ascii="Franklin Gothic Book" w:hAnsi="Franklin Gothic Book"/>
            <w:i w:val="0"/>
            <w:noProof/>
            <w:webHidden/>
            <w:sz w:val="24"/>
            <w:szCs w:val="24"/>
          </w:rPr>
          <w:fldChar w:fldCharType="end"/>
        </w:r>
      </w:hyperlink>
      <w:r>
        <w:rPr>
          <w:rFonts w:ascii="Franklin Gothic Book" w:hAnsi="Franklin Gothic Book"/>
          <w:i w:val="0"/>
          <w:noProof/>
          <w:sz w:val="24"/>
          <w:szCs w:val="24"/>
        </w:rPr>
        <w:t>7</w:t>
      </w:r>
    </w:p>
    <w:p w14:paraId="2326E02B" w14:textId="3B81665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09" w:history="1">
        <w:r w:rsidR="003008EF" w:rsidRPr="003008EF">
          <w:rPr>
            <w:rStyle w:val="Hyperlink"/>
            <w:rFonts w:ascii="Franklin Gothic Book" w:hAnsi="Franklin Gothic Book"/>
            <w:i w:val="0"/>
            <w:noProof/>
            <w:sz w:val="24"/>
            <w:szCs w:val="24"/>
          </w:rPr>
          <w:t>Table 3.9 Comparison of LTR retrotransposon annotations between chicken genome assemblies highlighting improvements made with the LocaTR pipeline.</w:t>
        </w:r>
        <w:r w:rsidR="003008EF" w:rsidRPr="003008EF">
          <w:rPr>
            <w:rFonts w:ascii="Franklin Gothic Book" w:hAnsi="Franklin Gothic Book"/>
            <w:i w:val="0"/>
            <w:noProof/>
            <w:webHidden/>
            <w:sz w:val="24"/>
            <w:szCs w:val="24"/>
          </w:rPr>
          <w:tab/>
        </w:r>
      </w:hyperlink>
      <w:r>
        <w:rPr>
          <w:rFonts w:ascii="Franklin Gothic Book" w:hAnsi="Franklin Gothic Book"/>
          <w:i w:val="0"/>
          <w:noProof/>
          <w:sz w:val="24"/>
          <w:szCs w:val="24"/>
        </w:rPr>
        <w:t>71</w:t>
      </w:r>
    </w:p>
    <w:p w14:paraId="257293C9" w14:textId="4A4BEF0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0" w:history="1">
        <w:r w:rsidR="003008EF" w:rsidRPr="003008EF">
          <w:rPr>
            <w:rStyle w:val="Hyperlink"/>
            <w:rFonts w:ascii="Franklin Gothic Book" w:hAnsi="Franklin Gothic Book"/>
            <w:i w:val="0"/>
            <w:noProof/>
            <w:sz w:val="24"/>
            <w:szCs w:val="24"/>
          </w:rPr>
          <w:t>Table 3.10 Identified LTR retrotransposon c</w:t>
        </w:r>
        <w:r w:rsidR="00F5693B">
          <w:rPr>
            <w:rStyle w:val="Hyperlink"/>
            <w:rFonts w:ascii="Franklin Gothic Book" w:hAnsi="Franklin Gothic Book"/>
            <w:i w:val="0"/>
            <w:noProof/>
            <w:sz w:val="24"/>
            <w:szCs w:val="24"/>
          </w:rPr>
          <w:t>lusters in the Galgal4 assembly.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7</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3</w:t>
      </w:r>
    </w:p>
    <w:p w14:paraId="379C4868" w14:textId="16B12AE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1" w:history="1">
        <w:r w:rsidR="003008EF" w:rsidRPr="003008EF">
          <w:rPr>
            <w:rStyle w:val="Hyperlink"/>
            <w:rFonts w:ascii="Franklin Gothic Book" w:hAnsi="Franklin Gothic Book"/>
            <w:i w:val="0"/>
            <w:noProof/>
            <w:sz w:val="24"/>
            <w:szCs w:val="24"/>
          </w:rPr>
          <w:t>Table 3.11 Observed recombination rates in assembled chromosome clusters.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7</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4</w:t>
      </w:r>
    </w:p>
    <w:p w14:paraId="7D40BF29" w14:textId="77777777" w:rsidR="00274F0A" w:rsidRDefault="00274F0A"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01929514" w14:textId="2365CD6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2" w:history="1">
        <w:r w:rsidR="003008EF" w:rsidRPr="003008EF">
          <w:rPr>
            <w:rStyle w:val="Hyperlink"/>
            <w:rFonts w:ascii="Franklin Gothic Book" w:hAnsi="Franklin Gothic Book"/>
            <w:i w:val="0"/>
            <w:noProof/>
            <w:sz w:val="24"/>
            <w:szCs w:val="24"/>
          </w:rPr>
          <w:t>Table 4.1 Comparative summary of the LocaTR-annotated LTR retrotransposon content of the chicken genome from the Galgal4 and Galgal5 assemblies.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4</w:t>
      </w:r>
    </w:p>
    <w:p w14:paraId="6F6DC4D4" w14:textId="4FE5759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3" w:history="1">
        <w:r w:rsidR="003008EF" w:rsidRPr="003008EF">
          <w:rPr>
            <w:rStyle w:val="Hyperlink"/>
            <w:rFonts w:ascii="Franklin Gothic Book" w:hAnsi="Franklin Gothic Book"/>
            <w:i w:val="0"/>
            <w:noProof/>
            <w:sz w:val="24"/>
            <w:szCs w:val="24"/>
          </w:rPr>
          <w:t>Table 4.2 Improvements in LTR retrotransposon content annotation across three chicken genome assemblies.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6124EB6E" w14:textId="21BA6B8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4" w:history="1">
        <w:r w:rsidR="003008EF" w:rsidRPr="003008EF">
          <w:rPr>
            <w:rStyle w:val="Hyperlink"/>
            <w:rFonts w:ascii="Franklin Gothic Book" w:hAnsi="Franklin Gothic Book"/>
            <w:i w:val="0"/>
            <w:noProof/>
            <w:sz w:val="24"/>
            <w:szCs w:val="24"/>
          </w:rPr>
          <w:t>Table 4.3 The contribution of the distinct LocaTR protocols to the overall total for both the Galgal4 and Galgal5 assemblies.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F5693B">
          <w:rPr>
            <w:rFonts w:ascii="Franklin Gothic Book" w:hAnsi="Franklin Gothic Book"/>
            <w:i w:val="0"/>
            <w:noProof/>
            <w:webHidden/>
            <w:sz w:val="24"/>
            <w:szCs w:val="24"/>
          </w:rPr>
          <w:t>5</w:t>
        </w:r>
        <w:r w:rsidR="003008EF" w:rsidRPr="003008EF">
          <w:rPr>
            <w:rFonts w:ascii="Franklin Gothic Book" w:hAnsi="Franklin Gothic Book"/>
            <w:i w:val="0"/>
            <w:noProof/>
            <w:webHidden/>
            <w:sz w:val="24"/>
            <w:szCs w:val="24"/>
          </w:rPr>
          <w:fldChar w:fldCharType="end"/>
        </w:r>
      </w:hyperlink>
    </w:p>
    <w:p w14:paraId="6068CE6C" w14:textId="2A7CE09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5" w:history="1">
        <w:r w:rsidR="003008EF" w:rsidRPr="003008EF">
          <w:rPr>
            <w:rStyle w:val="Hyperlink"/>
            <w:rFonts w:ascii="Franklin Gothic Book" w:hAnsi="Franklin Gothic Book"/>
            <w:i w:val="0"/>
            <w:noProof/>
            <w:sz w:val="24"/>
            <w:szCs w:val="24"/>
          </w:rPr>
          <w:t>Table 4.4 Structurally intact elements identified by the four structure-based identification programs.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6</w:t>
      </w:r>
    </w:p>
    <w:p w14:paraId="2FC401EB" w14:textId="1B375153"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6" w:history="1">
        <w:r w:rsidR="003008EF" w:rsidRPr="003008EF">
          <w:rPr>
            <w:rStyle w:val="Hyperlink"/>
            <w:rFonts w:ascii="Franklin Gothic Book" w:hAnsi="Franklin Gothic Book"/>
            <w:i w:val="0"/>
            <w:noProof/>
            <w:sz w:val="24"/>
            <w:szCs w:val="24"/>
          </w:rPr>
          <w:t>Table 4.5 Correlations between LTR retrotransposon density and chromosome length, recombination rate or gene density for the chicken Galgal4 and Galgal5 assemblies.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9</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6</w:t>
      </w:r>
    </w:p>
    <w:p w14:paraId="0D8A5171" w14:textId="4588C4F3"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7" w:history="1">
        <w:r w:rsidR="003008EF" w:rsidRPr="003008EF">
          <w:rPr>
            <w:rStyle w:val="Hyperlink"/>
            <w:rFonts w:ascii="Franklin Gothic Book" w:hAnsi="Franklin Gothic Book"/>
            <w:i w:val="0"/>
            <w:noProof/>
            <w:sz w:val="24"/>
            <w:szCs w:val="24"/>
          </w:rPr>
          <w:t>Table 4.6 The identified LTR retrotransposon content in each analysed species showing the contribution of the two RepeatMasker analyses.</w:t>
        </w:r>
        <w:r w:rsidR="003008EF" w:rsidRPr="003008EF">
          <w:rPr>
            <w:rFonts w:ascii="Franklin Gothic Book" w:hAnsi="Franklin Gothic Book"/>
            <w:i w:val="0"/>
            <w:noProof/>
            <w:webHidden/>
            <w:sz w:val="24"/>
            <w:szCs w:val="24"/>
          </w:rPr>
          <w:tab/>
        </w:r>
      </w:hyperlink>
      <w:r w:rsidR="00F5693B">
        <w:rPr>
          <w:rFonts w:ascii="Franklin Gothic Book" w:hAnsi="Franklin Gothic Book"/>
          <w:i w:val="0"/>
          <w:noProof/>
          <w:sz w:val="24"/>
          <w:szCs w:val="24"/>
        </w:rPr>
        <w:t>102</w:t>
      </w:r>
    </w:p>
    <w:p w14:paraId="0E6310F4" w14:textId="04260B7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8" w:history="1">
        <w:r w:rsidR="003008EF" w:rsidRPr="003008EF">
          <w:rPr>
            <w:rStyle w:val="Hyperlink"/>
            <w:rFonts w:ascii="Franklin Gothic Book" w:hAnsi="Franklin Gothic Book"/>
            <w:i w:val="0"/>
            <w:noProof/>
            <w:sz w:val="24"/>
            <w:szCs w:val="24"/>
          </w:rPr>
          <w:t>Table 4.7 The identified LTR retrotransposon content in each analysed species showing the annotated content from a standard RepeatMasker analysis (RM-v), the annotated content from the LocaTR analysis, and the number of identified structurally intact elements (SIEs).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10</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6</w:t>
      </w:r>
    </w:p>
    <w:p w14:paraId="098E1D43" w14:textId="28798646"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19" w:history="1">
        <w:r w:rsidR="003008EF" w:rsidRPr="003008EF">
          <w:rPr>
            <w:rStyle w:val="Hyperlink"/>
            <w:rFonts w:ascii="Franklin Gothic Book" w:hAnsi="Franklin Gothic Book"/>
            <w:i w:val="0"/>
            <w:noProof/>
            <w:sz w:val="24"/>
            <w:szCs w:val="24"/>
          </w:rPr>
          <w:t>Table 4.8 A comparison of the annotated LTR retrotransposon content based on three search methodologies.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_Toc486786319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12</w:t>
      </w:r>
    </w:p>
    <w:p w14:paraId="315ED731" w14:textId="77777777" w:rsidR="00274F0A" w:rsidRDefault="00274F0A"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2C0544CB" w14:textId="26C3BFF0"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0" w:history="1">
        <w:r w:rsidR="003008EF" w:rsidRPr="003008EF">
          <w:rPr>
            <w:rStyle w:val="Hyperlink"/>
            <w:rFonts w:ascii="Franklin Gothic Book" w:hAnsi="Franklin Gothic Book"/>
            <w:i w:val="0"/>
            <w:noProof/>
            <w:sz w:val="24"/>
            <w:szCs w:val="24"/>
          </w:rPr>
          <w:t>Table 5.1 Identified future-proofing concerns with ALVE-specific nomenclature.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12</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612CF516" w14:textId="6334A69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1" w:history="1">
        <w:r w:rsidR="003008EF" w:rsidRPr="003008EF">
          <w:rPr>
            <w:rStyle w:val="Hyperlink"/>
            <w:rFonts w:ascii="Franklin Gothic Book" w:hAnsi="Franklin Gothic Book"/>
            <w:i w:val="0"/>
            <w:noProof/>
            <w:sz w:val="24"/>
            <w:szCs w:val="24"/>
          </w:rPr>
          <w:t>Table 5.2 Generic ALVE sequencing primers.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14C348ED" w14:textId="19F7F3D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2" w:history="1">
        <w:r w:rsidR="005655E9">
          <w:rPr>
            <w:rStyle w:val="Hyperlink"/>
            <w:rFonts w:ascii="Franklin Gothic Book" w:hAnsi="Franklin Gothic Book"/>
            <w:i w:val="0"/>
            <w:noProof/>
            <w:sz w:val="24"/>
            <w:szCs w:val="24"/>
          </w:rPr>
          <w:t>Table 5.3 Paired end W</w:t>
        </w:r>
        <w:r w:rsidR="003008EF" w:rsidRPr="003008EF">
          <w:rPr>
            <w:rStyle w:val="Hyperlink"/>
            <w:rFonts w:ascii="Franklin Gothic Book" w:hAnsi="Franklin Gothic Book"/>
            <w:i w:val="0"/>
            <w:noProof/>
            <w:sz w:val="24"/>
            <w:szCs w:val="24"/>
          </w:rPr>
          <w:t>GS datasets analysed for this study.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13</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8</w:t>
      </w:r>
    </w:p>
    <w:p w14:paraId="22D17036" w14:textId="41F8C07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3" w:history="1">
        <w:r w:rsidR="003008EF" w:rsidRPr="003008EF">
          <w:rPr>
            <w:rStyle w:val="Hyperlink"/>
            <w:rFonts w:ascii="Franklin Gothic Book" w:hAnsi="Franklin Gothic Book"/>
            <w:i w:val="0"/>
            <w:noProof/>
            <w:sz w:val="24"/>
            <w:szCs w:val="24"/>
          </w:rPr>
          <w:t>Table 5.4 Accession numbers and</w:t>
        </w:r>
        <w:r w:rsidR="005655E9">
          <w:rPr>
            <w:rStyle w:val="Hyperlink"/>
            <w:rFonts w:ascii="Franklin Gothic Book" w:hAnsi="Franklin Gothic Book"/>
            <w:i w:val="0"/>
            <w:noProof/>
            <w:sz w:val="24"/>
            <w:szCs w:val="24"/>
          </w:rPr>
          <w:t xml:space="preserve"> references for the paired end W</w:t>
        </w:r>
        <w:r w:rsidR="003008EF" w:rsidRPr="003008EF">
          <w:rPr>
            <w:rStyle w:val="Hyperlink"/>
            <w:rFonts w:ascii="Franklin Gothic Book" w:hAnsi="Franklin Gothic Book"/>
            <w:i w:val="0"/>
            <w:noProof/>
            <w:sz w:val="24"/>
            <w:szCs w:val="24"/>
          </w:rPr>
          <w:t>GS data.</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41</w:t>
      </w:r>
    </w:p>
    <w:p w14:paraId="190AB8D9" w14:textId="77777777" w:rsidR="00274F0A" w:rsidRDefault="00274F0A"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57CA7F5D" w14:textId="73B058A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4" w:history="1">
        <w:r w:rsidR="003008EF" w:rsidRPr="003008EF">
          <w:rPr>
            <w:rStyle w:val="Hyperlink"/>
            <w:rFonts w:ascii="Franklin Gothic Book" w:hAnsi="Franklin Gothic Book"/>
            <w:i w:val="0"/>
            <w:noProof/>
            <w:sz w:val="24"/>
            <w:szCs w:val="24"/>
          </w:rPr>
          <w:t>Table 6.1 ALVE identification pipeline scripts and functionality.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50</w:t>
      </w:r>
    </w:p>
    <w:p w14:paraId="0E84F206" w14:textId="368C0D9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5" w:history="1">
        <w:r w:rsidR="003008EF" w:rsidRPr="003008EF">
          <w:rPr>
            <w:rStyle w:val="Hyperlink"/>
            <w:rFonts w:ascii="Franklin Gothic Book" w:hAnsi="Franklin Gothic Book"/>
            <w:i w:val="0"/>
            <w:noProof/>
            <w:sz w:val="24"/>
            <w:szCs w:val="24"/>
          </w:rPr>
          <w:t>Table 6.2 The twenty ALVEs identified across the eight Hy-Line elite layer lines, with their Galgal5 location, insertion hexamer and overlapped feature.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15</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6</w:t>
      </w:r>
    </w:p>
    <w:p w14:paraId="1D457E7D" w14:textId="4AEE8477"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6" w:history="1">
        <w:r w:rsidR="003008EF" w:rsidRPr="003008EF">
          <w:rPr>
            <w:rStyle w:val="Hyperlink"/>
            <w:rFonts w:ascii="Franklin Gothic Book" w:hAnsi="Franklin Gothic Book"/>
            <w:i w:val="0"/>
            <w:noProof/>
            <w:sz w:val="24"/>
            <w:szCs w:val="24"/>
          </w:rPr>
          <w:t>Table 6.3 The ALVEs identified in each of the Hy-Line elite layer lines using the ALVE identification pipeline.</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15</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7</w:t>
      </w:r>
    </w:p>
    <w:p w14:paraId="0E123EA1" w14:textId="306C8E6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7" w:history="1">
        <w:r w:rsidR="003008EF" w:rsidRPr="003008EF">
          <w:rPr>
            <w:rStyle w:val="Hyperlink"/>
            <w:rFonts w:ascii="Franklin Gothic Book" w:hAnsi="Franklin Gothic Book"/>
            <w:i w:val="0"/>
            <w:noProof/>
            <w:sz w:val="24"/>
            <w:szCs w:val="24"/>
          </w:rPr>
          <w:t>Table 6.4 Primers used for the diagnostic Hy-Line-based KASP assays.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15</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9</w:t>
      </w:r>
    </w:p>
    <w:p w14:paraId="6CF96952" w14:textId="3EE62D37"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8" w:history="1">
        <w:r w:rsidR="003008EF" w:rsidRPr="003008EF">
          <w:rPr>
            <w:rStyle w:val="Hyperlink"/>
            <w:rFonts w:ascii="Franklin Gothic Book" w:hAnsi="Franklin Gothic Book"/>
            <w:i w:val="0"/>
            <w:noProof/>
            <w:sz w:val="24"/>
            <w:szCs w:val="24"/>
          </w:rPr>
          <w:t>Table 6.5 Primers used for the diagnostic Hy-Line-based PCR assays.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6</w:t>
      </w:r>
    </w:p>
    <w:p w14:paraId="374A6FE4" w14:textId="05AE4529"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29" w:history="1">
        <w:r w:rsidR="003008EF" w:rsidRPr="003008EF">
          <w:rPr>
            <w:rStyle w:val="Hyperlink"/>
            <w:rFonts w:ascii="Franklin Gothic Book" w:hAnsi="Franklin Gothic Book"/>
            <w:i w:val="0"/>
            <w:noProof/>
            <w:sz w:val="24"/>
            <w:szCs w:val="24"/>
          </w:rPr>
          <w:t>Table 6.6 Observed frequency categories for each identified White Leghorn ALVE in the five Hy-Line white egg elite layer lines, using the 2008 resequenced birds.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_Toc486786329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9</w:t>
      </w:r>
    </w:p>
    <w:p w14:paraId="3DB35678" w14:textId="7EF5AA5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0" w:history="1">
        <w:r w:rsidR="003008EF" w:rsidRPr="003008EF">
          <w:rPr>
            <w:rStyle w:val="Hyperlink"/>
            <w:rFonts w:ascii="Franklin Gothic Book" w:hAnsi="Franklin Gothic Book"/>
            <w:i w:val="0"/>
            <w:noProof/>
            <w:sz w:val="24"/>
            <w:szCs w:val="24"/>
          </w:rPr>
          <w:t>Table 6.7 Observed frequency categories for each identified ALVE in the three Hy-Line brown egg elite layer lines, using the 2008 resequenced birds.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16</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9</w:t>
      </w:r>
    </w:p>
    <w:p w14:paraId="24090EDD" w14:textId="17C0CD7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1" w:history="1">
        <w:r w:rsidR="003008EF" w:rsidRPr="003008EF">
          <w:rPr>
            <w:rStyle w:val="Hyperlink"/>
            <w:rFonts w:ascii="Franklin Gothic Book" w:hAnsi="Franklin Gothic Book"/>
            <w:i w:val="0"/>
            <w:noProof/>
            <w:sz w:val="24"/>
            <w:szCs w:val="24"/>
          </w:rPr>
          <w:t>Table 6.8 Observed frequency categories for each identified ALVE in the three Hy-Line brown egg elite layer lines, using the most recently available, 2010 full generation of male birds.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72</w:t>
      </w:r>
    </w:p>
    <w:p w14:paraId="0A8C02E3" w14:textId="63F0DB3A"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2" w:history="1">
        <w:r w:rsidR="003008EF" w:rsidRPr="003008EF">
          <w:rPr>
            <w:rStyle w:val="Hyperlink"/>
            <w:rFonts w:ascii="Franklin Gothic Book" w:hAnsi="Franklin Gothic Book"/>
            <w:i w:val="0"/>
            <w:noProof/>
            <w:sz w:val="24"/>
            <w:szCs w:val="24"/>
          </w:rPr>
          <w:t>Table 6.9 ALVEs with previously published insertion sites, insertion hexamers or diagnostic assays which were manually checked across the Hy-Line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17</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385786B2" w14:textId="3C2F263B"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3" w:history="1">
        <w:r w:rsidR="003008EF" w:rsidRPr="003008EF">
          <w:rPr>
            <w:rStyle w:val="Hyperlink"/>
            <w:rFonts w:ascii="Franklin Gothic Book" w:hAnsi="Franklin Gothic Book"/>
            <w:i w:val="0"/>
            <w:noProof/>
            <w:sz w:val="24"/>
            <w:szCs w:val="24"/>
          </w:rPr>
          <w:t>Table 6.10 KASP primers for the K-duplication assay.</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_Toc486786333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80</w:t>
      </w:r>
    </w:p>
    <w:p w14:paraId="10D73867" w14:textId="1847F4B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4" w:history="1">
        <w:r w:rsidR="003008EF" w:rsidRPr="003008EF">
          <w:rPr>
            <w:rStyle w:val="Hyperlink"/>
            <w:rFonts w:ascii="Franklin Gothic Book" w:hAnsi="Franklin Gothic Book"/>
            <w:i w:val="0"/>
            <w:noProof/>
            <w:sz w:val="24"/>
            <w:szCs w:val="24"/>
          </w:rPr>
          <w:t>Table 6.11 Optic map statistics for the five Hy-Line samples.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_Toc486786334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F5693B">
          <w:rPr>
            <w:rFonts w:ascii="Franklin Gothic Book" w:hAnsi="Franklin Gothic Book"/>
            <w:i w:val="0"/>
            <w:noProof/>
            <w:webHidden/>
            <w:sz w:val="24"/>
            <w:szCs w:val="24"/>
          </w:rPr>
          <w:t>1</w:t>
        </w:r>
        <w:r w:rsidR="002C549C">
          <w:rPr>
            <w:rFonts w:ascii="Franklin Gothic Book" w:hAnsi="Franklin Gothic Book"/>
            <w:i w:val="0"/>
            <w:noProof/>
            <w:webHidden/>
            <w:sz w:val="24"/>
            <w:szCs w:val="24"/>
          </w:rPr>
          <w:t>8</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2</w:t>
      </w:r>
    </w:p>
    <w:p w14:paraId="2B9B83D0" w14:textId="2D1CFF3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5" w:history="1">
        <w:r w:rsidR="003008EF" w:rsidRPr="003008EF">
          <w:rPr>
            <w:rStyle w:val="Hyperlink"/>
            <w:rFonts w:ascii="Franklin Gothic Book" w:hAnsi="Franklin Gothic Book"/>
            <w:i w:val="0"/>
            <w:noProof/>
            <w:sz w:val="24"/>
            <w:szCs w:val="24"/>
          </w:rPr>
          <w:t>Table 6.12 Key features of the fifteen sequenced ALVEs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_Toc486786335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18</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5AD7CC93" w14:textId="77777777" w:rsidR="00274F0A" w:rsidRDefault="00274F0A" w:rsidP="00274F0A">
      <w:pPr>
        <w:pStyle w:val="TableofFigures"/>
        <w:tabs>
          <w:tab w:val="right" w:leader="underscore" w:pos="8210"/>
        </w:tabs>
        <w:spacing w:after="60"/>
        <w:ind w:left="709" w:hanging="709"/>
        <w:rPr>
          <w:rStyle w:val="Hyperlink"/>
          <w:rFonts w:ascii="Franklin Gothic Book" w:hAnsi="Franklin Gothic Book"/>
          <w:i w:val="0"/>
          <w:noProof/>
          <w:sz w:val="24"/>
          <w:szCs w:val="24"/>
        </w:rPr>
      </w:pPr>
    </w:p>
    <w:p w14:paraId="081C857A" w14:textId="4880BF54"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6" w:history="1">
        <w:r w:rsidR="003008EF" w:rsidRPr="003008EF">
          <w:rPr>
            <w:rStyle w:val="Hyperlink"/>
            <w:rFonts w:ascii="Franklin Gothic Book" w:hAnsi="Franklin Gothic Book"/>
            <w:i w:val="0"/>
            <w:noProof/>
            <w:sz w:val="24"/>
            <w:szCs w:val="24"/>
          </w:rPr>
          <w:t>Table 7.1 ALVE identification pipeline s</w:t>
        </w:r>
        <w:r w:rsidR="005655E9">
          <w:rPr>
            <w:rStyle w:val="Hyperlink"/>
            <w:rFonts w:ascii="Franklin Gothic Book" w:hAnsi="Franklin Gothic Book"/>
            <w:i w:val="0"/>
            <w:noProof/>
            <w:sz w:val="24"/>
            <w:szCs w:val="24"/>
          </w:rPr>
          <w:t>cripts for use with single end W</w:t>
        </w:r>
        <w:r w:rsidR="003008EF" w:rsidRPr="003008EF">
          <w:rPr>
            <w:rStyle w:val="Hyperlink"/>
            <w:rFonts w:ascii="Franklin Gothic Book" w:hAnsi="Franklin Gothic Book"/>
            <w:i w:val="0"/>
            <w:noProof/>
            <w:sz w:val="24"/>
            <w:szCs w:val="24"/>
          </w:rPr>
          <w:t>GS data.</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_Toc486786336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20</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9</w:t>
      </w:r>
    </w:p>
    <w:p w14:paraId="493954AA" w14:textId="02E5F588"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7" w:history="1">
        <w:r w:rsidR="003008EF" w:rsidRPr="003008EF">
          <w:rPr>
            <w:rStyle w:val="Hyperlink"/>
            <w:rFonts w:ascii="Franklin Gothic Book" w:hAnsi="Franklin Gothic Book"/>
            <w:i w:val="0"/>
            <w:noProof/>
            <w:sz w:val="24"/>
            <w:szCs w:val="24"/>
          </w:rPr>
          <w:t>Table 7.</w:t>
        </w:r>
        <w:r w:rsidR="003008EF" w:rsidRPr="003008EF">
          <w:rPr>
            <w:rStyle w:val="Hyperlink"/>
            <w:rFonts w:ascii="Franklin Gothic Book" w:hAnsi="Franklin Gothic Book"/>
            <w:i w:val="0"/>
            <w:noProof/>
            <w:sz w:val="24"/>
            <w:szCs w:val="24"/>
          </w:rPr>
          <w:t>2</w:t>
        </w:r>
        <w:r w:rsidR="003008EF" w:rsidRPr="003008EF">
          <w:rPr>
            <w:rStyle w:val="Hyperlink"/>
            <w:rFonts w:ascii="Franklin Gothic Book" w:hAnsi="Franklin Gothic Book"/>
            <w:i w:val="0"/>
            <w:noProof/>
            <w:sz w:val="24"/>
            <w:szCs w:val="24"/>
          </w:rPr>
          <w:t xml:space="preserve"> Identified and ‘missed’ ALV</w:t>
        </w:r>
        <w:r w:rsidR="005655E9">
          <w:rPr>
            <w:rStyle w:val="Hyperlink"/>
            <w:rFonts w:ascii="Franklin Gothic Book" w:hAnsi="Franklin Gothic Book"/>
            <w:i w:val="0"/>
            <w:noProof/>
            <w:sz w:val="24"/>
            <w:szCs w:val="24"/>
          </w:rPr>
          <w:t>Es using the pseudo single end W</w:t>
        </w:r>
        <w:r w:rsidR="003008EF" w:rsidRPr="003008EF">
          <w:rPr>
            <w:rStyle w:val="Hyperlink"/>
            <w:rFonts w:ascii="Franklin Gothic Book" w:hAnsi="Franklin Gothic Book"/>
            <w:i w:val="0"/>
            <w:noProof/>
            <w:sz w:val="24"/>
            <w:szCs w:val="24"/>
          </w:rPr>
          <w:t>GS data for each of the eight Hy-Line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_Toc486786337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11</w:t>
      </w:r>
    </w:p>
    <w:p w14:paraId="3771D234" w14:textId="0693B455"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8" w:history="1">
        <w:r w:rsidR="003008EF" w:rsidRPr="003008EF">
          <w:rPr>
            <w:rStyle w:val="Hyperlink"/>
            <w:rFonts w:ascii="Franklin Gothic Book" w:hAnsi="Franklin Gothic Book"/>
            <w:i w:val="0"/>
            <w:noProof/>
            <w:sz w:val="24"/>
            <w:szCs w:val="24"/>
          </w:rPr>
          <w:t>Table 7.3 Number of ALVEs identified in the commercial white egg layer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_Toc486786338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5</w:t>
      </w:r>
    </w:p>
    <w:p w14:paraId="2499E391" w14:textId="7565D98F"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39" w:history="1">
        <w:r w:rsidR="003008EF" w:rsidRPr="003008EF">
          <w:rPr>
            <w:rStyle w:val="Hyperlink"/>
            <w:rFonts w:ascii="Franklin Gothic Book" w:hAnsi="Franklin Gothic Book"/>
            <w:i w:val="0"/>
            <w:noProof/>
            <w:sz w:val="24"/>
            <w:szCs w:val="24"/>
          </w:rPr>
          <w:t>Table 7.4 Number of ALVEs identified in the commercial brown egg layer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_Toc486786339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8</w:t>
      </w:r>
    </w:p>
    <w:p w14:paraId="3EBC00E0" w14:textId="5A1F880E"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40" w:history="1">
        <w:r w:rsidR="003008EF" w:rsidRPr="003008EF">
          <w:rPr>
            <w:rStyle w:val="Hyperlink"/>
            <w:rFonts w:ascii="Franklin Gothic Book" w:hAnsi="Franklin Gothic Book"/>
            <w:i w:val="0"/>
            <w:noProof/>
            <w:sz w:val="24"/>
            <w:szCs w:val="24"/>
          </w:rPr>
          <w:t>Table 7.5 Number of ALVEs identified in the broiler lines.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_Toc486786340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21</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9</w:t>
      </w:r>
    </w:p>
    <w:p w14:paraId="4D7A6AFD" w14:textId="433169DC"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41" w:history="1">
        <w:r w:rsidR="003008EF" w:rsidRPr="003008EF">
          <w:rPr>
            <w:rStyle w:val="Hyperlink"/>
            <w:rFonts w:ascii="Franklin Gothic Book" w:hAnsi="Franklin Gothic Book"/>
            <w:i w:val="0"/>
            <w:noProof/>
            <w:sz w:val="24"/>
            <w:szCs w:val="24"/>
          </w:rPr>
          <w:t>Table 7.6 Number of ALVEs identified in the generalist or native breeds.</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_Toc486786341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F5693B">
          <w:rPr>
            <w:rFonts w:ascii="Franklin Gothic Book" w:hAnsi="Franklin Gothic Book"/>
            <w:i w:val="0"/>
            <w:noProof/>
            <w:webHidden/>
            <w:sz w:val="24"/>
            <w:szCs w:val="24"/>
          </w:rPr>
          <w:t>2</w:t>
        </w:r>
        <w:r w:rsidR="002C549C">
          <w:rPr>
            <w:rFonts w:ascii="Franklin Gothic Book" w:hAnsi="Franklin Gothic Book"/>
            <w:i w:val="0"/>
            <w:noProof/>
            <w:webHidden/>
            <w:sz w:val="24"/>
            <w:szCs w:val="24"/>
          </w:rPr>
          <w:t>1</w:t>
        </w:r>
        <w:r w:rsidR="003008EF" w:rsidRPr="003008EF">
          <w:rPr>
            <w:rFonts w:ascii="Franklin Gothic Book" w:hAnsi="Franklin Gothic Book"/>
            <w:i w:val="0"/>
            <w:noProof/>
            <w:webHidden/>
            <w:sz w:val="24"/>
            <w:szCs w:val="24"/>
          </w:rPr>
          <w:fldChar w:fldCharType="end"/>
        </w:r>
      </w:hyperlink>
    </w:p>
    <w:p w14:paraId="6C674F0A" w14:textId="7CAB92A1" w:rsidR="003008EF" w:rsidRPr="003008EF" w:rsidRDefault="009432A8" w:rsidP="00274F0A">
      <w:pPr>
        <w:pStyle w:val="TableofFigures"/>
        <w:tabs>
          <w:tab w:val="right" w:leader="underscore" w:pos="8210"/>
        </w:tabs>
        <w:spacing w:after="60"/>
        <w:ind w:left="709" w:hanging="709"/>
        <w:rPr>
          <w:rFonts w:ascii="Franklin Gothic Book" w:eastAsiaTheme="minorEastAsia" w:hAnsi="Franklin Gothic Book" w:cstheme="minorBidi"/>
          <w:i w:val="0"/>
          <w:iCs w:val="0"/>
          <w:noProof/>
          <w:sz w:val="24"/>
          <w:szCs w:val="24"/>
          <w:lang w:eastAsia="en-GB"/>
        </w:rPr>
      </w:pPr>
      <w:hyperlink w:anchor="_Toc486786342" w:history="1">
        <w:r w:rsidR="003008EF" w:rsidRPr="003008EF">
          <w:rPr>
            <w:rStyle w:val="Hyperlink"/>
            <w:rFonts w:ascii="Franklin Gothic Book" w:hAnsi="Franklin Gothic Book"/>
            <w:i w:val="0"/>
            <w:noProof/>
            <w:sz w:val="24"/>
            <w:szCs w:val="24"/>
          </w:rPr>
          <w:t>Table 7</w:t>
        </w:r>
        <w:r w:rsidR="003008EF" w:rsidRPr="003008EF">
          <w:rPr>
            <w:rStyle w:val="Hyperlink"/>
            <w:rFonts w:ascii="Franklin Gothic Book" w:hAnsi="Franklin Gothic Book"/>
            <w:i w:val="0"/>
            <w:noProof/>
            <w:sz w:val="24"/>
            <w:szCs w:val="24"/>
          </w:rPr>
          <w:t>.</w:t>
        </w:r>
        <w:r w:rsidR="003008EF" w:rsidRPr="003008EF">
          <w:rPr>
            <w:rStyle w:val="Hyperlink"/>
            <w:rFonts w:ascii="Franklin Gothic Book" w:hAnsi="Franklin Gothic Book"/>
            <w:i w:val="0"/>
            <w:noProof/>
            <w:sz w:val="24"/>
            <w:szCs w:val="24"/>
          </w:rPr>
          <w:t xml:space="preserve">7 Number of ALVEs identified in </w:t>
        </w:r>
        <w:r w:rsidR="003008EF">
          <w:rPr>
            <w:rStyle w:val="Hyperlink"/>
            <w:rFonts w:ascii="Franklin Gothic Book" w:hAnsi="Franklin Gothic Book"/>
            <w:i w:val="0"/>
            <w:noProof/>
            <w:sz w:val="24"/>
            <w:szCs w:val="24"/>
          </w:rPr>
          <w:t>the RJFs and ‘village’ chickens</w:t>
        </w:r>
        <w:r w:rsidR="003008EF" w:rsidRPr="003008EF">
          <w:rPr>
            <w:rStyle w:val="Hyperlink"/>
            <w:rFonts w:ascii="Franklin Gothic Book" w:hAnsi="Franklin Gothic Book"/>
            <w:i w:val="0"/>
            <w:noProof/>
            <w:sz w:val="24"/>
            <w:szCs w:val="24"/>
          </w:rPr>
          <w:t>.</w:t>
        </w:r>
        <w:r w:rsidR="003008EF" w:rsidRPr="003008EF">
          <w:rPr>
            <w:rFonts w:ascii="Franklin Gothic Book" w:hAnsi="Franklin Gothic Book"/>
            <w:i w:val="0"/>
            <w:noProof/>
            <w:webHidden/>
            <w:sz w:val="24"/>
            <w:szCs w:val="24"/>
          </w:rPr>
          <w:tab/>
        </w:r>
        <w:r w:rsidR="003008EF" w:rsidRPr="003008EF">
          <w:rPr>
            <w:rFonts w:ascii="Franklin Gothic Book" w:hAnsi="Franklin Gothic Book"/>
            <w:i w:val="0"/>
            <w:noProof/>
            <w:webHidden/>
            <w:sz w:val="24"/>
            <w:szCs w:val="24"/>
          </w:rPr>
          <w:fldChar w:fldCharType="begin" w:fldLock="1"/>
        </w:r>
        <w:r w:rsidR="003008EF" w:rsidRPr="003008EF">
          <w:rPr>
            <w:rFonts w:ascii="Franklin Gothic Book" w:hAnsi="Franklin Gothic Book"/>
            <w:i w:val="0"/>
            <w:noProof/>
            <w:webHidden/>
            <w:sz w:val="24"/>
            <w:szCs w:val="24"/>
          </w:rPr>
          <w:instrText xml:space="preserve"> PAGEREF _Toc486786342 \h </w:instrText>
        </w:r>
        <w:r w:rsidR="003008EF" w:rsidRPr="003008EF">
          <w:rPr>
            <w:rFonts w:ascii="Franklin Gothic Book" w:hAnsi="Franklin Gothic Book"/>
            <w:i w:val="0"/>
            <w:noProof/>
            <w:webHidden/>
            <w:sz w:val="24"/>
            <w:szCs w:val="24"/>
          </w:rPr>
        </w:r>
        <w:r w:rsidR="003008EF" w:rsidRPr="003008EF">
          <w:rPr>
            <w:rFonts w:ascii="Franklin Gothic Book" w:hAnsi="Franklin Gothic Book"/>
            <w:i w:val="0"/>
            <w:noProof/>
            <w:webHidden/>
            <w:sz w:val="24"/>
            <w:szCs w:val="24"/>
          </w:rPr>
          <w:fldChar w:fldCharType="separate"/>
        </w:r>
        <w:r w:rsidR="002C549C">
          <w:rPr>
            <w:rFonts w:ascii="Franklin Gothic Book" w:hAnsi="Franklin Gothic Book"/>
            <w:i w:val="0"/>
            <w:noProof/>
            <w:webHidden/>
            <w:sz w:val="24"/>
            <w:szCs w:val="24"/>
          </w:rPr>
          <w:t>2</w:t>
        </w:r>
        <w:r w:rsidR="003008EF" w:rsidRPr="003008EF">
          <w:rPr>
            <w:rFonts w:ascii="Franklin Gothic Book" w:hAnsi="Franklin Gothic Book"/>
            <w:i w:val="0"/>
            <w:noProof/>
            <w:webHidden/>
            <w:sz w:val="24"/>
            <w:szCs w:val="24"/>
          </w:rPr>
          <w:fldChar w:fldCharType="end"/>
        </w:r>
      </w:hyperlink>
      <w:r w:rsidR="00F5693B">
        <w:rPr>
          <w:rFonts w:ascii="Franklin Gothic Book" w:hAnsi="Franklin Gothic Book"/>
          <w:i w:val="0"/>
          <w:noProof/>
          <w:sz w:val="24"/>
          <w:szCs w:val="24"/>
        </w:rPr>
        <w:t>22</w:t>
      </w:r>
    </w:p>
    <w:p w14:paraId="036D4F8C" w14:textId="2A352036" w:rsidR="00961414" w:rsidRDefault="003008EF" w:rsidP="00274F0A">
      <w:pPr>
        <w:pStyle w:val="ListParagraph"/>
        <w:spacing w:after="60"/>
        <w:ind w:left="709" w:hanging="709"/>
      </w:pPr>
      <w:r w:rsidRPr="003008EF">
        <w:rPr>
          <w:rFonts w:ascii="Franklin Gothic Book" w:hAnsi="Franklin Gothic Book"/>
          <w:szCs w:val="24"/>
        </w:rPr>
        <w:fldChar w:fldCharType="end"/>
      </w:r>
    </w:p>
    <w:p w14:paraId="40ED30A5" w14:textId="63497120" w:rsidR="00FF3E5A" w:rsidRDefault="00FF3E5A" w:rsidP="00391005">
      <w:pPr>
        <w:pStyle w:val="ListParagraph"/>
      </w:pPr>
    </w:p>
    <w:p w14:paraId="1385D2C3" w14:textId="16AD0FEA" w:rsidR="00FE2022" w:rsidRDefault="00FE2022" w:rsidP="00391005">
      <w:pPr>
        <w:pStyle w:val="ListParagraph"/>
      </w:pPr>
    </w:p>
    <w:p w14:paraId="08483D42" w14:textId="7B267F24" w:rsidR="00FE2022" w:rsidRDefault="00FE2022" w:rsidP="00391005">
      <w:pPr>
        <w:pStyle w:val="ListParagraph"/>
      </w:pPr>
    </w:p>
    <w:p w14:paraId="0EE8752D" w14:textId="6759DE64" w:rsidR="00FE2022" w:rsidRDefault="00FE2022" w:rsidP="00391005">
      <w:pPr>
        <w:pStyle w:val="ListParagraph"/>
      </w:pPr>
    </w:p>
    <w:p w14:paraId="7DB59471" w14:textId="013A9EFC" w:rsidR="00FE2022" w:rsidRDefault="00FE2022" w:rsidP="00391005">
      <w:pPr>
        <w:pStyle w:val="ListParagraph"/>
      </w:pPr>
    </w:p>
    <w:p w14:paraId="40F1CF63" w14:textId="6359B602" w:rsidR="00FE2022" w:rsidRDefault="00FE2022" w:rsidP="00391005">
      <w:pPr>
        <w:pStyle w:val="ListParagraph"/>
      </w:pPr>
    </w:p>
    <w:p w14:paraId="03A84BB0" w14:textId="51B5593B" w:rsidR="00FE2022" w:rsidRDefault="00FE2022" w:rsidP="00391005">
      <w:pPr>
        <w:pStyle w:val="ListParagraph"/>
      </w:pPr>
    </w:p>
    <w:p w14:paraId="352CFFD4" w14:textId="3A0B13F3" w:rsidR="00FE2022" w:rsidRDefault="00FE2022" w:rsidP="00391005">
      <w:pPr>
        <w:pStyle w:val="ListParagraph"/>
      </w:pPr>
    </w:p>
    <w:p w14:paraId="560925A5" w14:textId="11BAA335" w:rsidR="00FE2022" w:rsidRDefault="00FE2022" w:rsidP="00391005">
      <w:pPr>
        <w:pStyle w:val="ListParagraph"/>
      </w:pPr>
    </w:p>
    <w:p w14:paraId="4013E146" w14:textId="7368FF8C" w:rsidR="00FE2022" w:rsidRDefault="00FE2022" w:rsidP="00391005">
      <w:pPr>
        <w:pStyle w:val="ListParagraph"/>
      </w:pPr>
    </w:p>
    <w:p w14:paraId="1E208137" w14:textId="469B5BBF" w:rsidR="00FE2022" w:rsidRDefault="00FE2022" w:rsidP="00391005">
      <w:pPr>
        <w:pStyle w:val="ListParagraph"/>
      </w:pPr>
    </w:p>
    <w:p w14:paraId="511B9556" w14:textId="24C9E925" w:rsidR="00FE2022" w:rsidRDefault="00FE2022" w:rsidP="00391005">
      <w:pPr>
        <w:pStyle w:val="ListParagraph"/>
      </w:pPr>
    </w:p>
    <w:p w14:paraId="7101F5BF" w14:textId="6B78CE31" w:rsidR="00FE2022" w:rsidRDefault="00FE2022" w:rsidP="00391005">
      <w:pPr>
        <w:pStyle w:val="ListParagraph"/>
      </w:pPr>
    </w:p>
    <w:p w14:paraId="148B0E03" w14:textId="73943D3C" w:rsidR="00FE2022" w:rsidRDefault="00FE2022" w:rsidP="00391005">
      <w:pPr>
        <w:pStyle w:val="ListParagraph"/>
      </w:pPr>
    </w:p>
    <w:p w14:paraId="18FE16AB" w14:textId="237DABF0" w:rsidR="00FE2022" w:rsidRDefault="00FE2022" w:rsidP="00391005">
      <w:pPr>
        <w:pStyle w:val="ListParagraph"/>
      </w:pPr>
    </w:p>
    <w:p w14:paraId="2739C9F7" w14:textId="06D8F90F" w:rsidR="00FE2022" w:rsidRDefault="00FE2022" w:rsidP="00391005">
      <w:pPr>
        <w:pStyle w:val="ListParagraph"/>
      </w:pPr>
    </w:p>
    <w:p w14:paraId="4CD776E9" w14:textId="77777777" w:rsidR="00FE2022" w:rsidRDefault="00FE2022" w:rsidP="00391005">
      <w:pPr>
        <w:pStyle w:val="ListParagraph"/>
      </w:pPr>
    </w:p>
    <w:p w14:paraId="3A1C09AD" w14:textId="77777777" w:rsidR="00961414" w:rsidRDefault="00961414" w:rsidP="00391005">
      <w:pPr>
        <w:pStyle w:val="ListParagraph"/>
        <w:sectPr w:rsidR="00961414" w:rsidSect="001B4326">
          <w:pgSz w:w="11906" w:h="16838"/>
          <w:pgMar w:top="1134" w:right="1418" w:bottom="2268" w:left="2268" w:header="709" w:footer="1066" w:gutter="0"/>
          <w:pgNumType w:fmt="lowerRoman"/>
          <w:cols w:space="708"/>
          <w:docGrid w:linePitch="360"/>
        </w:sectPr>
      </w:pPr>
    </w:p>
    <w:p w14:paraId="78976C54" w14:textId="61483211" w:rsidR="00743885" w:rsidRDefault="00604D77" w:rsidP="000C520D">
      <w:pPr>
        <w:pStyle w:val="Heading1"/>
      </w:pPr>
      <w:r>
        <w:lastRenderedPageBreak/>
        <w:t xml:space="preserve"> </w:t>
      </w:r>
      <w:bookmarkStart w:id="23" w:name="_Toc485721558"/>
      <w:bookmarkStart w:id="24" w:name="_Toc486787138"/>
      <w:bookmarkStart w:id="25" w:name="_Toc486787286"/>
      <w:r w:rsidR="000C520D">
        <w:t>Introduction</w:t>
      </w:r>
      <w:bookmarkEnd w:id="23"/>
      <w:bookmarkEnd w:id="24"/>
      <w:bookmarkEnd w:id="25"/>
    </w:p>
    <w:p w14:paraId="2976FC73" w14:textId="7C5A3A52" w:rsidR="00E2655A" w:rsidRDefault="008F54DE" w:rsidP="0091235E">
      <w:pPr>
        <w:pStyle w:val="ListParagraph"/>
      </w:pPr>
      <w:r>
        <w:t>Repetitive sequences in e</w:t>
      </w:r>
      <w:r w:rsidR="003734B0">
        <w:t>ukaryotic genomes</w:t>
      </w:r>
      <w:r w:rsidR="00CF78EE">
        <w:t xml:space="preserve"> </w:t>
      </w:r>
      <w:r w:rsidR="003734B0">
        <w:t xml:space="preserve">have been widely dismissed as ‘junk’ DNA, however recent functional genome annotation has revealed the great abundance, diversity, and evolutionary significance of these elements. This PhD project will more completely characterise repetitive elements with a retrovirus-like structure in </w:t>
      </w:r>
      <w:r w:rsidR="0091235E">
        <w:t>the chicken genome, including an assessment of recurrent retroviral integrations which detrimentally affect commercial poultry production. This chapter introduces these repetitive elements, and the chicken as a study species.</w:t>
      </w:r>
      <w:r w:rsidR="003734B0">
        <w:t xml:space="preserve"> </w:t>
      </w:r>
    </w:p>
    <w:p w14:paraId="65E4332C" w14:textId="77777777" w:rsidR="00E2655A" w:rsidRDefault="00E2655A" w:rsidP="00391005">
      <w:pPr>
        <w:pStyle w:val="ListParagraph"/>
      </w:pPr>
    </w:p>
    <w:p w14:paraId="6423CFB8" w14:textId="787DBF78" w:rsidR="000C520D" w:rsidRDefault="003C57E4" w:rsidP="00F43B64">
      <w:pPr>
        <w:pStyle w:val="Heading2"/>
      </w:pPr>
      <w:bookmarkStart w:id="26" w:name="_Toc485721559"/>
      <w:bookmarkStart w:id="27" w:name="_Toc486787139"/>
      <w:bookmarkStart w:id="28" w:name="_Toc486787287"/>
      <w:r>
        <w:t>LTR</w:t>
      </w:r>
      <w:r w:rsidR="00F43B64">
        <w:t xml:space="preserve"> retrotransposons</w:t>
      </w:r>
      <w:bookmarkEnd w:id="26"/>
      <w:bookmarkEnd w:id="27"/>
      <w:bookmarkEnd w:id="28"/>
    </w:p>
    <w:p w14:paraId="4D6DCC00" w14:textId="2D19C616" w:rsidR="00323277" w:rsidRDefault="009C2BF5" w:rsidP="00323277">
      <w:pPr>
        <w:pStyle w:val="ListParagraph"/>
      </w:pPr>
      <w:r>
        <w:t>Eukaryotic repe</w:t>
      </w:r>
      <w:r w:rsidR="00D97416">
        <w:t>titive DNA</w:t>
      </w:r>
      <w:r>
        <w:t xml:space="preserve"> </w:t>
      </w:r>
      <w:r w:rsidR="00D97416">
        <w:t>ranges from</w:t>
      </w:r>
      <w:r>
        <w:t xml:space="preserve"> low-complexity</w:t>
      </w:r>
      <w:r w:rsidR="00D97416">
        <w:t>,</w:t>
      </w:r>
      <w:r>
        <w:t xml:space="preserve"> </w:t>
      </w:r>
      <w:r w:rsidR="00D97416">
        <w:t xml:space="preserve">short nucleotide repeats, to large, replication-competent transposable elements which can move around the genome. </w:t>
      </w:r>
      <w:r w:rsidR="000F6E90">
        <w:t>T</w:t>
      </w:r>
      <w:r w:rsidR="00323277">
        <w:t xml:space="preserve">ransposable elements are divided into two major groups depending on whether they replicate via an RNA intermediate (class I; retrotransposons) or a DNA intermediate (class II; DNA transposons). Most class II elements jump around the genome by excising and then inserting in a new location (‘cut and paste’), whereas class I elements retrotranspose, producing a new element copy which then inserts at a different location (‘copy and paste’), propagating the genomic content of these elements and resulting in high copy numbers. There are no cellular mechanisms for the clean excision of retrotransposons from the genome </w:t>
      </w:r>
      <w:r w:rsidR="00323277">
        <w:fldChar w:fldCharType="begin" w:fldLock="1"/>
      </w:r>
      <w:r w:rsidR="00323277">
        <w:instrText>ADDIN CSL_CITATION { "citationItems" : [ { "id" : "ITEM-1", "itemData" : { "author" : [ { "dropping-particle" : "", "family" : "Havecker", "given" : "ER", "non-dropping-particle" : "", "parse-names" : false, "suffix" : "" }, { "dropping-particle" : "", "family" : "Gao", "given" : "Xiang", "non-dropping-particle" : "", "parse-names" : false, "suffix" : "" }, { "dropping-particle" : "", "family" : "Voytas", "given" : "DF", "non-dropping-particle" : "", "parse-names" : false, "suffix" : "" } ], "container-title" : "Genome Biology", "id" : "ITEM-1", "issue" : "6", "issued" : { "date-parts" : [ [ "2004" ] ] }, "note" : "Only difference between retrotransposons and retroviruses is that the retrotransposon lifestyle is totally intracellular. \n\n\nThe gag of retrotransposons forms the virus-like particle (VLP) inside which reverse transcription occurs. \n\n\nAll phylogeny construction appears to be based on the rt domain - and this has also been used for classification by the Internal Committee on Taxonomy of Viruses. This means, that for the full length elements at least, this is a field standard and should probably be followed for greatest comparability within the literature.\n\n\nThe coding region order in the pol gene makes the Metaviridae (gypsy/ty3) different from the rest (PR-IN-RT rather than the 'standard' PR-RT-IN found in copia/ty1 and retroviruses). However, the Gmr1 retrotransposon from cod falls within the copia/ty1 (pseudoviridae) baed on rt sequence, but has the metaviridae pol order. \n\n\nDIRS group is weird - lack protease and have a tyrosine recombinase rather than an integrase.\n\n\nSemotiviruses were originally classed as a group within the Metaviridae (gyspy). But they are know known as bel/pao elements and seen as a more basal group to DIRS rather than falling with the other metaviridae. \n\n\nenv-like ORFs appear to be widespread\n\n\nThere are non-autonomous LTR retrotransposons due to serial deletions of the internal sections. These include LARDS (large retrotransposon derivatives) and TRIMs (Terminal-repeat retrotransposons in miniature) which are widespread in plants, not forming monophyletyic groups but rather being related to existing groups. Although in many cases it is not known exactly how these elements move, it has been shown in some cases that a close relative (a more complete element) is responsible for the movement of degraded LARDS or TRIMs. TRIMs are very small (about 540bp in total) whereas LARDS have LTRs of about 4.5kb and internal regions adding up to about 3.5kb - this makes them larger than the standard ERV or retrotransposon.", "page" : "225", "title" : "The diversity of LTR retrotransposons", "type" : "article-journal", "volume" : "5" }, "uris" : [ "http://www.mendeley.com/documents/?uuid=8bfbac23-5855-4aee-9f19-8a7b6300904a" ] }, { "id" : "ITEM-2",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"ITEM-2",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"(Havecker et al. 2004; Stoye 2012)", "plainTextFormattedCitation" : "(Havecker et al. 2004; Stoye 2012)", "previouslyFormattedCitation" : "(Havecker et al. 2004; Stoye 2012)" }, "properties" : { "noteIndex" : 0 }, "schema" : "https://github.com/citation-style-language/schema/raw/master/csl-citation.json" }</w:instrText>
      </w:r>
      <w:r w:rsidR="00323277">
        <w:fldChar w:fldCharType="separate"/>
      </w:r>
      <w:r w:rsidR="00323277" w:rsidRPr="003A4479">
        <w:rPr>
          <w:noProof/>
        </w:rPr>
        <w:t>(Havecker et al. 2004; Stoye 2012)</w:t>
      </w:r>
      <w:r w:rsidR="00323277">
        <w:fldChar w:fldCharType="end"/>
      </w:r>
      <w:r w:rsidR="00323277">
        <w:t xml:space="preserve">. </w:t>
      </w:r>
    </w:p>
    <w:p w14:paraId="0C588E28" w14:textId="1A114514" w:rsidR="00D97416" w:rsidRDefault="00323277" w:rsidP="00391005">
      <w:pPr>
        <w:pStyle w:val="ListParagraph"/>
      </w:pPr>
      <w:r>
        <w:t xml:space="preserve">Class I retrotransposons are divided into long terminal repeat (LTR) retrotransposons and the potentially more ancestral non-LTR retrotransposons </w:t>
      </w:r>
      <w:r>
        <w:fldChar w:fldCharType="begin" w:fldLock="1"/>
      </w:r>
      <w:r>
        <w:instrText>ADDIN CSL_CITATION { "citationItems" : [ { "id" : "ITEM-1", "itemData" : { "ISSN" : "0016-6707", "PMID" : "9440272", "abstract" : "The Ty1-copia group of LTR retrotransposons has been studied extensively in yeast and Drosophila, the organisms in which they were first discovered, and more recently in higher plant and vertebrate species. Their properties, such as copy number, sequence homogeneity, transcriptional and transpositional activity vary greatly between these different hosts. We will try to resolve these apparent discrepancies between these properties, explain any fundamental differences in the biology of the Ty1-copia group between hosts, and propose a general model for LTR retrotransposon evolution.", "author" : [ { "dropping-particle" : "", "family" : "Flavell", "given" : "a J", "non-dropping-particle" : "", "parse-names" : false, "suffix" : "" }, { "dropping-particle" : "", "family" : "Pearce", "given" : "S R", "non-dropping-particle" : "", "parse-names" : false, "suffix" : "" }, { "dropping-particle" : "", "family" : "Heslop-Harrison", "given" : "P", "non-dropping-particle" : "", "parse-names" : false, "suffix" : "" }, { "dropping-particle" : "", "family" : "Kumar", "given" : "A", "non-dropping-particle" : "", "parse-names" : false, "suffix" : "" } ], "container-title" : "Genetica", "id" : "ITEM-1", "issued" : { "date-parts" : [ [ "1997", "1" ] ] }, "note" : "Suggested that non-LTR retrotransposons are primitive and ancestral to LTR retrotransposons. \n\n        \nGypsy (the original element from Drosophila) has been shown to be transmissable, as have other elements in the family with an env gene. This makes sense as the Metaviridae are from within the retroviruses when the rt domains are treed out. \n\n        \nAuthors suggest that the copia and gypsy lineages split and then env was acquired by the gypsy lineage allowing evolution of &amp;#039;true&amp;#039; extracellular viruses. \n\n        \nReptiles (a couple of iguanids and several snake species analysed) appear to have lots of copia elements. \nNot possible to find a correlation between the concept of &amp;quot;evolutionary complexity&amp;quot; and abundance of elements. Transposable activity greatley varies dependent on hosty species. \n\n        \nVery unlikely that horizontal transfer of copia elements is occuring. \n\n        \nElement heterogeneity is dependent on copy number - where elements with larger copy number will be more heterogeneous. Copy number is likely to fluctuate over periods of just a few million years (depending on Ne and gen time) and is very likely to be influenced quickyl and heavily by periods of genome contraction and expansion.", "page" : "185-95", "title" : "The evolution of Ty1-copia group retrotransposons in eukaryote genomes.", "type" : "article-journal", "volume" : "100" }, "uris" : [ "http://www.mendeley.com/documents/?uuid=bff32704-4a62-4dbc-8e5c-59c0e02f93ba" ] }, { "id" : "ITEM-2", "itemData" : { "DOI" : "10.1016/j.gene.2004.12.017", "ISSN" : "0378-1119", "PMID" : "15777633", "abstract" : "Chromoviruses, chromodomain-containing retrotransposons, are the only Metaviridae (Ty3/gypsy group of retrotransposons) clade with a Eukaryota-wide distribution. They have a common evolutionary origin and are the most prolific and diverse Metaviridae clade. The fusion of a retrotransposon and a chromodomain, was most probably responsible for their extreme evolutionary success in Eukaryota. Analysis of the massive amount of genome sequence data for different eukaryotic lineages has provided an in depth insight into the diversity, evolution, neofunctionalization, high rate of genomic turnover and origin of chromoviruses in Eukaryota. This review attempts to summarise the unique aspects of chromoviruses from a genomic perspective.", "author" : [ { "dropping-particle" : "", "family" : "Kordis", "given" : "Dusan", "non-dropping-particle" : "", "parse-names" : false, "suffix" : "" } ], "container-title" : "Gene", "id" : "ITEM-2", "issue" : "2", "issued" : { "date-parts" : [ [ "2005", "3", "14" ] ] }, "page" : "161-73", "title" : "A genomic perspective on the chromodomain-containing retrotransposons: Chromoviruses.", "type" : "article-journal", "volume" : "347" }, "uris" : [ "http://www.mendeley.com/documents/?uuid=8eb23bd8-d434-4a5e-ba5e-680c659962f1" ] } ], "mendeley" : { "formattedCitation" : "(Flavell et al. 1997; Kordis 2005)", "plainTextFormattedCitation" : "(Flavell et al. 1997; Kordis 2005)", "previouslyFormattedCitation" : "(Flavell et al. 1997; Kordis 2005)" }, "properties" : { "noteIndex" : 0 }, "schema" : "https://github.com/citation-style-language/schema/raw/master/csl-citation.json" }</w:instrText>
      </w:r>
      <w:r>
        <w:fldChar w:fldCharType="separate"/>
      </w:r>
      <w:r w:rsidRPr="003A4479">
        <w:rPr>
          <w:noProof/>
        </w:rPr>
        <w:t>(Flavell et al. 1997; Kordis 2005)</w:t>
      </w:r>
      <w:r>
        <w:fldChar w:fldCharType="end"/>
      </w:r>
      <w:r>
        <w:t xml:space="preserve">. LTR retrotransposons are </w:t>
      </w:r>
      <w:r w:rsidR="000F6E90">
        <w:t xml:space="preserve">a </w:t>
      </w:r>
      <w:r>
        <w:t>diverse</w:t>
      </w:r>
      <w:r w:rsidR="000F6E90">
        <w:t xml:space="preserve"> group of autonomous elements (sequences which can move by themselves)</w:t>
      </w:r>
      <w:r>
        <w:t xml:space="preserve"> </w:t>
      </w:r>
      <w:r w:rsidR="003C57E4">
        <w:t>abun</w:t>
      </w:r>
      <w:r w:rsidR="008F54DE">
        <w:t>dant in e</w:t>
      </w:r>
      <w:r>
        <w:t>ukaryotic genomes. A</w:t>
      </w:r>
      <w:r w:rsidR="003C57E4">
        <w:t>pproximately 10 % of the mammalian genome consists of LTR retrotransposon-derived elements, but in some lineages, such as many plants</w:t>
      </w:r>
      <w:r w:rsidR="000F05EA">
        <w:t xml:space="preserve"> (</w:t>
      </w:r>
      <w:r w:rsidR="000F05EA">
        <w:rPr>
          <w:i/>
        </w:rPr>
        <w:t xml:space="preserve">e.g. </w:t>
      </w:r>
      <w:r w:rsidR="004A6A87">
        <w:t>conifers</w:t>
      </w:r>
      <w:r w:rsidR="000F05EA">
        <w:t>)</w:t>
      </w:r>
      <w:r w:rsidR="003C57E4">
        <w:t xml:space="preserve"> and amphibians</w:t>
      </w:r>
      <w:r w:rsidR="000F05EA">
        <w:t xml:space="preserve"> (</w:t>
      </w:r>
      <w:r w:rsidR="000F05EA">
        <w:rPr>
          <w:i/>
        </w:rPr>
        <w:t xml:space="preserve">e.g. </w:t>
      </w:r>
      <w:r w:rsidR="000F05EA">
        <w:t>plethodontid salamanders)</w:t>
      </w:r>
      <w:r w:rsidR="003C57E4">
        <w:t xml:space="preserve">, these can account for 80 – 90 % of the genomic DNA </w:t>
      </w:r>
      <w:r w:rsidR="003C57E4">
        <w:fldChar w:fldCharType="begin" w:fldLock="1"/>
      </w:r>
      <w:r w:rsidR="009B2B3F">
        <w:instrText>ADDIN CSL_CITATION { "citationItems" : [ { "id" : "ITEM-1", "itemData" : { "DOI" : "10.1159/000113321", "ISBN" : "0006-8977 (Print)\\n0006-8977 (Linking)", "ISSN" : "0006-8977", "PMID" : "9209766", "abstract" : "Compared to other vertebrates, even including lampreys and hagfishes in some respects, salamanders exhibit a relatively simple organization of brain and sense organs which is illustrated here using the visual system as an example. The greatest simplicity is found in the bolitoglossine salamanders, yet all bolitoglossines possess highly projectile tongues and rely on vision for survival; furthermore, some species are agile and acrobatic. The unusual features of the visual system of salamanders include small numbers of large neurons, a low degree of morphological differentiation among neurons, a small proportion of myelinated axons in the optic nerve, and an optic tectum consisting essentially of a periventricular cellular layer and a superficial fiber layer. Similar features are found throughout the central nervous system of salamanders and in the lateral line, auditory and olfactory systems as well. Phylogenetic analysis shows that the most parsimonious interpretation of these data is that the simple organization of the brain and sense organs of salamanders was derived secondarily from a more complex ancestral state. We hypothesize that increased genome size has led to simplification of the nervous system in salamanders. Increased genome size appears to have had profound effects on neural development in salamanders, leading to paedomorphosis, the retention of juvenile or even embryonic characteristics into adulthood. In particular, large genome size is associated with large cell size and reduced rates of cell proliferation, migration and differentiation. Secondary simplification has constrained the function of the salamanders' visual system, primarily by increasing cell size and decreasing cell numbers. However, it also has provided an opportunity for the evolution of compensating mechanisms, which have helped to restore or even enhance visual function. Most apparent among the compensatory mechanisms of bolitoglossine salamanders is the presence of well developed ipsilateral retinotectal projections, which apparently enhance depth perception. It is difficult to explain the unusual history of the nervous system in salamanders solely in terms of natural selection and adaptation. Increasing genome size through selfish replication appears to have played a major role in the evolution of salamander brains by imposing functional constraints as well as creating opportunities for overcoming them.", "author" : [ { "dropping-particle" : "", "family" : "Roth", "given" : "G", "non-dropping-particle" : "", "parse-names" : false, "suffix" : "" }, { "dropping-particle" : "", "family" : "Nishikawa", "given" : "K C", "non-dropping-particle" : "", "parse-names" : false, "suffix" : "" }, { "dropping-particle" : "", "family" : "Wake", "given" : "D B", "non-dropping-particle" : "", "parse-names" : false, "suffix" : "" } ], "container-title" : "Brain, behavior and evolution", "id" : "ITEM-1", "issue" : "1", "issued" : { "date-parts" : [ [ "1997" ] ] }, "page" : "50-59", "title" : "Genome size, secondary simplification, and the evolution of the brain in salamanders.", "type" : "article-journal", "volume" : "50" }, "uris" : [ "http://www.mendeley.com/documents/?uuid=cb6646d3-4379-4bc4-b424-5f700c728fa2" ] }, { "id" : "ITEM-2", "itemData" : { "DOI" : "10.1016/S0169-5347(01)02394-1", "ISSN" : "01695347", "author" : [ { "dropping-particle" : "", "family" : "Bromham", "given" : "Lindell", "non-dropping-particle" : "", "parse-names" : false, "suffix" : "" } ], "container-title" : "Trends in Ecology &amp; Evolution", "id" : "ITEM-2", "issue" : "2", "issued" : { "date-parts" : [ [ "2002", "2" ] ] }, "note" : "Five fates for viral DNA within the genome:\n1) retains ability to produce viral particles \n2) retains transpositional ability\n3) viral sequence co-opted into host genomic function\n4) viral sequence decays into &amp;#039;junk&amp;#039; \n5) excision from the DNA - either totally or leaving a solo LTR sequence\nThese fates are not mutually exclusive.\n\n        \nDecent review - not much new stuff.", "page" : "91-97", "title" : "The human zoo: endogenous retroviruses in the human genome", "type" : "article-journal", "volume" : "17" }, "uris" : [ "http://www.mendeley.com/documents/?uuid=1237f20e-0a17-4fe9-a650-43031968c7ea" ] }, { "id" : "ITEM-3", "itemData" : { "ISSN" : "1465-6914", "PMID" : "12372141", "abstract" : "BACKGROUND: Long terminal repeat (LTR) retrotransposons constitute a major fraction of the genomes of higher plants. For example, retrotransposons comprise more than 50% of the maize genome and more than 90% of the wheat genome. LTR retrotransposons are believed to have contributed significantly to the evolution of genome structure and function. The genome sequencing of selected experimental and agriculturally important species is providing an unprecedented opportunity to view the patterns of variation existing among the entire complement of retrotransposons in complete genomes.\n\nRESULTS: Using a new data-mining program, LTR_STRUC, (LTR retrotransposon structure program), we have mined the GenBank rice (Oryza sativa) database as well as the more extensive (259 Mb) Monsanto rice dataset for LTR retrotransposons. Almost two-thirds (37) of the 59 families identified consist of copia-like elements, but gypsy-like elements outnumber copia-like elements by a ratio of approximately 2:1. At least 17% of the rice genome consists of LTR retrotransposons. In addition to the ubiquitous gypsy- and copia-like classes of LTR retrotransposons, the rice genome contains at least two novel families of unusually small, non-coding (non-autonomous) LTR retrotransposons.\n\nCONCLUSIONS: Each of the major clades of rice LTR retrotransposons is more closely related to elements present in other species than to the other clades of rice elements, suggesting that horizontal transfer may have occurred over the evolutionary history of rice LTR retrotransposons. Like LTR retrotransposons in other species with relatively small genomes, many rice LTR retrotransposons are relatively young, indicating a high rate of turnover.", "author" : [ { "dropping-particle" : "", "family" : "McCarthy", "given" : "Eugene M", "non-dropping-particle" : "", "parse-names" : false, "suffix" : "" }, { "dropping-particle" : "", "family" : "Liu", "given" : "Jingdong", "non-dropping-particle" : "", "parse-names" : false, "suffix" : "" }, { "dropping-particle" : "", "family" : "Lizhi", "given" : "Gao", "non-dropping-particle" : "", "parse-names" : false, "suffix" : "" }, { "dropping-particle" : "", "family" : "McDonald", "given" : "John F", "non-dropping-particle" : "", "parse-names" : false, "suffix" : "" } ], "container-title" : "Genome biology", "id" : "ITEM-3", "issue" : "10", "issued" : { "date-parts" : [ [ "2002", "9", "13" ] ] }, "note" : "Read. Annotated in the methods review.", "page" : "RESEARCH0053", "title" : "Long terminal repeat retrotransposons of Oryza sativa.", "type" : "article-journal", "volume" : "3" }, "uris" : [ "http://www.mendeley.com/documents/?uuid=da71847e-920b-4579-b704-28a6e9b9635a" ] }, { "id" : "ITEM-4", "itemData" : { "DOI" : "10.1186/gb-2004-5-3-r14", "ISSN" : "1465-6914", "PMID" : "15003117", "abstract" : "BACKGROUND: Long terminal repeat (LTR) retrotransposons make up a large fraction of the typical mammalian genome. They comprise about 8% of the human genome and approximately 10% of the mouse genome. On account of their abundance, LTR retrotransposons are believed to hold major significance for genome structure and function. Recent advances in genome sequencing of a variety of model organisms has provided an unprecedented opportunity to evaluate better the diversity of LTR retrotransposons resident in eukaryotic genomes.\n\nRESULTS: Using a new data-mining program, LTR_STRUC, in conjunction with conventional techniques, we have mined the GenBank mouse (Mus musculus) database and the more complete Ensembl mouse dataset for LTR retrotransposons. We report here that the M. musculus genome contains at least 21 separate families of LTR retrotransposons; 13 of these families are described here for the first time.\n\nCONCLUSIONS: All families of mouse LTR retrotransposons are members of the gypsy-like superfamily of retroviral-like elements. Several different families of unrelated non-autonomous elements were identified, suggesting that the evolution of non-autonomy may be a common event. High sequence similarity between several LTR retrotransposons identified in this study and those found in distantly-related species suggests that horizontal transfer has been a significant factor in the evolution of mouse LTR retrotransposons.", "author" : [ { "dropping-particle" : "", "family" : "McCarthy", "given" : "Eugene M", "non-dropping-particle" : "", "parse-names" : false, "suffix" : "" }, { "dropping-particle" : "", "family" : "McDonald", "given" : "John F", "non-dropping-particle" : "", "parse-names" : false, "suffix" : "" } ], "container-title" : "Genome biology", "id" : "ITEM-4", "issue" : "3", "issued" : { "date-parts" : [ [ "2004", "1" ] ] }, "note" : "Read.", "page" : "R14", "title" : "Long terminal repeat retrotransposons of Mus musculus.", "type" : "article-journal", "volume" : "5" }, "uris" : [ "http://www.mendeley.com/documents/?uuid=0eb079f4-ddf7-4a3b-ad98-8a6dc3b39406" ] }, { "id" : "ITEM-5", "itemData" : { "author" : [ { "dropping-particle" : "", "family" : "Havecker", "given" : "ER", "non-dropping-particle" : "", "parse-names" : false, "suffix" : "" }, { "dropping-particle" : "", "family" : "Gao", "given" : "Xiang", "non-dropping-particle" : "", "parse-names" : false, "suffix" : "" }, { "dropping-particle" : "", "family" : "Voytas", "given" : "DF", "non-dropping-particle" : "", "parse-names" : false, "suffix" : "" } ], "container-title" : "Genome Biology", "id" : "ITEM-5", "issue" : "6", "issued" : { "date-parts" : [ [ "2004" ] ] }, "note" : "Only difference between retrotransposons and retroviruses is that the retrotransposon lifestyle is totally intracellular. \n\n\nThe gag of retrotransposons forms the virus-like particle (VLP) inside which reverse transcription occurs. \n\n\nAll phylogeny construction appears to be based on the rt domain - and this has also been used for classification by the Internal Committee on Taxonomy of Viruses. This means, that for the full length elements at least, this is a field standard and should probably be followed for greatest comparability within the literature.\n\n\nThe coding region order in the pol gene makes the Metaviridae (gypsy/ty3) different from the rest (PR-IN-RT rather than the 'standard' PR-RT-IN found in copia/ty1 and retroviruses). However, the Gmr1 retrotransposon from cod falls within the copia/ty1 (pseudoviridae) baed on rt sequence, but has the metaviridae pol order. \n\n\nDIRS group is weird - lack protease and have a tyrosine recombinase rather than an integrase.\n\n\nSemotiviruses were originally classed as a group within the Metaviridae (gyspy). But they are know known as bel/pao elements and seen as a more basal group to DIRS rather than falling with the other metaviridae. \n\n\nenv-like ORFs appear to be widespread\n\n\nThere are non-autonomous LTR retrotransposons due to serial deletions of the internal sections. These include LARDS (large retrotransposon derivatives) and TRIMs (Terminal-repeat retrotransposons in miniature) which are widespread in plants, not forming monophyletyic groups but rather being related to existing groups. Although in many cases it is not known exactly how these elements move, it has been shown in some cases that a close relative (a more complete element) is responsible for the movement of degraded LARDS or TRIMs. TRIMs are very small (about 540bp in total) whereas LARDS have LTRs of about 4.5kb and internal regions adding up to about 3.5kb - this makes them larger than the standard ERV or retrotransposon.", "page" : "225", "title" : "The diversity of LTR retrotransposons", "type" : "article-journal", "volume" : "5" }, "uris" : [ "http://www.mendeley.com/documents/?uuid=8bfbac23-5855-4aee-9f19-8a7b6300904a" ] }, { "id" : "ITEM-6", "itemData" : { "DOI" : "10.1159/000084941", "ISBN" : "1424-8581", "ISSN" : "14248581", "PMID" : "16093661", "abstract" : "Long Terminal Repeat (LTR) retrotransposons are ubiquitous components of plant genomes. Because of their copy-and-paste mode of transposition, these elements tend to increase their copy number while they are active. In addition, it is now well established that the differences in genome size observed in the plant kingdom are accompanied by variations in LTR retrotransposon content, suggesting that LTR retrotransposons might be important players in the evolution of plant genome size, along with polyploidy. The recent availability of large genomic sequences for many crop species has made it possible to examine in detail how LTR retrotransposons actually drive genomic changes in plants. In the present paper, we provide a review of the recent publications that have contributed to the knowledge of plant LTR retrotransposons, as structural components of the genomes, as well as from an evolutionary genomic perspective. These studies have shown that plant genomes undergo genome size increases through bursts of retrotransposition, while there is a counteracting process that tends to eliminate the transposed copies from the genomes. This process involves recombination mechanisms that occur either between the LTRs of the elements, leading to the formation of solo-LTRs, or between direct repeats anywhere in the sequence of the element, leading to internal deletions. All these studies have led to the emergence of a new model for plant genome evolution that takes into account both genome size increases (through retrotransposition) and decreases (through solo-LTR and deletion formation). In the conclusion, we discuss this new model and present the future prospects in the study of plant genome evolution in relation to the activity of transposable elements.", "author" : [ { "dropping-particle" : "", "family" : "Vitte", "given" : "C.", "non-dropping-particle" : "", "parse-names" : false, "suffix" : "" }, { "dropping-particle" : "", "family" : "Panaud", "given" : "O.", "non-dropping-particle" : "", "parse-names" : false, "suffix" : "" } ], "container-title" : "Cytogenetic and Genome Research", "id" : "ITEM-6", "issue" : "1-4", "issued" : { "date-parts" : [ [ "2005" ] ] }, "page" : "91-107", "title" : "LTR retrotransposons and flowering plant genome size: Emergence of the increase/decrease model", "type" : "article-journal", "volume" : "110" }, "uris" : [ "http://www.mendeley.com/documents/?uuid=6104b848-c324-4b77-9e77-b9f4472c39b8" ] }, { "id" : "ITEM-7", "itemData" : { "DOI" : "10.1093/nar/gkl780", "ISBN" : "1362-4962 (Electronic)", "ISSN" : "03051048", "PMID" : "17071960", "abstract" : "Long terminal repeat (LTR)-retrotransposons comprise a significant portion of the rice genome. Their complete characterization is thus necessary if the sequenced genome is to be annotated correctly. In addition, because LTR-retrotransposons can influence the expression of neighboring genes, the complete identification of these elements in the rice genome is essential in order to study their putative functional interactions with the plant genes. The aims of the database are to (i) Assemble a comprehensive dataset of LTR-retrotransposons that includes not only abundant elements, but also low copy number elements. (ii) Provide an interface to efficiently access the resources stored in the database. This interface should also allow the community to annotate these elements. (iii) Provide a means for identifying LTR-retrotransposons inserted near genes. Here we present the results, where 242 complete LTR-retrotransposons have been structurally and functionally annotated. A web interface to the database has been made available (http://www.retroryza.org/), through which the user can annotate a sequence or search for LTR-retrotransposons in the neighborhood of a gene of interest.", "author" : [ { "dropping-particle" : "", "family" : "Chaparro", "given" : "Cristian", "non-dropping-particle" : "", "parse-names" : false, "suffix" : "" }, { "dropping-particle" : "", "family" : "Guyot", "given" : "Romain", "non-dropping-particle" : "", "parse-names" : false, "suffix" : "" }, { "dropping-particle" : "", "family" : "Zuccolo", "given" : "Andrea", "non-dropping-particle" : "", "parse-names" : false, "suffix" : "" }, { "dropping-particle" : "", "family" : "Pi\u00e9gu", "given" : "Beno\u00eet", "non-dropping-particle" : "", "parse-names" : false, "suffix" : "" }, { "dropping-particle" : "", "family" : "Panaud", "given" : "Olivier", "non-dropping-particle" : "", "parse-names" : false, "suffix" : "" } ], "container-title" : "Nucleic Acids Research", "id" : "ITEM-7", "issue" : "SUPPL. 1", "issued" : { "date-parts" : [ [ "2007" ] ] }, "page" : "66-70", "title" : "RetrOryza: A database of the rice LTR-retrotransposons", "type" : "article-journal", "volume" : "35" }, "uris" : [ "http://www.mendeley.com/documents/?uuid=08b29052-a39c-4656-9bb0-d2c1a33b0b18" ] }, { "id" : "ITEM-8", "itemData" : { "DOI" : "10.1093/gbe/evr139", "ISBN" : "22200636", "ISSN" : "17596653", "PMID" : "22200636", "abstract" : "Among vertebrates, most of the largest genomes are found within the salamanders, a clade of amphibians that includes 613 species. Salamander genome sizes range from ~14 to ~120 Gb. Because genome size is correlated with nucleus and cell sizes, as well as other traits, morphological evolution in salamanders has been profoundly affected by genomic gigantism. However, the molecular mechanisms driving genomic expansion in this clade remain largely unknown. Here, we present the first comparative analysis of transposable element (TE) content in salamanders. Using high-throughput sequencing, we generated genomic shotgun data for six species from the Plethodontidae, the largest family of salamanders. We then developed a pipeline to mine TE sequences from shotgun data in taxa with limited genomic resources, such as salamanders. Our summaries of overall TE abundance and diversity for each species demonstrate that TEs make up a substantial portion of salamander genomes, and that all of the major known types of TEs are represented in salamanders. The most abundant TE superfamilies found in the genomes of our six focal species are similar, despite substantial variation in genome size. However, our results demonstrate a major difference between salamanders and other vertebrates: salamander genomes contain much larger amounts of long terminal repeat (LTR) retrotransposons, primarily Ty3/gypsy elements. Thus, the extreme increase in genome size that occurred in salamanders was likely accompanied by a shift in TE landscape. These results suggest that increased proliferation of LTR retrotransposons was a major molecular mechanism contributing to genomic expansion in salamanders.", "author" : [ { "dropping-particle" : "", "family" : "Sun", "given" : "Cheng", "non-dropping-particle" : "", "parse-names" : false, "suffix" : "" }, { "dropping-particle" : "", "family" : "Shepard", "given" : "Donald B.", "non-dropping-particle" : "", "parse-names" : false, "suffix" : "" }, { "dropping-particle" : "", "family" : "Chong", "given" : "Rebecca A.", "non-dropping-particle" : "", "parse-names" : false, "suffix" : "" }, { "dropping-particle" : "", "family" : "Arriaza", "given" : "Jos?? L??pez", "non-dropping-particle" : "", "parse-names" : false, "suffix" : "" }, { "dropping-particle" : "", "family" : "Hall", "given" : "Kathryn", "non-dropping-particle" : "", "parse-names" : false, "suffix" : "" }, { "dropping-particle" : "", "family" : "Castoe", "given" : "Todd A.", "non-dropping-particle" : "", "parse-names" : false, "suffix" : "" }, { "dropping-particle" : "", "family" : "Feschotte", "given" : "C??dric", "non-dropping-particle" : "", "parse-names" : false, "suffix" : "" }, { "dropping-particle" : "", "family" : "Pollock", "given" : "David D.", "non-dropping-particle" : "", "parse-names" : false, "suffix" : "" }, { "dropping-particle" : "", "family" : "Mueller", "given" : "Rachel Lockridge", "non-dropping-particle" : "", "parse-names" : false, "suffix" : "" } ], "container-title" : "Genome Biology and Evolution", "id" : "ITEM-8", "issue" : "2", "issued" : { "date-parts" : [ [ "2012" ] ] }, "page" : "168-183", "title" : "LTR retrotransposons contribute to genomic gigantism in plethodontid salamanders", "type" : "article-journal", "volume" : "4" }, "uris" : [ "http://www.mendeley.com/documents/?uuid=d9bd8703-fb6e-490a-8e11-321b676b2d9c" ] } ], "mendeley" : { "formattedCitation" : "(Roth et al. 1997; Bromham 2002; McCarthy et al. 2002; McCarthy &amp; McDonald 2004; Havecker et al. 2004; Vitte &amp; Panaud 2005; Chaparro et al. 2007; Sun et al. 2012)", "plainTextFormattedCitation" : "(Roth et al. 1997; Bromham 2002; McCarthy et al. 2002; McCarthy &amp; McDonald 2004; Havecker et al. 2004; Vitte &amp; Panaud 2005; Chaparro et al. 2007; Sun et al. 2012)", "previouslyFormattedCitation" : "(Roth et al. 1997; Bromham 2002; McCarthy et al. 2002; McCarthy &amp; McDonald 2004; Havecker et al. 2004; Vitte &amp; Panaud 2005; Chaparro et al. 2007; Sun et al. 2012)" }, "properties" : { "noteIndex" : 0 }, "schema" : "https://github.com/citation-style-language/schema/raw/master/csl-citation.json" }</w:instrText>
      </w:r>
      <w:r w:rsidR="003C57E4">
        <w:fldChar w:fldCharType="separate"/>
      </w:r>
      <w:r w:rsidR="003C57E4" w:rsidRPr="003C57E4">
        <w:rPr>
          <w:noProof/>
        </w:rPr>
        <w:t>(Roth et al. 1997; Bromham 2002; McCarthy et al. 2002; McCarthy &amp; McDonald 2004; Havecker et al. 2004; Vitte &amp; Panaud 2005; Chaparro et al. 2007; Sun et al. 2012</w:t>
      </w:r>
      <w:r w:rsidR="004A6A87">
        <w:rPr>
          <w:noProof/>
        </w:rPr>
        <w:t>; Nystedt et al 2013</w:t>
      </w:r>
      <w:r w:rsidR="003C57E4" w:rsidRPr="003C57E4">
        <w:rPr>
          <w:noProof/>
        </w:rPr>
        <w:t>)</w:t>
      </w:r>
      <w:r w:rsidR="003C57E4">
        <w:fldChar w:fldCharType="end"/>
      </w:r>
      <w:r w:rsidR="003C57E4">
        <w:t xml:space="preserve">. </w:t>
      </w:r>
    </w:p>
    <w:p w14:paraId="2729702B" w14:textId="59D6466C" w:rsidR="00F43B64" w:rsidRDefault="009B2B3F" w:rsidP="00391005">
      <w:pPr>
        <w:pStyle w:val="ListParagraph"/>
      </w:pPr>
      <w:r>
        <w:lastRenderedPageBreak/>
        <w:t>LTR retrotransposons have a wide range of genomic and physiological effects, especially due to their role in insertional mutagenes</w:t>
      </w:r>
      <w:r w:rsidR="00E939B3">
        <w:t xml:space="preserve">is, </w:t>
      </w:r>
      <w:r>
        <w:t>their propensity for recombination</w:t>
      </w:r>
      <w:r w:rsidR="00E939B3">
        <w:t>, and the ability of some groups (such as vertebrate retroviruses) to become extracellular</w:t>
      </w:r>
      <w:r>
        <w:t xml:space="preserve"> </w:t>
      </w:r>
      <w:r>
        <w:fldChar w:fldCharType="begin" w:fldLock="1"/>
      </w:r>
      <w:r w:rsidR="003A4479">
        <w:instrText>ADDIN CSL_CITATION { "citationItems" : [ { "id" : "ITEM-1", "itemData" : { "DOI" : "10.1016/j.tig.2009.11.002", "ISSN" : "0168-9525", "PMID" : "19944475", "abstract" : "The current view of gene regulation in complex organisms holds that gene expression is largely controlled by the combinatoric actions of transcription factors and other regulatory proteins, some of which powerfully influence cell type. Recent large-scale studies have confirmed that cellular differentiation involves many different regulatory factors. However, other studies indicate that the genome is pervasively transcribed to produce a variety of short and long non-protein-coding RNAs, including those derived from retrotransposed sequences, which also play important roles in the epigenetic regulation of gene expression. The evidence suggests that ontogenesis requires interplay between state-specific regulatory proteins, multitasked effector complexes and target-specific RNAs that recruit these complexes to their sites of action. Moreover, the semi-continuous nature of the transcriptome prompts the reassessment of 'genes' as discrete entities and indicates that the mammalian genome might be more accurately viewed as islands of protein-coding information in a sea of cis- and trans-acting regulatory sequences.", "author" : [ { "dropping-particle" : "", "family" : "Mattick", "given" : "John S", "non-dropping-particle" : "", "parse-names" : false, "suffix" : "" }, { "dropping-particle" : "", "family" : "Taft", "given" : "Ryan J", "non-dropping-particle" : "", "parse-names" : false, "suffix" : "" }, { "dropping-particle" : "", "family" : "Faulkner", "given" : "Geoffrey J", "non-dropping-particle" : "", "parse-names" : false, "suffix" : "" } ], "container-title" : "Trends in genetics : TIG", "id" : "ITEM-1", "issue" : "1", "issued" : { "date-parts" : [ [ "2010", "1" ] ] }, "page" : "21-8", "title" : "A global view of genomic information--moving beyond the gene and the master regulator.", "type" : "article-journal", "volume" : "26" }, "uris" : [ "http://www.mendeley.com/documents/?uuid=7135cff5-b160-4a25-8aca-e32d4b884513" ] }, { "id" : "ITEM-2",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"ITEM-2", "issue" : "11", "issued" : { "date-parts" : [ [ "2012", "11" ] ] }, "page" : "627-36", "publisher" : "Elsevier Ltd", "title" : "Paleovirology and virally derived immunity.", "type" : "article-journal", "volume" : "27" }, "uris" : [ "http://www.mendeley.com/documents/?uuid=bb0d0386-3d7c-43e0-917d-1954dabb96df" ] }, { "id" : "ITEM-3",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"ITEM-3",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"(Mattick et al. 2010; Aswad &amp; Katzourakis 2012; Stoye 2012)", "plainTextFormattedCitation" : "(Mattick et al. 2010; Aswad &amp; Katzourakis 2012; Stoye 2012)", "previouslyFormattedCitation" : "(Mattick et al. 2010; Aswad &amp; Katzourakis 2012; Stoye 2012)" }, "properties" : { "noteIndex" : 0 }, "schema" : "https://github.com/citation-style-language/schema/raw/master/csl-citation.json" }</w:instrText>
      </w:r>
      <w:r>
        <w:fldChar w:fldCharType="separate"/>
      </w:r>
      <w:r w:rsidRPr="009B2B3F">
        <w:rPr>
          <w:noProof/>
        </w:rPr>
        <w:t>(Mattick et al. 2010; Aswad &amp; Katzourakis 2012; Stoye 2012)</w:t>
      </w:r>
      <w:r>
        <w:fldChar w:fldCharType="end"/>
      </w:r>
      <w:r>
        <w:t xml:space="preserve">. The structure, evolutionary history, and </w:t>
      </w:r>
      <w:r w:rsidR="001B10C0">
        <w:t xml:space="preserve">biological </w:t>
      </w:r>
      <w:r>
        <w:t>effect</w:t>
      </w:r>
      <w:r w:rsidR="006D4B5E">
        <w:t>s of these elements are described</w:t>
      </w:r>
      <w:r>
        <w:t xml:space="preserve"> below.</w:t>
      </w:r>
    </w:p>
    <w:p w14:paraId="074BA945" w14:textId="77777777" w:rsidR="003C57E4" w:rsidRDefault="003C57E4" w:rsidP="00391005">
      <w:pPr>
        <w:pStyle w:val="ListParagraph"/>
      </w:pPr>
    </w:p>
    <w:p w14:paraId="224A4283" w14:textId="7897325E" w:rsidR="00F43B64" w:rsidRDefault="00F43B64" w:rsidP="00F43B64">
      <w:pPr>
        <w:pStyle w:val="Heading3"/>
      </w:pPr>
      <w:bookmarkStart w:id="29" w:name="_Toc485721560"/>
      <w:bookmarkStart w:id="30" w:name="_Toc486787140"/>
      <w:bookmarkStart w:id="31" w:name="_Toc486787288"/>
      <w:r>
        <w:t>LTR retrotransposon structure</w:t>
      </w:r>
      <w:bookmarkEnd w:id="29"/>
      <w:bookmarkEnd w:id="30"/>
      <w:bookmarkEnd w:id="31"/>
    </w:p>
    <w:p w14:paraId="1744464B" w14:textId="332732F8" w:rsidR="00A850A8" w:rsidRDefault="009A4F8D" w:rsidP="00391005">
      <w:pPr>
        <w:pStyle w:val="ListParagraph"/>
      </w:pPr>
      <w:r>
        <w:t>Superficially,</w:t>
      </w:r>
      <w:r w:rsidR="001F3E4B">
        <w:t xml:space="preserve"> </w:t>
      </w:r>
      <w:r w:rsidR="00323277">
        <w:t>LTR retrotransposons and non-LTR retrotransposons</w:t>
      </w:r>
      <w:r w:rsidR="001F3E4B">
        <w:t xml:space="preserve"> share</w:t>
      </w:r>
      <w:r>
        <w:t xml:space="preserve"> a similar, virus-like</w:t>
      </w:r>
      <w:r w:rsidR="001F3E4B">
        <w:t xml:space="preserve"> architecture</w:t>
      </w:r>
      <w:r>
        <w:t xml:space="preserve"> (</w:t>
      </w:r>
      <w:r>
        <w:fldChar w:fldCharType="begin" w:fldLock="1"/>
      </w:r>
      <w:r>
        <w:instrText xml:space="preserve"> REF _Ref483855353 \h </w:instrText>
      </w:r>
      <w:r>
        <w:fldChar w:fldCharType="separate"/>
      </w:r>
      <w:r w:rsidR="002C549C">
        <w:t xml:space="preserve">Figure </w:t>
      </w:r>
      <w:r w:rsidR="002C549C">
        <w:rPr>
          <w:noProof/>
        </w:rPr>
        <w:t>1</w:t>
      </w:r>
      <w:r w:rsidR="002C549C">
        <w:t>.</w:t>
      </w:r>
      <w:r w:rsidR="002C549C">
        <w:rPr>
          <w:noProof/>
        </w:rPr>
        <w:t>1</w:t>
      </w:r>
      <w:r>
        <w:fldChar w:fldCharType="end"/>
      </w:r>
      <w:r>
        <w:t>), containing str</w:t>
      </w:r>
      <w:r w:rsidR="00323277">
        <w:t>uctural and enzymatic genes,</w:t>
      </w:r>
      <w:r>
        <w:t xml:space="preserve"> terminated by </w:t>
      </w:r>
      <w:r w:rsidR="007A5E61">
        <w:t xml:space="preserve">the </w:t>
      </w:r>
      <w:r>
        <w:t>target si</w:t>
      </w:r>
      <w:r w:rsidR="00A35A5A">
        <w:t>te duplications (TSDs)</w:t>
      </w:r>
      <w:r>
        <w:t xml:space="preserve"> formed during</w:t>
      </w:r>
      <w:r w:rsidR="00323277">
        <w:t xml:space="preserve"> genomic</w:t>
      </w:r>
      <w:r>
        <w:t xml:space="preserve"> integration. </w:t>
      </w:r>
      <w:r w:rsidR="00A35A5A">
        <w:t>LTR retrotransposons</w:t>
      </w:r>
      <w:r w:rsidR="001F3E4B">
        <w:t xml:space="preserve"> are clea</w:t>
      </w:r>
      <w:r w:rsidR="00A35A5A">
        <w:t>rly differentiated by the presence of the eponymous long terminal repeats</w:t>
      </w:r>
      <w:r w:rsidR="001F3E4B">
        <w:t xml:space="preserve">. </w:t>
      </w:r>
      <w:r w:rsidR="007A5E61">
        <w:t xml:space="preserve">These </w:t>
      </w:r>
      <w:r w:rsidR="00323277">
        <w:t>domains</w:t>
      </w:r>
      <w:r w:rsidR="007A5E61">
        <w:t>, which range in length from one hundred base pairs (bp) to two kilobase pairs (kb),</w:t>
      </w:r>
      <w:r w:rsidR="00A850A8">
        <w:t xml:space="preserve"> exhibit a share</w:t>
      </w:r>
      <w:r w:rsidR="007A5E61">
        <w:t>d U3-R-U5 structure</w:t>
      </w:r>
      <w:r w:rsidR="00EB3D27">
        <w:t xml:space="preserve"> (domain names explained below</w:t>
      </w:r>
      <w:r w:rsidR="00323277">
        <w:t>; page 4</w:t>
      </w:r>
      <w:r w:rsidR="00EB3D27">
        <w:t>)</w:t>
      </w:r>
      <w:r w:rsidR="00CD4C44">
        <w:t>, consisting of conserved blocks interspersed with hypervariable regions</w:t>
      </w:r>
      <w:r w:rsidR="003A4479">
        <w:t xml:space="preserve"> </w:t>
      </w:r>
      <w:r w:rsidR="003A4479">
        <w:fldChar w:fldCharType="begin" w:fldLock="1"/>
      </w:r>
      <w:r w:rsidR="003A4479">
        <w:instrText>ADDIN CSL_CITATION { "citationItems" : [ { "id" : "ITEM-1", "itemData" : { "abstract" : "An enhancer element is located in the U3 portion of exogenous avian retrovirus long terminal repeats (LTRs). A similar element has not been detected in the LTRs of ev-1 and ev-2, two avian endogenous viruses (evs) that normally are not expressed in vivo. Experiments were initiated to determine whether minor nucleotide differences in the U3 region of a previously untested ev that is ubiquitously expressed in vivo (ev-3) might confer enhancer function on the LTR of this provirus. This question was addressed by inserting U3 regions from ev-3 and from ev-1 and/or ev-2 both upstream of the herpesvirus thymidine kinase gene promoter and in place of the major enhancer domains of the Rous sarcoma virus LTR and determining their relative effects on transcription. U3 regions from all evs tested were unable to enhance transcription from the thymidine kinase gene promoter, indicating that nucleotide differences in the ev U3 regions do not affect their relative enhancer function and therefore are unlikely to play a role in their differential expression in vivo. Unexpectedly, however, all ev U3 regions were able to augment transcription in an orientation-independent manner in the ev-Rous sarcoma virus hybrid LTRs. Further experiments conducted to determine why this enhancer activity is not detectable in intact ev LTRs demonstrated that it was not due to removal of repressor sequences in the ev fragments used that might normally be present in intact ev LTRs. The lack of detectable enhancer activity in intact ev LTRs also was not explained by a defect in ev promoters that makes them unresponsive to enhancers in cis. These experiments therefore identify sequences that, although unable to function detectably as enhancers in their natural context, can function efficiently in a heterologous context. Data are discussed in terms of the modularity of enhancer elements and possible interactions between enhancers and promoter-specific sequences.", "author" : [ { "dropping-particle" : "", "family" : "Conklin", "given" : "KF", "non-dropping-particle" : "", "parse-names" : false, "suffix" : "" } ], "container-title" : "Journal of virology", "id" : "ITEM-1", "issue" : "5", "issued" : { "date-parts" : [ [ "1991" ] ] }, "note" : "Exogenous Retrovirus LTRs contain strong enhancers. The enhancer and promoter for viral RNA transcription are in the U3, with the U3-R boundary marking the transcription start site. In general, it has been found with ALVE loci that U5 and R regions of the LTR are very similar to the exogenous relatives, but the U3 is very divergent: shorter and lacking sequences essential for enhancer function in exogenous counterparts. \nStudies with ev1 and ev2 suggest the LTRs are 10-100 fold less transcriptionally active than exogenous relatives. However, even those elements (such as ev3) that are transcriptionally active have similar deletions and divergence. The expression control is clearly more complicated than missing sequences in the LTR U3.", "page" : "2525-2532", "title" : "Activation of an endogenous retrovirus enhancer by insertion into a heterologous context.", "type" : "article-journal", "volume" : "65" }, "uris" : [ "http://www.mendeley.com/documents/?uuid=2b202731-05d9-42cb-98ca-a28dce245bda" ] }, { "id" : "ITEM-2", "itemData" : { "DOI" : "10.1371/journal.pone.0005179", "ISSN" : "1932-6203", "PMID" : "19365549", "abstract" : "BACKGROUND: Retroviral LTRs, paired or single, influence the transcription of both retroviral and non-retroviral genomic sequences. Vertebrate genomes contain many thousand endogenous retroviruses (ERVs) and their LTRs. Single LTRs are difficult to detect from genomic sequences without recourse to repetitiveness or presence in a proviral structure. Understanding of LTR structure increases understanding of LTR function, and of functional genomics. Here we develop models of orthoretroviral LTRs useful for detection in genomes and for structural analysis.\n\nPRINCIPAL FINDINGS: Although mutated, ERV LTRs are more numerous and diverse than exogenous retroviral (XRV) LTRs. Hidden Markov models (HMMs), and alignments based on them, were created for HML- (human MMTV-like), general-beta-, gamma- and lentiretroviruslike LTRs, plus a general-vertebrate LTR model. Training sets were XRV LTRs and RepBase LTR consensuses. The HML HMM was most sensitive and detected 87% of the HML LTRs in human chromosome 19 at 96% specificity. By combining all HMMs with a low cutoff, for screening, 71% of all LTRs found by RepeatMasker in chromosome 19 were found. HMM consensus sequences had a conserved modular LTR structure. Target site duplications (TG-CA), TATA (occasionally absent), an AATAAA box and a T-rich region were prominent features. Most of the conservation was located in, or adjacent to, R and U5, with evidence for stem loops. Several of the long HML LTRs contained long ORFs inserted after the second A rich module. HMM consensus alignment allowed comparison of functional features like transcriptional start sites (sense and antisense) between XRVs and ERVs.\n\nCONCLUSION: The modular conserved and redundant orthoretroviral LTR structure with three A-rich regions is reminiscent of structurally relaxed Giardia promoters. The five HMMs provided a novel broad range, repeat-independent, ab initio LTR detection, with prospects for greater generalisation, and insight into LTR structure, which may aid development of LTR-targeted pharmaceuticals.", "author" : [ { "dropping-particle" : "", "family" : "Benachenhou", "given" : "Farid", "non-dropping-particle" : "", "parse-names" : false, "suffix" : "" }, { "dropping-particle" : "", "family" : "Jern", "given" : "Patric", "non-dropping-particle" : "", "parse-names" : false, "suffix" : "" }, { "dropping-particle" : "", "family" : "Oja", "given" : "Merja", "non-dropping-particle" : "", "parse-names" : false, "suffix" : "" }, { "dropping-particle" : "", "family" : "Sperber", "given" : "G\u00f6ran", "non-dropping-particle" : "", "parse-names" : false, "suffix" : "" }, { "dropping-particle" : "", "family" : "Blikstad", "given" : "Vidar", "non-dropping-particle" : "", "parse-names" : false, "suffix" : "" }, { "dropping-particle" : "", "family" : "Somervuo", "given" : "Panu", "non-dropping-particle" : "", "parse-names" : false, "suffix" : "" }, { "dropping-particle" : "", "family" : "Kaski", "given" : "Samuel", "non-dropping-particle" : "", "parse-names" : false, "suffix" : "" }, { "dropping-particle" : "", "family" : "Blomberg", "given" : "Jonas", "non-dropping-particle" : "", "parse-names" : false, "suffix" : "" } ], "container-title" : "PloS one", "id" : "ITEM-2", "issue" : "4", "issued" : { "date-parts" : [ [ "2009", "1", "13" ] ] }, "page" : "e5179", "publisher" : "Public Library of Science", "title" : "Evolutionary conservation of orthoretroviral long terminal repeats (LTRs) and ab initio detection of single LTRs in genomic data.", "type" : "article-journal", "volume" : "4" }, "uris" : [ "http://www.mendeley.com/documents/?uuid=e5d47268-f5f4-40ca-8662-07792fcd7ba2" ] } ], "mendeley" : { "formattedCitation" : "(Conklin 1991; Benachenhou, Jern, et al. 2009)", "plainTextFormattedCitation" : "(Conklin 1991; Benachenhou, Jern, et al. 2009)", "previouslyFormattedCitation" : "(Conklin 1991; Benachenhou, Jern, et al. 2009)" }, "properties" : { "noteIndex" : 0 }, "schema" : "https://github.com/citation-style-language/schema/raw/master/csl-citation.json" }</w:instrText>
      </w:r>
      <w:r w:rsidR="003A4479">
        <w:fldChar w:fldCharType="separate"/>
      </w:r>
      <w:r w:rsidR="003A4479" w:rsidRPr="003A4479">
        <w:rPr>
          <w:noProof/>
        </w:rPr>
        <w:t>(Conklin 1991; Benachenhou, Jern, et al. 2009)</w:t>
      </w:r>
      <w:r w:rsidR="003A4479">
        <w:fldChar w:fldCharType="end"/>
      </w:r>
      <w:r w:rsidR="00CD4C44">
        <w:t xml:space="preserve">. </w:t>
      </w:r>
    </w:p>
    <w:p w14:paraId="34329FEF" w14:textId="5DFC2404" w:rsidR="007A5E61" w:rsidRDefault="00CD4C44" w:rsidP="00391005">
      <w:pPr>
        <w:pStyle w:val="ListParagraph"/>
      </w:pPr>
      <w:r>
        <w:t xml:space="preserve">The LTRs drive </w:t>
      </w:r>
      <w:r w:rsidR="006D4B5E">
        <w:t xml:space="preserve">internal protein </w:t>
      </w:r>
      <w:r>
        <w:t>expression, even bidirectionally</w:t>
      </w:r>
      <w:r w:rsidR="003A4479">
        <w:t xml:space="preserve"> </w:t>
      </w:r>
      <w:r w:rsidR="003A4479">
        <w:fldChar w:fldCharType="begin" w:fldLock="1"/>
      </w:r>
      <w:r w:rsidR="003B2501">
        <w:instrText>ADDIN CSL_CITATION { "citationItems" : [ { "id" : "ITEM-1", "itemData" : { "DOI" : "10.1016/j.gene.2005.09.003", "ISSN" : "0378-1119", "PMID" : "16288839", "abstract" : "Eight percent of the human genome is derived from endogenous retrovirus (ERV) insertions. ERV long terminal repeats (LTRs) contain strong promoters that are known to contribute to the transcriptional regulation of certain human genes. While some LTRs are known to possess bidirectional promoter activity in vitro, only sense orientation LTR promoters have previously been shown to regulate human gene expression. Here we demonstrate that an ERV1 LTR acts as a bidirectional promoter for the human Down syndrome critical region 4 (DSCR4) and DSCR8 genes. We show that while DSCR4 and DSCR8 are essentially co-expressed, their shared LTR promoter is more active in the sense than the antisense orientation. Through deletion analysis of the LTR we have identified positive and negative regulatory elements, and defined a core region of the promoter that is required for transcriptional activity in both orientations. Finally, we show that the ERV LTR also exists in the genomes of several non-human primates, and present evidence that potential transcription factor binding sites in the core region have been maintained throughout primate evolution.", "author" : [ { "dropping-particle" : "", "family" : "Dunn", "given" : "Catherine a", "non-dropping-particle" : "", "parse-names" : false, "suffix" : "" }, { "dropping-particle" : "", "family" : "Romanish", "given" : "Mark T", "non-dropping-particle" : "", "parse-names" : false, "suffix" : "" }, { "dropping-particle" : "", "family" : "Gutierrez", "given" : "Leanne E", "non-dropping-particle" : "", "parse-names" : false, "suffix" : "" }, { "dropping-particle" : "", "family" : "Lagemaat", "given" : "Louie N", "non-dropping-particle" : "van de", "parse-names" : false, "suffix" : "" }, { "dropping-particle" : "", "family" : "Mager", "given" : "Dixie L", "non-dropping-particle" : "", "parse-names" : false, "suffix" : "" } ], "container-title" : "Gene", "id" : "ITEM-1", "issue" : "2", "issued" : { "date-parts" : [ [ "2006", "2", "1" ] ] }, "page" : "335-42", "title" : "Transcription of two human genes from a bidirectional endogenous retrovirus promoter.", "type" : "article-journal", "volume" : "366" }, "uris" : [ "http://www.mendeley.com/documents/?uuid=a5c379e7-cd6d-4de4-aa4c-4cba5619e279" ] } ], "mendeley" : { "formattedCitation" : "(Dunn et al. 2006)", "plainTextFormattedCitation" : "(Dunn et al. 2006)", "previouslyFormattedCitation" : "(Dunn et al. 2006)" }, "properties" : { "noteIndex" : 0 }, "schema" : "https://github.com/citation-style-language/schema/raw/master/csl-citation.json" }</w:instrText>
      </w:r>
      <w:r w:rsidR="003A4479">
        <w:fldChar w:fldCharType="separate"/>
      </w:r>
      <w:r w:rsidR="003A4479" w:rsidRPr="003A4479">
        <w:rPr>
          <w:noProof/>
        </w:rPr>
        <w:t>(Dunn et al. 2006)</w:t>
      </w:r>
      <w:r w:rsidR="003A4479">
        <w:fldChar w:fldCharType="end"/>
      </w:r>
      <w:r>
        <w:t>, due to their modular arrangement of polyadenylated regions arranged into promoters and enhancers, particularly in the U3 domain. The U3-R boundary marks the transcription start site (TSS) and is preceded by a highly conserved TATA box</w:t>
      </w:r>
      <w:r w:rsidR="003A4479">
        <w:t xml:space="preserve"> </w:t>
      </w:r>
      <w:r w:rsidR="003A4479">
        <w:fldChar w:fldCharType="begin" w:fldLock="1"/>
      </w:r>
      <w:r w:rsidR="003A4479">
        <w:instrText>ADDIN CSL_CITATION { "citationItems" : [ { "id" : "ITEM-1", "itemData" : { "DOI" : "10.1016/j.gene.2009.07.002", "ISSN" : "1879-0038", "PMID" : "19595747", "abstract" : "LTRs are sequence elements in retroviruses and retrotransposons which are difficult to align due to their variability. One way of handling such cases is to use Hidden Markov Models (HMMs). In this work HMMs of LTRs were constructed for three groups of orthoretroviruses: the betaretroviruslike human MMTV-like (HML) endogenous retroviruses, the lentiviruses, including HIV, and gammaretroviruslike human endogenous retroviruses (HERVs). The HMM-generated LTR alignments and the phylogenetic trees constructed from them were compared with trees based on alignments of the pol gene at the nucleic acid level. The majority of branches in the LTR and pol based trees had the same order for the three retroviral genera, showing that HMM methods are successful in aligning and constructing phylogenies of LTRs. The HML LTR tree deviated somewhat from the pol tree for the groups HML3, HML7 and HML6. Among the gammaretroviruslike proviruses, the exogenous Mouse Leukemia Virus (MLV) was highly related to HERV-T in the pol based tree, but not in the LTR based tree. Aside from these differences, the similarity between the trees indicates that LTRs and pol coevolved in a largely monophyletic way.", "author" : [ { "dropping-particle" : "", "family" : "Benachenhou", "given" : "Farid", "non-dropping-particle" : "", "parse-names" : false, "suffix" : "" }, { "dropping-particle" : "", "family" : "Blikstad", "given" : "Vidar", "non-dropping-particle" : "", "parse-names" : false, "suffix" : "" }, { "dropping-particle" : "", "family" : "Blomberg", "given" : "Jonas", "non-dropping-particle" : "", "parse-names" : false, "suffix" : "" } ], "container-title" : "Gene", "id" : "ITEM-1", "issue" : "2", "issued" : { "date-parts" : [ [ "2009", "12", "15" ] ] }, "page" : "134-8", "title" : "The phylogeny of orthoretroviral long terminal repeats (LTRs).", "type" : "article-journal", "volume" : "448" }, "uris" : [ "http://www.mendeley.com/documents/?uuid=9d1d0913-87fb-4723-9544-ca1661e27824" ] } ], "mendeley" : { "formattedCitation" : "(Benachenhou, Blikstad, et al. 2009)", "plainTextFormattedCitation" : "(Benachenhou, Blikstad, et al. 2009)", "previouslyFormattedCitation" : "(Benachenhou, Blikstad, et al. 2009)" }, "properties" : { "noteIndex" : 0 }, "schema" : "https://github.com/citation-style-language/schema/raw/master/csl-citation.json" }</w:instrText>
      </w:r>
      <w:r w:rsidR="003A4479">
        <w:fldChar w:fldCharType="separate"/>
      </w:r>
      <w:r w:rsidR="003A4479" w:rsidRPr="003A4479">
        <w:rPr>
          <w:noProof/>
        </w:rPr>
        <w:t>(Benachenhou, Blikstad, et al. 2009)</w:t>
      </w:r>
      <w:r w:rsidR="003A4479">
        <w:fldChar w:fldCharType="end"/>
      </w:r>
      <w:r>
        <w:t>. LTR hypervariable regions consist of transcription factor (TF) binding sites which confer host</w:t>
      </w:r>
      <w:r w:rsidR="003B2501">
        <w:t>- and tissue-</w:t>
      </w:r>
      <w:r>
        <w:t>specific expression. In addition, the LTRs give a clear, repeated demarcation to the retroelement</w:t>
      </w:r>
      <w:r w:rsidR="003A4479">
        <w:t>,</w:t>
      </w:r>
      <w:r>
        <w:t xml:space="preserve"> which </w:t>
      </w:r>
      <w:r w:rsidR="003B2501">
        <w:t>aids</w:t>
      </w:r>
      <w:r>
        <w:t xml:space="preserve"> </w:t>
      </w:r>
      <w:r w:rsidR="00B06469">
        <w:t xml:space="preserve">retention of </w:t>
      </w:r>
      <w:r>
        <w:t>structural integrity</w:t>
      </w:r>
      <w:r w:rsidR="003B2501">
        <w:t xml:space="preserve"> </w:t>
      </w:r>
      <w:r>
        <w:t>after retrotransposition. Non-LTR retr</w:t>
      </w:r>
      <w:r w:rsidR="00E80FDE">
        <w:t>otransposons are commonly truncat</w:t>
      </w:r>
      <w:r>
        <w:t>ed at the 5’ end, resulting in a loss of promoter activity, due to</w:t>
      </w:r>
      <w:r w:rsidR="006D4B5E">
        <w:t xml:space="preserve"> failed replication of</w:t>
      </w:r>
      <w:r>
        <w:t xml:space="preserve"> th</w:t>
      </w:r>
      <w:r w:rsidR="003A4479">
        <w:t>e</w:t>
      </w:r>
      <w:r>
        <w:t xml:space="preserve"> 5’ sequence </w:t>
      </w:r>
      <w:r w:rsidR="003A4479">
        <w:fldChar w:fldCharType="begin" w:fldLock="1"/>
      </w:r>
      <w:r w:rsidR="003A4479">
        <w:instrText>ADDIN CSL_CITATION { "citationItems" : [ { "id" : "ITEM-1", "itemData" : { "DOI" : "10.1038/nrg2640", "ISSN" : "1471-0064", "PMID" : "19763152", "abstract" : "Their ability to move within genomes gives transposable elements an intrinsic propensity to affect genome evolution. Non-long terminal repeat (LTR) retrotransposons--including LINE-1, Alu and SVA elements--have proliferated over the past 80 million years of primate evolution and now account for approximately one-third of the human genome. In this Review, we focus on this major class of elements and discuss the many ways that they affect the human genome: from generating insertion mutations and genomic instability to altering gene expression and contributing to genetic innovation. Increasingly detailed analyses of human and other primate genomes are revealing the scale and complexity of the past and current contributions of non-LTR retrotransposons to genomic change in the human lineage.", "author" : [ { "dropping-particle" : "", "family" : "Cordaux", "given" : "Richard", "non-dropping-particle" : "", "parse-names" : false, "suffix" : "" }, { "dropping-particle" : "", "family" : "Batzer", "given" : "Mark a", "non-dropping-particle" : "", "parse-names" : false, "suffix" : "" } ], "container-title" : "Nature reviews. Genetics", "id" : "ITEM-1", "issue" : "10", "issued" : { "date-parts" : [ [ "2009", "10" ] ] }, "page" : "691-703", "publisher" : "Nature Publishing Group", "title" : "The impact of retrotransposons on human genome evolution.", "type" : "article-journal", "volume" : "10" }, "uris" : [ "http://www.mendeley.com/documents/?uuid=4cce3cdd-8971-4fd6-a438-7436d2f90e0c" ] } ], "mendeley" : { "formattedCitation" : "(Cordaux &amp; Batzer 2009)", "plainTextFormattedCitation" : "(Cordaux &amp; Batzer 2009)", "previouslyFormattedCitation" : "(Cordaux &amp; Batzer 2009)" }, "properties" : { "noteIndex" : 0 }, "schema" : "https://github.com/citation-style-language/schema/raw/master/csl-citation.json" }</w:instrText>
      </w:r>
      <w:r w:rsidR="003A4479">
        <w:fldChar w:fldCharType="separate"/>
      </w:r>
      <w:r w:rsidR="003A4479" w:rsidRPr="003A4479">
        <w:rPr>
          <w:noProof/>
        </w:rPr>
        <w:t>(Cordaux &amp; Batzer 2009)</w:t>
      </w:r>
      <w:r w:rsidR="003A4479">
        <w:fldChar w:fldCharType="end"/>
      </w:r>
      <w:r>
        <w:t xml:space="preserve">. </w:t>
      </w:r>
    </w:p>
    <w:p w14:paraId="52288408" w14:textId="1AED7761" w:rsidR="00D97416" w:rsidRDefault="00A850A8" w:rsidP="00391005">
      <w:pPr>
        <w:pStyle w:val="ListParagraph"/>
      </w:pPr>
      <w:r>
        <w:t>LTR retrotransposons typically contain two protein coding genes (</w:t>
      </w:r>
      <w:r>
        <w:fldChar w:fldCharType="begin" w:fldLock="1"/>
      </w:r>
      <w:r>
        <w:instrText xml:space="preserve"> REF _Ref483855353 \h </w:instrText>
      </w:r>
      <w:r>
        <w:fldChar w:fldCharType="separate"/>
      </w:r>
      <w:r w:rsidR="002C549C">
        <w:t xml:space="preserve">Figure </w:t>
      </w:r>
      <w:r w:rsidR="002C549C">
        <w:rPr>
          <w:noProof/>
        </w:rPr>
        <w:t>1</w:t>
      </w:r>
      <w:r w:rsidR="002C549C">
        <w:t>.</w:t>
      </w:r>
      <w:r w:rsidR="002C549C">
        <w:rPr>
          <w:noProof/>
        </w:rPr>
        <w:t>1</w:t>
      </w:r>
      <w:r>
        <w:fldChar w:fldCharType="end"/>
      </w:r>
      <w:r>
        <w:t xml:space="preserve">), each of which codes for multiple constituent proteins. The </w:t>
      </w:r>
      <w:r>
        <w:rPr>
          <w:i/>
        </w:rPr>
        <w:t>gag</w:t>
      </w:r>
      <w:r>
        <w:t xml:space="preserve"> (group-specific antigen; core structural proteins) gene codes for the matrix, capsid and nucleocapsid proteins required for forming a retrotransposon virion. The </w:t>
      </w:r>
      <w:r>
        <w:rPr>
          <w:i/>
        </w:rPr>
        <w:t>pol</w:t>
      </w:r>
      <w:r>
        <w:t xml:space="preserve"> (polymerase; enzymic proteins) gene codes for the protease (cleaves the translated retrotransposon proteins), reverse </w:t>
      </w:r>
      <w:r>
        <w:lastRenderedPageBreak/>
        <w:t xml:space="preserve">transcriptase (produces double stranded DNA from the retrotransposon RNA intermediate), RNaseH (non-sequence-specific ribonuclease) and integrase (integrates retrotransposon DNA into the host genome) proteins required for retrotransposition. </w:t>
      </w:r>
    </w:p>
    <w:p w14:paraId="4606686F" w14:textId="77777777" w:rsidR="00A850A8" w:rsidRPr="00A850A8" w:rsidRDefault="00A850A8" w:rsidP="00391005">
      <w:pPr>
        <w:pStyle w:val="ListParagraph"/>
        <w:rPr>
          <w:sz w:val="2"/>
        </w:rPr>
      </w:pPr>
    </w:p>
    <w:p w14:paraId="77B299C8" w14:textId="65CB17E4" w:rsidR="00AB2257" w:rsidRDefault="000363AE" w:rsidP="00A850A8">
      <w:pPr>
        <w:pStyle w:val="ListParagraph"/>
        <w:jc w:val="center"/>
      </w:pPr>
      <w:r>
        <w:rPr>
          <w:noProof/>
          <w:lang w:eastAsia="en-GB"/>
        </w:rPr>
        <w:drawing>
          <wp:inline distT="0" distB="0" distL="0" distR="0" wp14:anchorId="263B2B60" wp14:editId="745A4442">
            <wp:extent cx="4967605" cy="1455149"/>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2648" b="4066"/>
                    <a:stretch/>
                  </pic:blipFill>
                  <pic:spPr bwMode="auto">
                    <a:xfrm>
                      <a:off x="0" y="0"/>
                      <a:ext cx="4967605" cy="1455149"/>
                    </a:xfrm>
                    <a:prstGeom prst="rect">
                      <a:avLst/>
                    </a:prstGeom>
                    <a:noFill/>
                    <a:ln>
                      <a:noFill/>
                    </a:ln>
                    <a:extLst>
                      <a:ext uri="{53640926-AAD7-44D8-BBD7-CCE9431645EC}">
                        <a14:shadowObscured xmlns:a14="http://schemas.microsoft.com/office/drawing/2010/main"/>
                      </a:ext>
                    </a:extLst>
                  </pic:spPr>
                </pic:pic>
              </a:graphicData>
            </a:graphic>
          </wp:inline>
        </w:drawing>
      </w:r>
    </w:p>
    <w:p w14:paraId="307665A9" w14:textId="69727481" w:rsidR="00AB2257" w:rsidRDefault="00AB2257" w:rsidP="00AB2257">
      <w:pPr>
        <w:pStyle w:val="Figure"/>
      </w:pPr>
      <w:bookmarkStart w:id="32" w:name="_Ref483855353"/>
      <w:bookmarkStart w:id="33" w:name="_Toc486785421"/>
      <w:r>
        <w:t xml:space="preserve">Figure </w:t>
      </w:r>
      <w:fldSimple w:instr=" STYLEREF 1 \s " w:fldLock="1">
        <w:r w:rsidR="002C549C">
          <w:rPr>
            <w:noProof/>
          </w:rPr>
          <w:t>1</w:t>
        </w:r>
      </w:fldSimple>
      <w:r w:rsidR="001167C6">
        <w:t>.</w:t>
      </w:r>
      <w:fldSimple w:instr=" SEQ Figure \* ARABIC \s 1 " w:fldLock="1">
        <w:r w:rsidR="002C549C">
          <w:rPr>
            <w:noProof/>
          </w:rPr>
          <w:t>1</w:t>
        </w:r>
      </w:fldSimple>
      <w:bookmarkEnd w:id="32"/>
      <w:r>
        <w:t xml:space="preserve"> Transposon archetypal structures. </w:t>
      </w:r>
      <w:r w:rsidR="00825106">
        <w:t>LTR retrotransposons and Non-LTR retrotransposons are class one transposable elements which replicate via an RNA intermediate which is reverse transcribed to cDNA, enabling replication in a ‘copy and paste’ m</w:t>
      </w:r>
      <w:r w:rsidR="0085339D">
        <w:t>anner. These elements are demarcat</w:t>
      </w:r>
      <w:r w:rsidR="00825106">
        <w:t xml:space="preserve">ed by </w:t>
      </w:r>
      <w:r w:rsidR="00FC3DE4">
        <w:t>target site duplications (</w:t>
      </w:r>
      <w:r w:rsidR="00825106">
        <w:t>red boxes) and shar</w:t>
      </w:r>
      <w:r w:rsidR="009B2BA8">
        <w:t>e a generally homologous enzym</w:t>
      </w:r>
      <w:r w:rsidR="00825106">
        <w:t xml:space="preserve">ic </w:t>
      </w:r>
      <w:r w:rsidR="00825106">
        <w:rPr>
          <w:i/>
        </w:rPr>
        <w:t xml:space="preserve">polymerase </w:t>
      </w:r>
      <w:r w:rsidR="00825106">
        <w:t xml:space="preserve">(POL) gene. The first LTR retrotransposon gene (GAG) encodes group-specific antigens which are not homologous with the Non-LTR retrotransposon RNA binding domain. LTR retrotransposons sometimes also contain accessory genes (grey dotted box) such as the </w:t>
      </w:r>
      <w:r w:rsidR="00825106" w:rsidRPr="00825106">
        <w:rPr>
          <w:i/>
        </w:rPr>
        <w:t>envelope</w:t>
      </w:r>
      <w:r w:rsidR="00825106">
        <w:t xml:space="preserve"> gene found in the Retroviridae. </w:t>
      </w:r>
      <w:r w:rsidR="0053173F">
        <w:t xml:space="preserve">LTR retrotransposons begin and end with the eponymous LTRs. </w:t>
      </w:r>
      <w:r w:rsidR="000363AE">
        <w:t xml:space="preserve">The 5’ LTR is immediately followed by the primer binding region (PBS) and the 3’ LTR is immediately preceded by the polypurine tract (PPT). </w:t>
      </w:r>
      <w:r w:rsidR="00825106" w:rsidRPr="00825106">
        <w:t>Non</w:t>
      </w:r>
      <w:r w:rsidR="00825106">
        <w:t xml:space="preserve">-LTR retrotransposons have a </w:t>
      </w:r>
      <w:r w:rsidR="0053173F">
        <w:t xml:space="preserve">5’ promoter and </w:t>
      </w:r>
      <w:r w:rsidR="00825106">
        <w:t xml:space="preserve">3’ </w:t>
      </w:r>
      <w:r w:rsidR="00E80FDE">
        <w:t>A-rich regions</w:t>
      </w:r>
      <w:r w:rsidR="0053173F">
        <w:t xml:space="preserve">. </w:t>
      </w:r>
      <w:r w:rsidR="00825106">
        <w:t>DNA transposons are class two transposable elements which jump around the genome in a ‘cut an</w:t>
      </w:r>
      <w:r w:rsidR="00CD5768">
        <w:t>d paste’ manner. They are demarcat</w:t>
      </w:r>
      <w:r w:rsidR="00825106">
        <w:t>ed by short, genera-specific inverted tandem repeats (ITRs).</w:t>
      </w:r>
      <w:bookmarkEnd w:id="33"/>
    </w:p>
    <w:p w14:paraId="061C9E85" w14:textId="01C4787E" w:rsidR="00AB2257" w:rsidRPr="00CD5768" w:rsidRDefault="00B06469" w:rsidP="00391005">
      <w:pPr>
        <w:pStyle w:val="ListParagraph"/>
      </w:pPr>
      <w:r>
        <w:t xml:space="preserve">Some LTR retrotransposon groups contain accessory genes acquired from other infectious agents or the host genome. These often provide additional functionality, and can lead to host genic dysregulation, retroelement niche expansion, or the ability of LTR retrotransposons to become extracellular through acquisition of an </w:t>
      </w:r>
      <w:r>
        <w:rPr>
          <w:i/>
        </w:rPr>
        <w:t xml:space="preserve">env </w:t>
      </w:r>
      <w:r>
        <w:t xml:space="preserve">(envelope) gene, which mediates host cell surface binding and viral entry </w:t>
      </w:r>
      <w:r>
        <w:fldChar w:fldCharType="begin" w:fldLock="1"/>
      </w:r>
      <w:r w:rsidR="00BE241A">
        <w:instrText>ADDIN CSL_CITATION { "citationItems" : [ { "id" : "ITEM-1", "itemData" : { "DOI" : "10.1101/gr.145000", "ISSN" : "10889051", "author" : [ { "dropping-particle" : "", "family" : "Malik", "given" : "H. S.", "non-dropping-particle" : "", "parse-names" : false, "suffix" : "" }, { "dropping-particle" : "", "family" : "Henikoff", "given" : "Steve", "non-dropping-particle" : "", "parse-names" : false, "suffix" : "" }, { "dropping-particle" : "", "family" : "Eickbush", "given" : "Thomas H", "non-dropping-particle" : "", "parse-names" : false, "suffix" : "" } ], "container-title" : "Genome Research", "id" : "ITEM-1", "issue" : "9", "issued" : { "date-parts" : [ [ "2000", "9", "1" ] ] }, "note" : "Interesting paper - worth another read and a more thorough critique\n\n        \nVertebrate retroviruses appear to have originated from LTR retrotransposons which have acquired the env ORF allowing them to have an extracellular lifestyle. \nEnv gene acquisition may have many different origins across the different families of ltr elements. This gives the potential for any ltr retrotransposon to become a virus. ", "page" : "1307-1318", "title" : "Poised for Contagion: Evolutionary Origins of the Infectious Abilities of Invertebrate Retroviruses", "type" : "article-journal", "volume" : "10" }, "uris" : [ "http://www.mendeley.com/documents/?uuid=7598e030-57aa-4c3d-8534-193c635d03a3" ] }, { "id" : "ITEM-2",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"ITEM-2", "issue" : "Database issue", "issued" : { "date-parts" : [ [ "2011", "1" ] ] }, "page" : "D70-4", "title" : "The Gypsy Database (GyDB) of mobile genetic elements: release 2.0.", "type" : "article-journal", "volume" : "39" }, "uris" : [ "http://www.mendeley.com/documents/?uuid=2201aeec-e22e-4c31-9b3c-c918eda40ebe" ] } ], "mendeley" : { "formattedCitation" : "(Malik et al. 2000; Llorens et al. 2011)", "plainTextFormattedCitation" : "(Malik et al. 2000; Llorens et al. 2011)", "previouslyFormattedCitation" : "(Malik et al. 2000; Llorens et al. 2011)" }, "properties" : { "noteIndex" : 0 }, "schema" : "https://github.com/citation-style-language/schema/raw/master/csl-citation.json" }</w:instrText>
      </w:r>
      <w:r>
        <w:fldChar w:fldCharType="separate"/>
      </w:r>
      <w:r w:rsidRPr="00B06469">
        <w:rPr>
          <w:noProof/>
        </w:rPr>
        <w:t>(Malik et al. 2000; Llorens et al. 2011)</w:t>
      </w:r>
      <w:r>
        <w:fldChar w:fldCharType="end"/>
      </w:r>
      <w:r>
        <w:t>. Additionally</w:t>
      </w:r>
      <w:r w:rsidR="00CD5768">
        <w:t xml:space="preserve">, LTR retrotransposons contain a primer binding site (PBS), where a host tRNA primes reverse transcriptase, and a polypurine tract (PPT), which primes the second stage of reverse transcription </w:t>
      </w:r>
      <w:r w:rsidR="00CD5768">
        <w:fldChar w:fldCharType="begin" w:fldLock="1"/>
      </w:r>
      <w:r>
        <w:instrText>ADDIN CSL_CITATION { "citationItems" : [ { "id" : "ITEM-1", "itemData" : { "ISSN" : "0092-8674", "PMID" : "2418981", "abstract" : "Reverse transcription intermediate forms (minus and plus strong-stop DNA) are detected in Drosophila melanogaster cultured cells for mobile dispersed genetic elements mdg1, mdg3, and mdg4 (gypsy). The mdg elements studied possess a common mechanism of reverse transcription, despite their structural differences, and the comparative analysis of intermediate forms proves that mdg elements pass the same stages of reverse transcription as retroviruses. The length of minus strong-stop DNA that locates the RNA start site coincides with the data obtained from S1 nuclease analysis of transcription initiation. S1 analysis has also revealed that mdg LTRs have a U3-R-U5 structure analogous to that of retroviral LTRs. Transcription of mdg1, mdg3, and mdg4 is initiated within or immediately after the same sequence TCAGTPy. Neither the TATA box nor the CAAT box can be found at their characteristic positions upstream of the 5' ends of mRNAs.", "author" : [ { "dropping-particle" : "", "family" : "Arkhipova", "given" : "I R", "non-dropping-particle" : "", "parse-names" : false, "suffix" : "" }, { "dropping-particle" : "", "family" : "Mazo", "given" : "a M", "non-dropping-particle" : "", "parse-names" : false, "suffix" : "" }, { "dropping-particle" : "", "family" : "Cherkasova", "given" : "V a", "non-dropping-particle" : "", "parse-names" : false, "suffix" : "" }, { "dropping-particle" : "V", "family" : "Gorelova", "given" : "T", "non-dropping-particle" : "", "parse-names" : false, "suffix" : "" }, { "dropping-particle" : "", "family" : "Schuppe", "given" : "N G", "non-dropping-particle" : "", "parse-names" : false, "suffix" : "" }, { "dropping-particle" : "V", "family" : "Llyin", "given" : "Y", "non-dropping-particle" : "", "parse-names" : false, "suffix" : "" } ], "container-title" : "Cell", "id" : "ITEM-1", "issue" : "4", "issued" : { "date-parts" : [ [ "1986", "2", "28" ] ] }, "page" : "555-63", "title" : "The steps of reverse transcription of Drosophila mobile dispersed genetic elements and U3-R-U5 structure of their LTRs.", "type" : "article-journal", "volume" : "44" }, "uris" : [ "http://www.mendeley.com/documents/?uuid=b487a65e-9b1a-4e2b-9464-c4933a474b34" ] }, { "id" : "ITEM-2", "itemData" : { "DOI" : "10.4161/viru.32180", "ISSN" : "2150-5594", "PMID" : "25101670", "abstract" : "Retrotransposons constitute a major part of the genome in a number of eukaryotes. Long-terminal repeat (LTR) retrotransposons are one type of the retrotransposons. Candida albicans have 34 distinct LTR-retrotransposon families. They respectively belong to the Ty1/copia and Ty3/gypsy groups which have been extensively studied in the model yeast Saccharomyces cerevisiae. LTR-retrotransposons carry two LTRs flanking a long internal protein-coding domain, open reading frames. LTR-retrotransposons use RNA as intermediate to synthesize double-stranded DNA copies. In this article, we describe the structure feature, retrotransposition mechanism and the influence on organism diversity of LTR retrotransposons in C. albicans. We also discuss the relationship between pathogenicity and LTR retrotransposons in C. albicans.", "author" : [ { "dropping-particle" : "", "family" : "Zhang", "given" : "Lulu", "non-dropping-particle" : "", "parse-names" : false, "suffix" : "" }, { "dropping-particle" : "", "family" : "Yan", "given" : "Lan", "non-dropping-particle" : "", "parse-names" : false, "suffix" : "" }, { "dropping-particle" : "", "family" : "Jiang", "given" : "Jingchen", "non-dropping-particle" : "", "parse-names" : false, "suffix" : "" }, { "dropping-particle" : "", "family" : "Wang", "given" : "Yan", "non-dropping-particle" : "", "parse-names" : false, "suffix" : "" }, { "dropping-particle" : "", "family" : "Jiang", "given" : "Yuanying", "non-dropping-particle" : "", "parse-names" : false, "suffix" : "" }, { "dropping-particle" : "", "family" : "Yan", "given" : "Tianhua", "non-dropping-particle" : "", "parse-names" : false, "suffix" : "" }, { "dropping-particle" : "", "family" : "Cao", "given" : "Yongbing", "non-dropping-particle" : "", "parse-names" : false, "suffix" : "" } ], "container-title" : "Virulence", "id" : "ITEM-2", "issue" : "6", "issued" : { "date-parts" : [ [ "2014" ] ] }, "page" : "655-664", "title" : "The structure and retrotransposition mechanism of LTR-retrotransposons in the asexual yeast &lt;i&gt;Candida albicans&lt;/i&gt;", "type" : "article-journal", "volume" : "5" }, "uris" : [ "http://www.mendeley.com/documents/?uuid=b1ae644c-db57-4abf-9e18-f64df424246c" ] } ], "mendeley" : { "formattedCitation" : "(Arkhipova et al. 1986; Zhang et al. 2014)", "plainTextFormattedCitation" : "(Arkhipova et al. 1986; Zhang et al. 2014)", "previouslyFormattedCitation" : "(Arkhipova et al. 1986; Zhang et al. 2014)" }, "properties" : { "noteIndex" : 0 }, "schema" : "https://github.com/citation-style-language/schema/raw/master/csl-citation.json" }</w:instrText>
      </w:r>
      <w:r w:rsidR="00CD5768">
        <w:fldChar w:fldCharType="separate"/>
      </w:r>
      <w:r w:rsidR="00CD5768" w:rsidRPr="00CD5768">
        <w:rPr>
          <w:noProof/>
        </w:rPr>
        <w:t>(Arkhipova et al. 1986; Zhang et al. 2014)</w:t>
      </w:r>
      <w:r w:rsidR="00CD5768">
        <w:fldChar w:fldCharType="end"/>
      </w:r>
      <w:r w:rsidR="00CD5768">
        <w:t>.</w:t>
      </w:r>
      <w:r w:rsidR="005547D9">
        <w:t xml:space="preserve">  </w:t>
      </w:r>
    </w:p>
    <w:p w14:paraId="3CF17736" w14:textId="13C02F4D" w:rsidR="00881FDA" w:rsidRDefault="00881FDA" w:rsidP="00391005">
      <w:pPr>
        <w:pStyle w:val="ListParagraph"/>
      </w:pPr>
    </w:p>
    <w:p w14:paraId="63AD84A8" w14:textId="77777777" w:rsidR="00B06469" w:rsidRDefault="00B06469" w:rsidP="00B06469">
      <w:pPr>
        <w:pStyle w:val="Heading4"/>
      </w:pPr>
      <w:r>
        <w:lastRenderedPageBreak/>
        <w:t>Retrotransposition and expression</w:t>
      </w:r>
    </w:p>
    <w:p w14:paraId="56B1EB8D" w14:textId="59565347" w:rsidR="00B06469" w:rsidRDefault="00BE241A" w:rsidP="00391005">
      <w:pPr>
        <w:pStyle w:val="ListParagraph"/>
      </w:pPr>
      <w:r>
        <w:t>LTR retrotransposons are transcribed by host RNA polymerase starting at the TSS at the 5’ LTR U3-R boundary</w:t>
      </w:r>
      <w:r w:rsidR="00A850A8">
        <w:t>,</w:t>
      </w:r>
      <w:r>
        <w:t xml:space="preserve"> and terminating at the 3’ LTR R-U5 boundary. This produces a transcript which begins R-U5 (repeated – unique 5’</w:t>
      </w:r>
      <w:r w:rsidR="00D341DF">
        <w:t xml:space="preserve"> sequence</w:t>
      </w:r>
      <w:r>
        <w:t>) and ends U3-R (unique 3’</w:t>
      </w:r>
      <w:r w:rsidR="00D341DF">
        <w:t xml:space="preserve"> sequence</w:t>
      </w:r>
      <w:r>
        <w:t xml:space="preserve"> – repeated), hence the </w:t>
      </w:r>
      <w:r w:rsidR="00D341DF">
        <w:t>LTR domain</w:t>
      </w:r>
      <w:r w:rsidR="004E5C2F">
        <w:t xml:space="preserve"> nomenclature</w:t>
      </w:r>
      <w:r>
        <w:t xml:space="preserve"> </w:t>
      </w:r>
      <w:r>
        <w:fldChar w:fldCharType="begin" w:fldLock="1"/>
      </w:r>
      <w:r w:rsidR="004E5C2F">
        <w:instrText>ADDIN CSL_CITATION { "citationItems" : [ { "id" : "ITEM-1", "itemData" : { "ISSN" : "0092-8674", "PMID" : "2418981", "abstract" : "Reverse transcription intermediate forms (minus and plus strong-stop DNA) are detected in Drosophila melanogaster cultured cells for mobile dispersed genetic elements mdg1, mdg3, and mdg4 (gypsy). The mdg elements studied possess a common mechanism of reverse transcription, despite their structural differences, and the comparative analysis of intermediate forms proves that mdg elements pass the same stages of reverse transcription as retroviruses. The length of minus strong-stop DNA that locates the RNA start site coincides with the data obtained from S1 nuclease analysis of transcription initiation. S1 analysis has also revealed that mdg LTRs have a U3-R-U5 structure analogous to that of retroviral LTRs. Transcription of mdg1, mdg3, and mdg4 is initiated within or immediately after the same sequence TCAGTPy. Neither the TATA box nor the CAAT box can be found at their characteristic positions upstream of the 5' ends of mRNAs.", "author" : [ { "dropping-particle" : "", "family" : "Arkhipova", "given" : "I R", "non-dropping-particle" : "", "parse-names" : false, "suffix" : "" }, { "dropping-particle" : "", "family" : "Mazo", "given" : "a M", "non-dropping-particle" : "", "parse-names" : false, "suffix" : "" }, { "dropping-particle" : "", "family" : "Cherkasova", "given" : "V a", "non-dropping-particle" : "", "parse-names" : false, "suffix" : "" }, { "dropping-particle" : "V", "family" : "Gorelova", "given" : "T", "non-dropping-particle" : "", "parse-names" : false, "suffix" : "" }, { "dropping-particle" : "", "family" : "Schuppe", "given" : "N G", "non-dropping-particle" : "", "parse-names" : false, "suffix" : "" }, { "dropping-particle" : "V", "family" : "Llyin", "given" : "Y", "non-dropping-particle" : "", "parse-names" : false, "suffix" : "" } ], "container-title" : "Cell", "id" : "ITEM-1", "issue" : "4", "issued" : { "date-parts" : [ [ "1986", "2", "28" ] ] }, "page" : "555-63", "title" : "The steps of reverse transcription of Drosophila mobile dispersed genetic elements and U3-R-U5 structure of their LTRs.", "type" : "article-journal", "volume" : "44" }, "uris" : [ "http://www.mendeley.com/documents/?uuid=b487a65e-9b1a-4e2b-9464-c4933a474b34" ] }, { "id" : "ITEM-2", "itemData" : { "DOI" : "10.1146/annurev.ge.24.120190.002205", "ISSN" : "0066-4197", "PMID" : "1708222", "abstract" : "Retroviruses are unique in that their propagation includes transfer of genetic information from RNA to DNA. Two enzymes (RT and RNA polymerase II) that participate in their replication process do not encode editing functions and are thus \"error prone.\" Current estimates indicate that up to one nucleotide substitution per genome occurs per retrovirus replication cycle. In addition, rearrangements can occur during reverse transcription. These mutations result in viral populations in which the wild-type sequence can only be defined by consensus. Retroviruses are also unusual among viruses in their high recombination frequency, which is the result of the copackaging, and then reverse transcribing of two different RNA genomes in the same particle. Recombinants are formed during copying of RNA templates into DNA. With the ability to mutate and recombine genetic information at a higher rate, retroviral populations are poised to respond to selective forces, which may increase or decrease replication of particular genotypes. Interspecies transmission of retroviruses or retroviral genes also likely plays a role in generating diversity. Endogenous proviruses exist in the germline of many vertebrates; pedigrees indicate that recent infections of the germline have also occurred. Thus, the selective forces that mold the retroviral genome may be opposing: selection for efficient replication as exogenous viruses versus selection for passive replication as endogenous proviruses. The latter may be more advantageous over the course of evolution since the survival of the retrovirus is ensured by survival of the host organism. Segments of endogenous viruses may reappear in exogenous viruses through recombination and thus these endogenous sequences are perpetuated.", "author" : [ { "dropping-particle" : "", "family" : "Katz", "given" : "R A", "non-dropping-particle" : "", "parse-names" : false, "suffix" : "" }, { "dropping-particle" : "", "family" : "Skalka", "given" : "A M", "non-dropping-particle" : "", "parse-names" : false, "suffix" : "" } ], "container-title" : "Annual review of genetics", "id" : "ITEM-2", "issued" : { "date-parts" : [ [ "1990", "1" ] ] }, "note" : "Retrovirus particles have two copies of a single stranded RNA genome. After infection these are copied into dsRNA by rt and integrated into cellular DNA forming a provirus. The viral genome can the be transcribed by host RNApolII.\n\n        \nRetrovirus classification used to be: Oncovirinae (cause malignancies but can also be nonpathogenic), Lentivirinae (slow viruses that cause various diseases) and the Spumavirinae (cause vacuolisation of cells, but no apprent disease). Other classification can be based on morphology and subcellular distribution. Now classification is based on molecular data. \nenv is the most variable retroviral gene (so would give greatest molecular phylogeny resolution - in exogenous) due to selection pressures from interacting with other cells and cellular receptors. \n\n        \nRNA viruses have rates of substitution of about 10-4/10-6 per site pre replication. Mutations that affect core genes can be rescued in trans through complementation with wild type sequence (or the other strand) in pseudotyping (aka phenotypic mixing). For RNA (ribo-) viruses to be successful the average number of mutations per genome cannot be high enough that it &amp;#039;ensures&amp;#039; a lethal mutation every round of replication, replication rates must be high enough to ensure the presence of adaptive mutations in every replicate round, and the number of mutations to give a particular desirable phenotype must be small (so that random changes don&amp;#039;t alter phenotypes too quickly). \nRetrovirus mutation rates appear higher than other riboviruses - 10-3/10-4 per site per year. rt misincorporation rate is 1 per 6000 bases (compared to 1 per 100,000 bases for polI) and rt lacks any kind of &amp;#039;proofreading&amp;#039; ability. rt is also known to jumpy between the two RNA strands increasing mutation rates and allowing recombination between heterogenous RNA strands creating chimeric recombinant viruses.  RNApolII also lacks any kind of proof reading capability.\n\n        \nSolid evidence for recombination between co-infecting retroviruses, retroviruses and endogenous sequences (both as RNA and as integrated DNA sequence), and with host genes - some of which have been incorporated into complex retrovirus (accessory gene containing) genomes. Some of these allow differential entry into cells, creation of oncogenic characteristics and increased pathogenesis. \n\n        \nInternal duplications, rearrangements and deletions are thought to occur through slippage (or mispriming), homologous recombination, random endonucleolytic action of IN within LTR repeat regions, and non-homologous recombination. \n\n        \n\n      ", "page" : "409-45", "title" : "Generation of diversity in retroviruses.", "type" : "article-journal", "volume" : "24" }, "uris" : [ "http://www.mendeley.com/documents/?uuid=dd4d1fd3-fd62-4ef2-92e8-004676b4e802" ] } ], "mendeley" : { "formattedCitation" : "(Arkhipova et al. 1986; Katz &amp; Skalka 1990)", "plainTextFormattedCitation" : "(Arkhipova et al. 1986; Katz &amp; Skalka 1990)", "previouslyFormattedCitation" : "(Arkhipova et al. 1986; Katz &amp; Skalka 1990)" }, "properties" : { "noteIndex" : 0 }, "schema" : "https://github.com/citation-style-language/schema/raw/master/csl-citation.json" }</w:instrText>
      </w:r>
      <w:r>
        <w:fldChar w:fldCharType="separate"/>
      </w:r>
      <w:r w:rsidRPr="00BE241A">
        <w:rPr>
          <w:noProof/>
        </w:rPr>
        <w:t>(Arkhipova et al. 1986; Katz &amp; Skalka 1990)</w:t>
      </w:r>
      <w:r>
        <w:fldChar w:fldCharType="end"/>
      </w:r>
      <w:r>
        <w:t>.</w:t>
      </w:r>
      <w:r w:rsidR="004E5C2F">
        <w:t xml:space="preserve"> Transcripts of the negative ‘template’ strand will be translated at the host ribosome into </w:t>
      </w:r>
      <w:r w:rsidR="00A850A8">
        <w:t>retro</w:t>
      </w:r>
      <w:r w:rsidR="004E5C2F">
        <w:t xml:space="preserve">viral proteins, and </w:t>
      </w:r>
      <w:r w:rsidR="00A850A8">
        <w:t xml:space="preserve">positive strand </w:t>
      </w:r>
      <w:r w:rsidR="004E5C2F">
        <w:t xml:space="preserve">transcripts form the templates for retrotransposition. Retrotransposition results in identical LTR sequences at the point of integration, enabling the estimation of element age from LTR nucleotide divergence, based on host rates of neutral evolution </w:t>
      </w:r>
      <w:r w:rsidR="004E5C2F">
        <w:fldChar w:fldCharType="begin" w:fldLock="1"/>
      </w:r>
      <w:r w:rsidR="00C617F7">
        <w:instrText>ADDIN CSL_CITATION { "citationItems" : [ { "id" : "ITEM-1", "itemData" : { "DOI" : "10.1093/molbev/msp295", "ISSN" : "1537-1719", "PMID" : "19955475", "abstract" : "It has been proposed that the insertion time of a long terminal repeat (LTR) retrotransposon can be estimated by the divergence between the two LTRs at the both ends because their sequences were identical at the insertion event. This method is based on the assumption that the two LTRs accumulate point mutations independently; therefore, the divergence reflects the time since the insertion event. However, if gene conversion occurs between LTRs, the nucleotide divergence will be much smaller than expected with the assumption of the independent accumulation of point mutations. To examine this assumption, we investigated the extent of gene conversion between LTRs by applying a comparative genomic approach to primates (humans and rhesus macaques) and rodents (mice and rats). We found that gene conversion plays a significant role in the molecular evolution of LTRs in primates and rodents, but the extent is quite different. In rodents, most LTRs are subject to extensive gene conversion that reduces the divergence, so that the divergence-based method results in a serious underestimation of the insertion time. In primates, this effect is limited to a small proportion of LTRs. The most likely explanation of the difference involves the minimum length of the interacting sequence (minimal efficient processing segment [MEPS]) for interlocus gene conversion. An empirical estimate of MEPS in human is 300-500 bp, which exceeds the length of most of the analyzed LTRs. In contrast, MEPS for mice should be much smaller. Thus, MEPS can be an important factor to determine the susceptibility of LTRs to gene conversion, although there are many other factors involved. It is concluded that the divergence method to estimate the insertion time should be applied with special caution because at least some LTRs undergo gene conversion.", "author" : [ { "dropping-particle" : "", "family" : "Kijima", "given" : "T E", "non-dropping-particle" : "", "parse-names" : false, "suffix" : "" }, { "dropping-particle" : "", "family" : "Innan", "given" : "Hideki", "non-dropping-particle" : "", "parse-names" : false, "suffix" : "" } ], "container-title" : "Molecular biology and evolution", "id" : "ITEM-1", "issue" : "4", "issued" : { "date-parts" : [ [ "2010", "4" ] ] }, "page" : "896-904", "title" : "On the estimation of the insertion time of LTR retrotransposable elements.", "type" : "article-journal", "volume" : "27" }, "uris" : [ "http://www.mendeley.com/documents/?uuid=e41e38ae-9340-4965-bb80-b4603e36272f" ] } ], "mendeley" : { "formattedCitation" : "(Kijima &amp; Innan 2010)", "plainTextFormattedCitation" : "(Kijima &amp; Innan 2010)", "previouslyFormattedCitation" : "(Kijima &amp; Innan 2010)" }, "properties" : { "noteIndex" : 0 }, "schema" : "https://github.com/citation-style-language/schema/raw/master/csl-citation.json" }</w:instrText>
      </w:r>
      <w:r w:rsidR="004E5C2F">
        <w:fldChar w:fldCharType="separate"/>
      </w:r>
      <w:r w:rsidR="004E5C2F" w:rsidRPr="004E5C2F">
        <w:rPr>
          <w:noProof/>
        </w:rPr>
        <w:t>(Kijima &amp; Innan 2010)</w:t>
      </w:r>
      <w:r w:rsidR="004E5C2F">
        <w:fldChar w:fldCharType="end"/>
      </w:r>
      <w:r w:rsidR="004E5C2F">
        <w:t xml:space="preserve">. </w:t>
      </w:r>
    </w:p>
    <w:p w14:paraId="371716EB" w14:textId="0A2047C0" w:rsidR="00A850A8" w:rsidRDefault="004E5C2F" w:rsidP="00391005">
      <w:pPr>
        <w:pStyle w:val="ListParagraph"/>
      </w:pPr>
      <w:r>
        <w:t xml:space="preserve">The mechanism for retrotransposition is summarised in </w:t>
      </w:r>
      <w:r>
        <w:fldChar w:fldCharType="begin" w:fldLock="1"/>
      </w:r>
      <w:r>
        <w:instrText xml:space="preserve"> REF _Ref483936991 \h </w:instrText>
      </w:r>
      <w:r>
        <w:fldChar w:fldCharType="separate"/>
      </w:r>
      <w:r w:rsidR="002C549C">
        <w:t xml:space="preserve">Figure </w:t>
      </w:r>
      <w:r w:rsidR="002C549C">
        <w:rPr>
          <w:noProof/>
        </w:rPr>
        <w:t>1</w:t>
      </w:r>
      <w:r w:rsidR="002C549C">
        <w:t>.</w:t>
      </w:r>
      <w:r w:rsidR="002C549C">
        <w:rPr>
          <w:noProof/>
        </w:rPr>
        <w:t>2</w:t>
      </w:r>
      <w:r>
        <w:fldChar w:fldCharType="end"/>
      </w:r>
      <w:r w:rsidR="00EE0EF5">
        <w:t>.</w:t>
      </w:r>
    </w:p>
    <w:p w14:paraId="21CB538A" w14:textId="26793973" w:rsidR="00A850A8" w:rsidRDefault="00A850A8" w:rsidP="00391005">
      <w:pPr>
        <w:pStyle w:val="ListParagraph"/>
      </w:pPr>
    </w:p>
    <w:p w14:paraId="0B6C8652" w14:textId="77777777" w:rsidR="00A850A8" w:rsidRDefault="00A850A8" w:rsidP="00A850A8">
      <w:pPr>
        <w:pStyle w:val="Heading4"/>
      </w:pPr>
      <w:r>
        <w:t>Integration sites and genomic fates</w:t>
      </w:r>
    </w:p>
    <w:p w14:paraId="5D69A006" w14:textId="2E18B038" w:rsidR="00A850A8" w:rsidRDefault="00A850A8" w:rsidP="00A850A8">
      <w:pPr>
        <w:pStyle w:val="ListParagraph"/>
      </w:pPr>
      <w:r>
        <w:t xml:space="preserve">The integration site greatly impacts the evolutionary success of an LTR retrotransposon, as natural selection will act to remove insertions which are detrimental to the host. This is often difficult to study accurately as the observable distribution is a result of the effects of selection </w:t>
      </w:r>
      <w:r>
        <w:fldChar w:fldCharType="begin" w:fldLock="1"/>
      </w:r>
      <w:r>
        <w:instrText>ADDIN CSL_CITATION { "citationItems" : [ { "id" : "ITEM-1", "itemData" : { "author" : [ { "dropping-particle" : "", "family" : "Bushman", "given" : "FD", "non-dropping-particle" : "", "parse-names" : false, "suffix" : "" } ], "container-title" : "Cell", "id" : "ITEM-1", "issued" : { "date-parts" : [ [ "2003" ] ] }, "note" : "Different integration sites have a decisive influence on retroviral growth - but integration is not sequence specific, so there is a risk of integrating at an unfavourable location.\nPressure on appropriate integration of endogenous or retrotransposon elements is in some ways more stringent, as the integration must not endanger the cell survival.\nThis is especially potent when Ty and Tf elements in yeast move around a genome that can have 60-70% of its sequence responsible for coding proteins - particularly an issue for gene disruption when many yeasts have long periods in a haploid state. \nTy3 elements integrate only in DNA encoding the 5' end of Pol3 transcripts (Ty1 uses a windowof about 750bp in the same region). \nTy3 appears to integrate by using local tethering' of the integration complex to the TFIIIB component of the Pol3 transcription appartus. Ty1 mechanism is not yet clarified. \nTf elements are simialr but with Pol2. Both types making use of 'benign' areas of the genome. \nSimilarly Ty5 integrates in heterochromatin at telomeres or silent mating loci - can be tolerated. \n\n\nSome viruses target actively transcribed areas - like HIV. Difference in element lifestyle.\n\n\nERVs appear to have a different mechanism. The vast majority accumulate outside of genic regions, seems very likely that post-integration selection has a strong role in that. The minority of ERVs (looking at HERVs) that were in genes were oriented in the opposite direction 80% of the time. This will not disrupt genic function - making the insertion benign.", "page" : "135-138", "title" : "Targeting survival: integration site selection by retroviruses and LTR-retrotransposons", "type" : "article-journal", "volume" : "115" }, "uris" : [ "http://www.mendeley.com/documents/?uuid=b3c72522-f0c8-432c-b208-09f4f3783203" ] } ], "mendeley" : { "formattedCitation" : "(Bushman 2003)", "plainTextFormattedCitation" : "(Bushman 2003)", "previouslyFormattedCitation" : "(Bushman 2003)" }, "properties" : { "noteIndex" : 0 }, "schema" : "https://github.com/citation-style-language/schema/raw/master/csl-citation.json" }</w:instrText>
      </w:r>
      <w:r>
        <w:fldChar w:fldCharType="separate"/>
      </w:r>
      <w:r w:rsidRPr="00C617F7">
        <w:rPr>
          <w:noProof/>
        </w:rPr>
        <w:t>(Bushman 2003)</w:t>
      </w:r>
      <w:r>
        <w:fldChar w:fldCharType="end"/>
      </w:r>
      <w:r>
        <w:t xml:space="preserve">. The LTR retrotransposon integrase is non-sequence-specific, but the accessory genes or domains in some groups enable specific targeting. For example, chromodomain-mediated cDNA tethering to RNA polymerase III facilitates </w:t>
      </w:r>
      <w:r w:rsidR="00455D77">
        <w:t xml:space="preserve">the integration of chromovirus </w:t>
      </w:r>
      <w:r>
        <w:t>LTR retrotransposon</w:t>
      </w:r>
      <w:r w:rsidR="00455D77">
        <w:t>s</w:t>
      </w:r>
      <w:r w:rsidR="00A82C22">
        <w:t xml:space="preserve"> (part of the Gypsy/Ty3 supergroup)</w:t>
      </w:r>
      <w:r>
        <w:t xml:space="preserve"> near </w:t>
      </w:r>
      <w:r w:rsidR="00A82C22">
        <w:t xml:space="preserve">RNA </w:t>
      </w:r>
      <w:r>
        <w:t xml:space="preserve">genes transcribed by this polymerase </w:t>
      </w:r>
      <w:r>
        <w:fldChar w:fldCharType="begin" w:fldLock="1"/>
      </w:r>
      <w:r>
        <w:instrText>ADDIN CSL_CITATION { "citationItems" : [ { "id" : "ITEM-1", "itemData" : { "author" : [ { "dropping-particle" : "", "family" : "Malik", "given" : "HS", "non-dropping-particle" : "", "parse-names" : false, "suffix" : "" }, { "dropping-particle" : "", "family" : "Eickbush", "given" : "TH", "non-dropping-particle" : "", "parse-names" : false, "suffix" : "" } ], "container-title" : "Journal of virology", "id" : "ITEM-1", "issue" : "6", "issued" : { "date-parts" : [ [ "1999" ] ] }, "note" : "Ty3/Gypsy group seem to differ from retroviruses by some elements having very high levels of specificity for insertion sites - within 5bp of the start of RNApolIII transcribed genes. These kinds of genes have internal promoters so retroelement insertion will have little impact on gene expression. This is thought to occur by ty3 integration machinery tethering to the RNApolIII initiation complex. \n\n        \nAppears to be a great deal of chimerism throughout thsi group to give different structures, including the pol gene rearrangements. \n\n        \nAncestral gypsy appears to have had some form of chromodomain which gives specificity. This may allow specific insertion related to protein-protein interaction rather than any kind of sequence specificity. ", "page" : "5186-5190", "title" : "Modular evolution of the integrase domain in the Ty3/Gypsy class of LTR retrotransposons", "type" : "article-journal", "volume" : "73" }, "uris" : [ "http://www.mendeley.com/documents/?uuid=5dcbb44e-140f-4fca-b291-4a974d535b6f" ] }, { "id" : "ITEM-2", "itemData" : { "author" : [ { "dropping-particle" : "", "family" : "Bushman", "given" : "FD", "non-dropping-particle" : "", "parse-names" : false, "suffix" : "" } ], "container-title" : "Cell", "id" : "ITEM-2", "issued" : { "date-parts" : [ [ "2003" ] ] }, "note" : "Different integration sites have a decisive influence on retroviral growth - but integration is not sequence specific, so there is a risk of integrating at an unfavourable location.\nPressure on appropriate integration of endogenous or retrotransposon elements is in some ways more stringent, as the integration must not endanger the cell survival.\nThis is especially potent when Ty and Tf elements in yeast move around a genome that can have 60-70% of its sequence responsible for coding proteins - particularly an issue for gene disruption when many yeasts have long periods in a haploid state. \nTy3 elements integrate only in DNA encoding the 5' end of Pol3 transcripts (Ty1 uses a windowof about 750bp in the same region). \nTy3 appears to integrate by using local tethering' of the integration complex to the TFIIIB component of the Pol3 transcription appartus. Ty1 mechanism is not yet clarified. \nTf elements are simialr but with Pol2. Both types making use of 'benign' areas of the genome. \nSimilarly Ty5 integrates in heterochromatin at telomeres or silent mating loci - can be tolerated. \n\n\nSome viruses target actively transcribed areas - like HIV. Difference in element lifestyle.\n\n\nERVs appear to have a different mechanism. The vast majority accumulate outside of genic regions, seems very likely that post-integration selection has a strong role in that. The minority of ERVs (looking at HERVs) that were in genes were oriented in the opposite direction 80% of the time. This will not disrupt genic function - making the insertion benign.", "page" : "135-138", "title" : "Targeting survival: integration site selection by retroviruses and LTR-retrotransposons", "type" : "article-journal", "volume" : "115" }, "uris" : [ "http://www.mendeley.com/documents/?uuid=b3c72522-f0c8-432c-b208-09f4f3783203" ] } ], "mendeley" : { "formattedCitation" : "(Malik &amp; Eickbush 1999; Bushman 2003)", "plainTextFormattedCitation" : "(Malik &amp; Eickbush 1999; Bushman 2003)", "previouslyFormattedCitation" : "(Malik &amp; Eickbush 1999; Bushman 2003)" }, "properties" : { "noteIndex" : 0 }, "schema" : "https://github.com/citation-style-language/schema/raw/master/csl-citation.json" }</w:instrText>
      </w:r>
      <w:r>
        <w:fldChar w:fldCharType="separate"/>
      </w:r>
      <w:r w:rsidRPr="00C617F7">
        <w:rPr>
          <w:noProof/>
        </w:rPr>
        <w:t>(Malik &amp; Eickbush 1999; Bushman 2003)</w:t>
      </w:r>
      <w:r>
        <w:fldChar w:fldCharType="end"/>
      </w:r>
      <w:r>
        <w:t xml:space="preserve">. Furthermore, integration bias largely depends on when existing LTR retrotransposons can retrotranspose (due to epigenetic silencing), and whether its cDNA and integrase (produced in the cytoplasm) can access the genome whilst the nuclear membrane is present </w:t>
      </w:r>
      <w:r>
        <w:fldChar w:fldCharType="begin" w:fldLock="1"/>
      </w:r>
      <w:r>
        <w:instrText>ADDIN CSL_CITATION { "citationItems" : [ { "id" : "ITEM-1", "itemData" : { "DOI" : "10.3390/v2010111", "ISBN" : "4121314409", "ISSN" : "1999-4915", "PMID" : "21994603", "abstract" : "The stable insertion of a copy of their genome into the host cell genome is an essential step of the life cycle of retroviruses. The site of viral DNA integration, mediated by the viral-encoded integrase enzyme, has important consequences for both the virus and the host cell. The analysis of retroviral integration site distribution was facilitated by the availability of the human genome sequence, revealing the non-random feature of integration site selection and identifying different favored and disfavored genomic locations for individual retroviruses. This review will summarize the current knowledge about retroviral differences in their integration site preferences as well as the mechanisms involved in this process.", "author" : [ { "dropping-particle" : "", "family" : "Desfarges", "given" : "S\u00e9bastien", "non-dropping-particle" : "", "parse-names" : false, "suffix" : "" }, { "dropping-particle" : "", "family" : "Ciuffi", "given" : "Angela", "non-dropping-particle" : "", "parse-names" : false, "suffix" : "" } ], "container-title" : "Viruses", "id" : "ITEM-1", "issue" : "1", "issued" : { "date-parts" : [ [ "2010", "1" ] ] }, "page" : "111-30", "title" : "Retroviral integration site selection.", "type" : "article-journal", "volume" : "2" }, "uris" : [ "http://www.mendeley.com/documents/?uuid=c1327dc1-feaa-4aa9-9b60-a1a7ff301739" ] } ], "mendeley" : { "formattedCitation" : "(Desfarges &amp; Ciuffi 2010)", "plainTextFormattedCitation" : "(Desfarges &amp; Ciuffi 2010)", "previouslyFormattedCitation" : "(Desfarges &amp; Ciuffi 2010)" }, "properties" : { "noteIndex" : 0 }, "schema" : "https://github.com/citation-style-language/schema/raw/master/csl-citation.json" }</w:instrText>
      </w:r>
      <w:r>
        <w:fldChar w:fldCharType="separate"/>
      </w:r>
      <w:r w:rsidRPr="00C617F7">
        <w:rPr>
          <w:noProof/>
        </w:rPr>
        <w:t>(Desfarges &amp; Ciuffi 2010)</w:t>
      </w:r>
      <w:r>
        <w:fldChar w:fldCharType="end"/>
      </w:r>
      <w:r>
        <w:t xml:space="preserve">. </w:t>
      </w:r>
    </w:p>
    <w:p w14:paraId="0B1BD524" w14:textId="0AB3832B" w:rsidR="00A850A8" w:rsidRPr="00A82C22" w:rsidRDefault="00A850A8" w:rsidP="00391005">
      <w:pPr>
        <w:pStyle w:val="ListParagraph"/>
      </w:pPr>
      <w:r>
        <w:t>Most LTR retrotransposon insertions have limited impact on the host</w:t>
      </w:r>
      <w:r w:rsidR="005868AA">
        <w:t>, so are retained in the genome</w:t>
      </w:r>
      <w:r>
        <w:t xml:space="preserve"> but degrade over </w:t>
      </w:r>
      <w:r w:rsidR="005868AA">
        <w:t>many host generations</w:t>
      </w:r>
      <w:r>
        <w:t xml:space="preserve">. Degradation occurs through polymerase slippage (causing frameshifts or single nucleotide polymorphisms; SNPs), the random endonucleolytic action of integrase, and homologous and non-homologous recombination events </w:t>
      </w:r>
      <w:r>
        <w:fldChar w:fldCharType="begin" w:fldLock="1"/>
      </w:r>
      <w:r>
        <w:instrText>ADDIN CSL_CITATION { "citationItems" : [ { "id" : "ITEM-1", "itemData" : { "DOI" : "10.1146/annurev.ge.24.120190.002205", "ISSN" : "0066-4197", "PMID" : "1708222", "abstract" : "Retroviruses are unique in that their propagation includes transfer of genetic information from RNA to DNA. Two enzymes (RT and RNA polymerase II) that participate in their replication process do not encode editing functions and are thus \"error prone.\" Current estimates indicate that up to one nucleotide substitution per genome occurs per retrovirus replication cycle. In addition, rearrangements can occur during reverse transcription. These mutations result in viral populations in which the wild-type sequence can only be defined by consensus. Retroviruses are also unusual among viruses in their high recombination frequency, which is the result of the copackaging, and then reverse transcribing of two different RNA genomes in the same particle. Recombinants are formed during copying of RNA templates into DNA. With the ability to mutate and recombine genetic information at a higher rate, retroviral populations are poised to respond to selective forces, which may increase or decrease replication of particular genotypes. Interspecies transmission of retroviruses or retroviral genes also likely plays a role in generating diversity. Endogenous proviruses exist in the germline of many vertebrates; pedigrees indicate that recent infections of the germline have also occurred. Thus, the selective forces that mold the retroviral genome may be opposing: selection for efficient replication as exogenous viruses versus selection for passive replication as endogenous proviruses. The latter may be more advantageous over the course of evolution since the survival of the retrovirus is ensured by survival of the host organism. Segments of endogenous viruses may reappear in exogenous viruses through recombination and thus these endogenous sequences are perpetuated.", "author" : [ { "dropping-particle" : "", "family" : "Katz", "given" : "R A", "non-dropping-particle" : "", "parse-names" : false, "suffix" : "" }, { "dropping-particle" : "", "family" : "Skalka", "given" : "A M", "non-dropping-particle" : "", "parse-names" : false, "suffix" : "" } ], "container-title" : "Annual review of genetics", "id" : "ITEM-1", "issued" : { "date-parts" : [ [ "1990", "1" ] ] }, "note" : "Retrovirus particles have two copies of a single stranded RNA genome. After infection these are copied into dsRNA by rt and integrated into cellular DNA forming a provirus. The viral genome can the be transcribed by host RNApolII.\n\n        \nRetrovirus classification used to be: Oncovirinae (cause malignancies but can also be nonpathogenic), Lentivirinae (slow viruses that cause various diseases) and the Spumavirinae (cause vacuolisation of cells, but no apprent disease). Other classification can be based on morphology and subcellular distribution. Now classification is based on molecular data. \nenv is the most variable retroviral gene (so would give greatest molecular phylogeny resolution - in exogenous) due to selection pressures from interacting with other cells and cellular receptors. \n\n        \nRNA viruses have rates of substitution of about 10-4/10-6 per site pre replication. Mutations that affect core genes can be rescued in trans through complementation with wild type sequence (or the other strand) in pseudotyping (aka phenotypic mixing). For RNA (ribo-) viruses to be successful the average number of mutations per genome cannot be high enough that it &amp;#039;ensures&amp;#039; a lethal mutation every round of replication, replication rates must be high enough to ensure the presence of adaptive mutations in every replicate round, and the number of mutations to give a particular desirable phenotype must be small (so that random changes don&amp;#039;t alter phenotypes too quickly). \nRetrovirus mutation rates appear higher than other riboviruses - 10-3/10-4 per site per year. rt misincorporation rate is 1 per 6000 bases (compared to 1 per 100,000 bases for polI) and rt lacks any kind of &amp;#039;proofreading&amp;#039; ability. rt is also known to jumpy between the two RNA strands increasing mutation rates and allowing recombination between heterogenous RNA strands creating chimeric recombinant viruses.  RNApolII also lacks any kind of proof reading capability.\n\n        \nSolid evidence for recombination between co-infecting retroviruses, retroviruses and endogenous sequences (both as RNA and as integrated DNA sequence), and with host genes - some of which have been incorporated into complex retrovirus (accessory gene containing) genomes. Some of these allow differential entry into cells, creation of oncogenic characteristics and increased pathogenesis. \n\n        \nInternal duplications, rearrangements and deletions are thought to occur through slippage (or mispriming), homologous recombination, random endonucleolytic action of IN within LTR repeat regions, and non-homologous recombination. \n\n        \n\n      ", "page" : "409-45", "title" : "Generation of diversity in retroviruses.", "type" : "article-journal", "volume" : "24" }, "uris" : [ "http://www.mendeley.com/documents/?uuid=dd4d1fd3-fd62-4ef2-92e8-004676b4e802" ] }, { "id" : "ITEM-2", "itemData" : { "DOI" : "10.1016/S0169-5347(01)02394-1", "ISSN" : "01695347", "author" : [ { "dropping-particle" : "", "family" : "Bromham", "given" : "Lindell", "non-dropping-particle" : "", "parse-names" : false, "suffix" : "" } ], "container-title" : "Trends in Ecology &amp; Evolution", "id" : "ITEM-2", "issue" : "2", "issued" : { "date-parts" : [ [ "2002", "2" ] ] }, "note" : "Five fates for viral DNA within the genome:\n1) retains ability to produce viral particles \n2) retains transpositional ability\n3) viral sequence co-opted into host genomic function\n4) viral sequence decays into &amp;#039;junk&amp;#039; \n5) excision from the DNA - either totally or leaving a solo LTR sequence\nThese fates are not mutually exclusive.\n\n        \nDecent review - not much new stuff.", "page" : "91-97", "title" : "The human zoo: endogenous retroviruses in the human genome", "type" : "article-journal", "volume" : "17" }, "uris" : [ "http://www.mendeley.com/documents/?uuid=1237f20e-0a17-4fe9-a650-43031968c7ea" ] } ], "mendeley" : { "formattedCitation" : "(Katz &amp; Skalka 1990; Bromham 2002)", "plainTextFormattedCitation" : "(Katz &amp; Skalka 1990; Bromham 2002)", "previouslyFormattedCitation" : "(Katz &amp; Skalka 1990; Bromham 2002)" }, "properties" : { "noteIndex" : 0 }, "schema" : "https://github.com/citation-style-language/schema/raw/master/csl-citation.json" }</w:instrText>
      </w:r>
      <w:r>
        <w:fldChar w:fldCharType="separate"/>
      </w:r>
      <w:r w:rsidRPr="00A900C7">
        <w:rPr>
          <w:noProof/>
        </w:rPr>
        <w:t>(Katz &amp; Skalka 1990; Bromham 2002)</w:t>
      </w:r>
      <w:r>
        <w:fldChar w:fldCharType="end"/>
      </w:r>
      <w:r>
        <w:t xml:space="preserve">. These processes erode </w:t>
      </w:r>
      <w:r>
        <w:lastRenderedPageBreak/>
        <w:t>the archetypal LTR retrotransposon structure leading to truncations or the excision of internal domains (</w:t>
      </w:r>
      <w:r>
        <w:fldChar w:fldCharType="begin" w:fldLock="1"/>
      </w:r>
      <w:r>
        <w:instrText xml:space="preserve"> REF _Ref484240339 \h </w:instrText>
      </w:r>
      <w:r>
        <w:fldChar w:fldCharType="separate"/>
      </w:r>
      <w:r w:rsidR="002C549C">
        <w:t xml:space="preserve">Figure </w:t>
      </w:r>
      <w:r w:rsidR="002C549C">
        <w:rPr>
          <w:noProof/>
        </w:rPr>
        <w:t>1</w:t>
      </w:r>
      <w:r w:rsidR="002C549C">
        <w:t>.</w:t>
      </w:r>
      <w:r w:rsidR="002C549C">
        <w:rPr>
          <w:noProof/>
        </w:rPr>
        <w:t>3</w:t>
      </w:r>
      <w:r>
        <w:fldChar w:fldCharType="end"/>
      </w:r>
      <w:r>
        <w:t xml:space="preserve">). Commonly, the identical LTR pairs will recombine leaving ‘solo LTRs’ which are sixty to a </w:t>
      </w:r>
      <w:r w:rsidR="008F54DE">
        <w:t>hundred times more abundant in e</w:t>
      </w:r>
      <w:r>
        <w:t xml:space="preserve">ukaryotic genomes than intact elements </w:t>
      </w:r>
      <w:r>
        <w:fldChar w:fldCharType="begin" w:fldLock="1"/>
      </w:r>
      <w:r>
        <w:instrText>ADDIN CSL_CITATION { "citationItems" : [ { "id" : "ITEM-1", "itemData" : { "ISSN" : "0960-9822", "PMID" : "11719237", "abstract" : "Embedded in the genomes of all vertebrates are the proviral remnants of previous retroviral infections. Although the overwhelming majority has suffered inactivating mutations, current research suggests that members of one family of human retroelements may still be capable of movement.", "author" : [ { "dropping-particle" : "", "family" : "Stoye", "given" : "J P", "non-dropping-particle" : "", "parse-names" : false, "suffix" : "" } ], "container-title" : "Current biology : CB", "id" : "ITEM-1", "issue" : "22", "issued" : { "date-parts" : [ [ "2001", "11", "13" ] ] }, "note" : "Most species have a few proviruses with replicative potential - a handful of these are associated with spontaneous tumour growth. Humans are believed to be an exception, with no active proviruses. \n\n        \nEach ERV group (a group being defined as an insertion sequence and its &amp;#039;progeny&amp;#039;) undergoes amplification independently - full length proviruses are 10-100x less frequent than solo LTRs. \n\n        \nHERVs include:\ntype 1 - gammaretroviruses\ntype 2 - betaretroviruses\ntype 3 - spuma retroviruses\n\n        \nERVs show a &amp;#039;significant tendency&amp;#039; to recombine:\n- homologous recombination between LTRs resulting in solo LTRs\n- recombination between two different proviruses leading to deletions or substantial rearrangements of cellular host DNA\n- recombination between the 3&amp;#039; and 5&amp;#039; LTRs of allelic proviruses resulting in tandemly duplicated provirus\n- gene conversion events\n\n        \nThere is no mechanism for the precise excision of a provirus. ", "page" : "R914-6", "title" : "Endogenous retroviruses: still active after all these years?", "type" : "article-journal", "volume" : "11" }, "uris" : [ "http://www.mendeley.com/documents/?uuid=e77bc578-d4dc-4f02-a2ab-60ae67d49bf7" ] } ], "mendeley" : { "formattedCitation" : "(Stoye 2001)", "plainTextFormattedCitation" : "(Stoye 2001)", "previouslyFormattedCitation" : "(Stoye 2001)" }, "properties" : { "noteIndex" : 0 }, "schema" : "https://github.com/citation-style-language/schema/raw/master/csl-citation.json" }</w:instrText>
      </w:r>
      <w:r>
        <w:fldChar w:fldCharType="separate"/>
      </w:r>
      <w:r w:rsidRPr="00A900C7">
        <w:rPr>
          <w:noProof/>
        </w:rPr>
        <w:t>(Stoye 2001)</w:t>
      </w:r>
      <w:r>
        <w:fldChar w:fldCharType="end"/>
      </w:r>
      <w:r w:rsidR="00A82C22">
        <w:t xml:space="preserve">. </w:t>
      </w:r>
    </w:p>
    <w:p w14:paraId="6193F017" w14:textId="77777777" w:rsidR="00A850A8" w:rsidRPr="00A850A8" w:rsidRDefault="00A850A8" w:rsidP="00391005">
      <w:pPr>
        <w:pStyle w:val="ListParagraph"/>
        <w:rPr>
          <w:sz w:val="2"/>
        </w:rPr>
      </w:pPr>
    </w:p>
    <w:p w14:paraId="33C5AB50" w14:textId="77777777" w:rsidR="00B06469" w:rsidRDefault="00B06469" w:rsidP="00A850A8">
      <w:pPr>
        <w:pStyle w:val="ListParagraph"/>
        <w:jc w:val="center"/>
      </w:pPr>
      <w:r>
        <w:rPr>
          <w:noProof/>
          <w:lang w:eastAsia="en-GB"/>
        </w:rPr>
        <w:drawing>
          <wp:inline distT="0" distB="0" distL="0" distR="0" wp14:anchorId="776982B2" wp14:editId="3BDC22AE">
            <wp:extent cx="4622271" cy="3971925"/>
            <wp:effectExtent l="0" t="0" r="698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989" r="2885" b="2137"/>
                    <a:stretch/>
                  </pic:blipFill>
                  <pic:spPr bwMode="auto">
                    <a:xfrm>
                      <a:off x="0" y="0"/>
                      <a:ext cx="4668911" cy="4012003"/>
                    </a:xfrm>
                    <a:prstGeom prst="rect">
                      <a:avLst/>
                    </a:prstGeom>
                    <a:noFill/>
                    <a:ln>
                      <a:noFill/>
                    </a:ln>
                    <a:extLst>
                      <a:ext uri="{53640926-AAD7-44D8-BBD7-CCE9431645EC}">
                        <a14:shadowObscured xmlns:a14="http://schemas.microsoft.com/office/drawing/2010/main"/>
                      </a:ext>
                    </a:extLst>
                  </pic:spPr>
                </pic:pic>
              </a:graphicData>
            </a:graphic>
          </wp:inline>
        </w:drawing>
      </w:r>
    </w:p>
    <w:p w14:paraId="360AE817" w14:textId="643BEFFB" w:rsidR="001369C1" w:rsidRPr="003A3EAD" w:rsidRDefault="00B06469" w:rsidP="00A850A8">
      <w:pPr>
        <w:pStyle w:val="Figure"/>
      </w:pPr>
      <w:bookmarkStart w:id="34" w:name="_Ref483936991"/>
      <w:bookmarkStart w:id="35" w:name="_Toc486785422"/>
      <w:r>
        <w:t xml:space="preserve">Figure </w:t>
      </w:r>
      <w:fldSimple w:instr=" STYLEREF 1 \s " w:fldLock="1">
        <w:r w:rsidR="002C549C">
          <w:rPr>
            <w:noProof/>
          </w:rPr>
          <w:t>1</w:t>
        </w:r>
      </w:fldSimple>
      <w:r w:rsidR="001167C6">
        <w:t>.</w:t>
      </w:r>
      <w:fldSimple w:instr=" SEQ Figure \* ARABIC \s 1 " w:fldLock="1">
        <w:r w:rsidR="002C549C">
          <w:rPr>
            <w:noProof/>
          </w:rPr>
          <w:t>2</w:t>
        </w:r>
      </w:fldSimple>
      <w:bookmarkEnd w:id="34"/>
      <w:r>
        <w:t xml:space="preserve"> Mechanism for LTR retrotransposon expression and retrotransposition. A). An intact, replication competent LTR retrotransposon hijacks host cell replicative machinery to express a positive single strand RNA (ssRNA) copy from the transcription start site (TSS) located at the U3-R boundary in the 5’ LTR. Transcr</w:t>
      </w:r>
      <w:r w:rsidR="005868AA">
        <w:t xml:space="preserve">iption extends to the 3’ LTR </w:t>
      </w:r>
      <w:r>
        <w:t>R</w:t>
      </w:r>
      <w:r w:rsidR="005868AA">
        <w:t>-U5</w:t>
      </w:r>
      <w:r>
        <w:t xml:space="preserve"> boundary. Similar transcription to produce a negative ssRNA enables expression and translation of the internal coding regions. B). A host tRNA binds to the primer binding region (PBS) of the positive ssRNA and reverse transcriptase (RT) produces complementary single strand DNA (ssDNA). C). After reaching the end of the ssRNA template, the ssDNA and RT lifts off and binds to the 3’ end due to the shared LTR R region homology, and RT continues. D) RNaseH activity breaks down the ssRNA template to leave the polypurine tract (PPT), which acts as a primer for RT synthesis of the ssDNA complementary strand. E). In the same manner as part C, the RT lifts off to synthesise the remainder of the complementary strand, creating the double strand DNA ready for genomic insertion via the action of integrase (F). Figure adapted from </w:t>
      </w:r>
      <w:r>
        <w:fldChar w:fldCharType="begin" w:fldLock="1"/>
      </w:r>
      <w:r>
        <w:instrText>ADDIN CSL_CITATION { "citationItems" : [ { "id" : "ITEM-1", "itemData" : { "ISSN" : "0092-8674", "PMID" : "2418981", "abstract" : "Reverse transcription intermediate forms (minus and plus strong-stop DNA) are detected in Drosophila melanogaster cultured cells for mobile dispersed genetic elements mdg1, mdg3, and mdg4 (gypsy). The mdg elements studied possess a common mechanism of reverse transcription, despite their structural differences, and the comparative analysis of intermediate forms proves that mdg elements pass the same stages of reverse transcription as retroviruses. The length of minus strong-stop DNA that locates the RNA start site coincides with the data obtained from S1 nuclease analysis of transcription initiation. S1 analysis has also revealed that mdg LTRs have a U3-R-U5 structure analogous to that of retroviral LTRs. Transcription of mdg1, mdg3, and mdg4 is initiated within or immediately after the same sequence TCAGTPy. Neither the TATA box nor the CAAT box can be found at their characteristic positions upstream of the 5' ends of mRNAs.", "author" : [ { "dropping-particle" : "", "family" : "Arkhipova", "given" : "I R", "non-dropping-particle" : "", "parse-names" : false, "suffix" : "" }, { "dropping-particle" : "", "family" : "Mazo", "given" : "a M", "non-dropping-particle" : "", "parse-names" : false, "suffix" : "" }, { "dropping-particle" : "", "family" : "Cherkasova", "given" : "V a", "non-dropping-particle" : "", "parse-names" : false, "suffix" : "" }, { "dropping-particle" : "V", "family" : "Gorelova", "given" : "T", "non-dropping-particle" : "", "parse-names" : false, "suffix" : "" }, { "dropping-particle" : "", "family" : "Schuppe", "given" : "N G", "non-dropping-particle" : "", "parse-names" : false, "suffix" : "" }, { "dropping-particle" : "V", "family" : "Llyin", "given" : "Y", "non-dropping-particle" : "", "parse-names" : false, "suffix" : "" } ], "container-title" : "Cell", "id" : "ITEM-1", "issue" : "4", "issued" : { "date-parts" : [ [ "1986", "2", "28" ] ] }, "page" : "555-63", "title" : "The steps of reverse transcription of Drosophila mobile dispersed genetic elements and U3-R-U5 structure of their LTRs.", "type" : "article-journal", "volume" : "44" }, "uris" : [ "http://www.mendeley.com/documents/?uuid=b487a65e-9b1a-4e2b-9464-c4933a474b34" ] }, { "id" : "ITEM-2", "itemData" : { "DOI" : "10.4161/viru.32180", "ISSN" : "2150-5594", "PMID" : "25101670", "abstract" : "Retrotransposons constitute a major part of the genome in a number of eukaryotes. Long-terminal repeat (LTR) retrotransposons are one type of the retrotransposons. Candida albicans have 34 distinct LTR-retrotransposon families. They respectively belong to the Ty1/copia and Ty3/gypsy groups which have been extensively studied in the model yeast Saccharomyces cerevisiae. LTR-retrotransposons carry two LTRs flanking a long internal protein-coding domain, open reading frames. LTR-retrotransposons use RNA as intermediate to synthesize double-stranded DNA copies. In this article, we describe the structure feature, retrotransposition mechanism and the influence on organism diversity of LTR retrotransposons in C. albicans. We also discuss the relationship between pathogenicity and LTR retrotransposons in C. albicans.", "author" : [ { "dropping-particle" : "", "family" : "Zhang", "given" : "Lulu", "non-dropping-particle" : "", "parse-names" : false, "suffix" : "" }, { "dropping-particle" : "", "family" : "Yan", "given" : "Lan", "non-dropping-particle" : "", "parse-names" : false, "suffix" : "" }, { "dropping-particle" : "", "family" : "Jiang", "given" : "Jingchen", "non-dropping-particle" : "", "parse-names" : false, "suffix" : "" }, { "dropping-particle" : "", "family" : "Wang", "given" : "Yan", "non-dropping-particle" : "", "parse-names" : false, "suffix" : "" }, { "dropping-particle" : "", "family" : "Jiang", "given" : "Yuanying", "non-dropping-particle" : "", "parse-names" : false, "suffix" : "" }, { "dropping-particle" : "", "family" : "Yan", "given" : "Tianhua", "non-dropping-particle" : "", "parse-names" : false, "suffix" : "" }, { "dropping-particle" : "", "family" : "Cao", "given" : "Yongbing", "non-dropping-particle" : "", "parse-names" : false, "suffix" : "" } ], "container-title" : "Virulence", "id" : "ITEM-2", "issue" : "6", "issued" : { "date-parts" : [ [ "2014" ] ] }, "page" : "655-664", "title" : "The structure and retrotransposition mechanism of LTR-retrotransposons in the asexual yeast &lt;i&gt;Candida albicans&lt;/i&gt;", "type" : "article-journal", "volume" : "5" }, "uris" : [ "http://www.mendeley.com/documents/?uuid=b1ae644c-db57-4abf-9e18-f64df424246c" ] } ], "mendeley" : { "formattedCitation" : "(Arkhipova et al. 1986; Zhang et al. 2014)", "manualFormatting" : "Arkhipova et al. 1986 and Zhang et al. 2014", "plainTextFormattedCitation" : "(Arkhipova et al. 1986; Zhang et al. 2014)", "previouslyFormattedCitation" : "(Arkhipova et al. 1986; Zhang et al. 2014)" }, "properties" : { "noteIndex" : 0 }, "schema" : "https://github.com/citation-style-language/schema/raw/master/csl-citation.json" }</w:instrText>
      </w:r>
      <w:r>
        <w:fldChar w:fldCharType="separate"/>
      </w:r>
      <w:r>
        <w:rPr>
          <w:noProof/>
        </w:rPr>
        <w:t>Arkhipova et al. 1986 and</w:t>
      </w:r>
      <w:r w:rsidRPr="00825D1A">
        <w:rPr>
          <w:noProof/>
        </w:rPr>
        <w:t xml:space="preserve"> Zhang et al. 2014</w:t>
      </w:r>
      <w:r>
        <w:fldChar w:fldCharType="end"/>
      </w:r>
      <w:r>
        <w:t>.</w:t>
      </w:r>
      <w:bookmarkEnd w:id="35"/>
    </w:p>
    <w:p w14:paraId="2EE1985D" w14:textId="626E3327" w:rsidR="007042D2" w:rsidRDefault="00AB2257" w:rsidP="00A850A8">
      <w:pPr>
        <w:pStyle w:val="ListParagraph"/>
        <w:jc w:val="center"/>
      </w:pPr>
      <w:r>
        <w:rPr>
          <w:noProof/>
          <w:lang w:eastAsia="en-GB"/>
        </w:rPr>
        <w:lastRenderedPageBreak/>
        <w:drawing>
          <wp:inline distT="0" distB="0" distL="0" distR="0" wp14:anchorId="524E3DA1" wp14:editId="26A457C6">
            <wp:extent cx="3986360" cy="157162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l="2458"/>
                    <a:stretch/>
                  </pic:blipFill>
                  <pic:spPr bwMode="auto">
                    <a:xfrm>
                      <a:off x="0" y="0"/>
                      <a:ext cx="4004777" cy="1578886"/>
                    </a:xfrm>
                    <a:prstGeom prst="rect">
                      <a:avLst/>
                    </a:prstGeom>
                    <a:noFill/>
                    <a:ln>
                      <a:noFill/>
                    </a:ln>
                    <a:extLst>
                      <a:ext uri="{53640926-AAD7-44D8-BBD7-CCE9431645EC}">
                        <a14:shadowObscured xmlns:a14="http://schemas.microsoft.com/office/drawing/2010/main"/>
                      </a:ext>
                    </a:extLst>
                  </pic:spPr>
                </pic:pic>
              </a:graphicData>
            </a:graphic>
          </wp:inline>
        </w:drawing>
      </w:r>
    </w:p>
    <w:p w14:paraId="1970B460" w14:textId="40D70F9D" w:rsidR="007042D2" w:rsidRDefault="007042D2" w:rsidP="00A900C7">
      <w:pPr>
        <w:pStyle w:val="Figure"/>
      </w:pPr>
      <w:bookmarkStart w:id="36" w:name="_Ref484240339"/>
      <w:bookmarkStart w:id="37" w:name="_Toc486785423"/>
      <w:r>
        <w:t xml:space="preserve">Figure </w:t>
      </w:r>
      <w:fldSimple w:instr=" STYLEREF 1 \s " w:fldLock="1">
        <w:r w:rsidR="002C549C">
          <w:rPr>
            <w:noProof/>
          </w:rPr>
          <w:t>1</w:t>
        </w:r>
      </w:fldSimple>
      <w:r w:rsidR="001167C6">
        <w:t>.</w:t>
      </w:r>
      <w:fldSimple w:instr=" SEQ Figure \* ARABIC \s 1 " w:fldLock="1">
        <w:r w:rsidR="002C549C">
          <w:rPr>
            <w:noProof/>
          </w:rPr>
          <w:t>3</w:t>
        </w:r>
      </w:fldSimple>
      <w:bookmarkEnd w:id="36"/>
      <w:r>
        <w:t xml:space="preserve"> L</w:t>
      </w:r>
      <w:r w:rsidR="009508BD">
        <w:t>TR retrotransposon degradation. Degradation can be a gradual process with coding domains gradually acquiring frameshift and nonsense mutations</w:t>
      </w:r>
      <w:r w:rsidR="005F080D">
        <w:t>, or degradation can be accelerated due to recombination. This can lead to truncation, removing the ends of elements, or internal deletion due to non-homologous recombination. In many cases the paired LTRs recombine</w:t>
      </w:r>
      <w:r w:rsidR="00174922">
        <w:t>,</w:t>
      </w:r>
      <w:r w:rsidR="005F080D">
        <w:t xml:space="preserve"> excising the internal coding regions leav</w:t>
      </w:r>
      <w:r w:rsidR="000D4960">
        <w:t>ing a ‘solo</w:t>
      </w:r>
      <w:r w:rsidR="005F080D">
        <w:t xml:space="preserve"> LTR</w:t>
      </w:r>
      <w:r w:rsidR="000D4960">
        <w:t>’.</w:t>
      </w:r>
      <w:bookmarkEnd w:id="37"/>
    </w:p>
    <w:p w14:paraId="267D61C6" w14:textId="2DED9B3C" w:rsidR="006D0017" w:rsidRDefault="006D0017" w:rsidP="006D0017">
      <w:pPr>
        <w:pStyle w:val="Heading4"/>
      </w:pPr>
      <w:r>
        <w:t>Cellular regulation of LTR retrotransposons</w:t>
      </w:r>
    </w:p>
    <w:p w14:paraId="5283F174" w14:textId="1A46C5DD" w:rsidR="006D0017" w:rsidRDefault="005612A4" w:rsidP="00391005">
      <w:pPr>
        <w:pStyle w:val="ListParagraph"/>
      </w:pPr>
      <w:r>
        <w:t xml:space="preserve">Most LTR retrotransposons degrade relatively rapidly in evolutionary timescales, but their effects immediately after insertion can be varied and unpredictable (section </w:t>
      </w:r>
      <w:r>
        <w:fldChar w:fldCharType="begin" w:fldLock="1"/>
      </w:r>
      <w:r>
        <w:instrText xml:space="preserve"> REF _Ref484341474 \r \h </w:instrText>
      </w:r>
      <w:r>
        <w:fldChar w:fldCharType="separate"/>
      </w:r>
      <w:r w:rsidR="002C549C">
        <w:t>1.1.3</w:t>
      </w:r>
      <w:r>
        <w:fldChar w:fldCharType="end"/>
      </w:r>
      <w:r>
        <w:t xml:space="preserve">). In addition, </w:t>
      </w:r>
      <w:r w:rsidR="008D6BA6">
        <w:t xml:space="preserve">over short timescales </w:t>
      </w:r>
      <w:r>
        <w:t>uncontrolled retrotransposition</w:t>
      </w:r>
      <w:r w:rsidR="008D6BA6">
        <w:t xml:space="preserve"> and insertional mutagenesis</w:t>
      </w:r>
      <w:r>
        <w:t xml:space="preserve"> creates persistent but varie</w:t>
      </w:r>
      <w:r w:rsidR="00E85026">
        <w:t>d challenges for</w:t>
      </w:r>
      <w:r w:rsidR="008D6BA6">
        <w:t xml:space="preserve"> the host, so it is</w:t>
      </w:r>
      <w:r>
        <w:t xml:space="preserve"> advantageous to control retrotransposon activity. </w:t>
      </w:r>
      <w:r w:rsidR="008D6BA6">
        <w:t>Eukaryotic cells do this through two core process</w:t>
      </w:r>
      <w:r w:rsidR="00DF7069">
        <w:t>es: epigenetic silencing by</w:t>
      </w:r>
      <w:r w:rsidR="008D6BA6">
        <w:t xml:space="preserve"> sequence methylation and histone modifications</w:t>
      </w:r>
      <w:r w:rsidR="00E85026">
        <w:t>, and innate</w:t>
      </w:r>
      <w:r w:rsidR="008D6BA6">
        <w:t xml:space="preserve"> antiviral defence </w:t>
      </w:r>
      <w:r w:rsidR="008D6BA6">
        <w:fldChar w:fldCharType="begin" w:fldLock="1"/>
      </w:r>
      <w:r w:rsidR="00E50CDC">
        <w:instrText>ADDIN CSL_CITATION { "citationItems" : [ { "id" : "ITEM-1",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"ITEM-1",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"(Stoye 2012)", "plainTextFormattedCitation" : "(Stoye 2012)", "previouslyFormattedCitation" : "(Stoye 2012)" }, "properties" : { "noteIndex" : 0 }, "schema" : "https://github.com/citation-style-language/schema/raw/master/csl-citation.json" }</w:instrText>
      </w:r>
      <w:r w:rsidR="008D6BA6">
        <w:fldChar w:fldCharType="separate"/>
      </w:r>
      <w:r w:rsidR="008D6BA6" w:rsidRPr="008D6BA6">
        <w:rPr>
          <w:noProof/>
        </w:rPr>
        <w:t>(Stoye 2012)</w:t>
      </w:r>
      <w:r w:rsidR="008D6BA6">
        <w:fldChar w:fldCharType="end"/>
      </w:r>
      <w:r w:rsidR="008D6BA6">
        <w:t>.</w:t>
      </w:r>
      <w:r>
        <w:t xml:space="preserve"> </w:t>
      </w:r>
    </w:p>
    <w:p w14:paraId="36CBF828" w14:textId="08A0B5D4" w:rsidR="00636841" w:rsidRDefault="008F54DE" w:rsidP="00391005">
      <w:pPr>
        <w:pStyle w:val="ListParagraph"/>
      </w:pPr>
      <w:r>
        <w:t>DNA base methylation in e</w:t>
      </w:r>
      <w:r w:rsidR="00B5602C">
        <w:t xml:space="preserve">ukaryotes occurs almost exclusively at cytosine residues </w:t>
      </w:r>
      <w:r w:rsidR="00064EA8">
        <w:t xml:space="preserve">and is used in transcriptional regulation through the silencing of promoter and enhancer regions. In a similar manner, cells target transposable elements to be methylated to silence their activity </w:t>
      </w:r>
      <w:r w:rsidR="00064EA8">
        <w:fldChar w:fldCharType="begin" w:fldLock="1"/>
      </w:r>
      <w:r w:rsidR="00064EA8">
        <w:instrText>ADDIN CSL_CITATION { "citationItems" : [ { "id" : "ITEM-1", "itemData" : { "DOI" : "10.1016/j.ceb.2007.04.011", "ISSN" : "0955-0674", "PMID" : "17466503", "abstract" : "Methylation of cytosines can mediate epigenetic gene silencing and is the only known DNA modification in eukaryotes. Recent efforts to map DNA methylation across mammalian genomes revealed limited DNA methylation at regulatory regions but widespread methylation in intergenic regions and repeats. This is consistent with the idea that hypermethylation is the default epigenetic state and serves in maintaining genome integrity. DNA methylation patterns at regulatory regions are generally stable, but a minor subset of regulatory regions show variable DNA methylation between cell types, suggesting an additional dynamic component. Such promoter de novo methylation might be involved in the maintenance rather than the initiation of silencing of defined genes during development. How frequently such dynamic methylation occurs, its biological relevance and the pathways involved deserve investigation.", "author" : [ { "dropping-particle" : "", "family" : "Weber", "given" : "Michael", "non-dropping-particle" : "", "parse-names" : false, "suffix" : "" }, { "dropping-particle" : "", "family" : "Sch\u00fcbeler", "given" : "Dirk", "non-dropping-particle" : "", "parse-names" : false, "suffix" : "" } ], "container-title" : "Current opinion in cell biology", "id" : "ITEM-1", "issue" : "3", "issued" : { "date-parts" : [ [ "2007", "6" ] ] }, "page" : "273-80", "title" : "Genomic patterns of DNA methylation: targets and function of an epigenetic mark.", "type" : "article-journal", "volume" : "19" }, "uris" : [ "http://www.mendeley.com/documents/?uuid=a81d852a-1e97-4782-92af-294ac4975c8c" ] } ], "mendeley" : { "formattedCitation" : "(Weber &amp; Sch\u00fcbeler 2007)", "plainTextFormattedCitation" : "(Weber &amp; Sch\u00fcbeler 2007)", "previouslyFormattedCitation" : "(Weber &amp; Sch\u00fcbeler 2007)" }, "properties" : { "noteIndex" : 0 }, "schema" : "https://github.com/citation-style-language/schema/raw/master/csl-citation.json" }</w:instrText>
      </w:r>
      <w:r w:rsidR="00064EA8">
        <w:fldChar w:fldCharType="separate"/>
      </w:r>
      <w:r w:rsidR="00064EA8" w:rsidRPr="00064EA8">
        <w:rPr>
          <w:noProof/>
        </w:rPr>
        <w:t>(Weber &amp; Schübeler 2007)</w:t>
      </w:r>
      <w:r w:rsidR="00064EA8">
        <w:fldChar w:fldCharType="end"/>
      </w:r>
      <w:r w:rsidR="00064EA8">
        <w:t>. Methylation is observed across LTR retrotransposon sequences, but particularly in the LTRs themse</w:t>
      </w:r>
      <w:r w:rsidR="00DF7069">
        <w:t xml:space="preserve">lves due to the presence of </w:t>
      </w:r>
      <w:r w:rsidR="00064EA8">
        <w:t xml:space="preserve">promoters and enhancers. The LTR U3 domain is commonly the most methylated region as this </w:t>
      </w:r>
      <w:r w:rsidR="00DF7069">
        <w:t xml:space="preserve">is </w:t>
      </w:r>
      <w:r w:rsidR="00064EA8">
        <w:t xml:space="preserve">where cellular machinery and transcription factors bind </w:t>
      </w:r>
      <w:r w:rsidR="00064EA8">
        <w:fldChar w:fldCharType="begin" w:fldLock="1"/>
      </w:r>
      <w:r w:rsidR="00064EA8">
        <w:instrText>ADDIN CSL_CITATION { "citationItems" : [ { "id" : "ITEM-1", "itemData" : { "DOI" : "10.1038/nature06499", "ISSN" : "1476-4687", "PMID" : "18094683", "abstract" : "Transposable elements and their remnants constitute a substantial fraction of eukaryotic genomes. Host genomes have evolved defence mechanisms, including chromatin modifications and RNA interference, to regulate transposable elements. Here we describe a genome surveillance mechanism for retrotransposons by transposase-derived centromeric protein CENP-B homologues of the fission yeast Schizosaccharomyces pombe. CENP-B homologues of S. pombe localize at and recruit histone deacetylases to silence Tf2 retrotransposons. CENP-Bs also repress solo long terminal repeats (LTRs) and LTR-associated genes. Tf2 elements are clustered into 'Tf' bodies, the organization of which depends on CENP-Bs that display discrete nuclear structures. Furthermore, CENP-Bs prevent an 'extinct' Tf1 retrotransposon from re-entering the host genome by blocking its recombination with extant Tf2, and silence and immobilize a Tf1 integrant that becomes sequestered into Tf bodies. Our results reveal a probable ancient retrotransposon surveillance pathway important for host genome integrity, and highlight potential conflicts between DNA transposons and retrotransposons, major transposable elements believed to have greatly moulded the evolution of genomes.", "author" : [ { "dropping-particle" : "", "family" : "Cam", "given" : "Hugh P", "non-dropping-particle" : "", "parse-names" : false, "suffix" : "" }, { "dropping-particle" : "", "family" : "Noma", "given" : "Ken-ichi", "non-dropping-particle" : "", "parse-names" : false, "suffix" : "" }, { "dropping-particle" : "", "family" : "Ebina", "given" : "Hirotaka", "non-dropping-particle" : "", "parse-names" : false, "suffix" : "" }, { "dropping-particle" : "", "family" : "Levin", "given" : "Henry L", "non-dropping-particle" : "", "parse-names" : false, "suffix" : "" }, { "dropping-particle" : "", "family" : "Grewal", "given" : "Shiv I S", "non-dropping-particle" : "", "parse-names" : false, "suffix" : "" } ], "container-title" : "Nature", "id" : "ITEM-1", "issue" : "7177", "issued" : { "date-parts" : [ [ "2008", "1", "24" ] ] }, "page" : "431-6", "title" : "Host genome surveillance for retrotransposons by transposon-derived proteins.", "type" : "article-journal", "volume" : "451" }, "uris" : [ "http://www.mendeley.com/documents/?uuid=9cce475b-dd28-4e16-894d-38d9ab52c65a" ] }, { "id" : "ITEM-2", "itemData" : { "ISSN" : "1559-2308", "PMID" : "20083901", "abstract" : "Phenotypic variation stems from both genetic and epigenetic differences between individuals. In order to elucidate how phenotypes are determined, it is necessary to understand the forces that generate variation in genome sequence as well as its epigenetic state. In both contexts, transposable elements (TEs) may play an important role. It is well established that TE activity is a major generator of genetic variation, but recent research also suggests that TEs contribute to epigenetic variation. Stochastic epigenetic silencing of some TE insertions in mice has been shown to cause phenotypic variability between individuals. However, the prevalence of this phenomenon has never been evaluated. Here, we use 18 insertions of a mouse Endogenous Retrovirus (ERV) family, the Early Transposons (ETns), to detect insertion-dependent determinants of DNA methylation levels and variability between both cells and individuals. We show that the structure and age of insertions influence methylation levels and variability, resulting in a subgroup of loci that displays unexpectedly high variability in methylation and suggesting stochastic events during methylation establishment. Despite variation in methylation according to the age and structure of each locus, homologous CpG sites show similar tendencies in methylation levels across loci, emphasizing the role of the insertion's sequence in methylation determination. Our results show that differences in methylation of ETns between individuals is not a sporadic phenomenon and support the hypothesis that ERVs contribute to phenotypic variability through their stochastic silencing.", "author" : [ { "dropping-particle" : "", "family" : "Reiss", "given" : "Daphne", "non-dropping-particle" : "", "parse-names" : false, "suffix" : "" }, { "dropping-particle" : "", "family" : "Zhang", "given" : "Ying", "non-dropping-particle" : "", "parse-names" : false, "suffix" : "" }, { "dropping-particle" : "", "family" : "Rouhi", "given" : "Arefeh", "non-dropping-particle" : "", "parse-names" : false, "suffix" : "" }, { "dropping-particle" : "", "family" : "Reuter", "given" : "Max", "non-dropping-particle" : "", "parse-names" : false, "suffix" : "" }, { "dropping-particle" : "", "family" : "Mager", "given" : "Dixie L", "non-dropping-particle" : "", "parse-names" : false, "suffix" : "" } ], "container-title" : "Epigenetics : official journal of the DNA Methylation Society", "id" : "ITEM-2", "issue" : "1", "issued" : { "date-parts" : [ [ "2010", "1", "1" ] ] }, "page" : "68-79", "title" : "Variable DNA methylation of transposable elements: the case study of mouse Early Transposons.", "type" : "article-journal", "volume" : "5" }, "uris" : [ "http://www.mendeley.com/documents/?uuid=47f778fc-185e-4641-b7b3-471f3a4fa2ca" ] } ], "mendeley" : { "formattedCitation" : "(Cam et al. 2008; Reiss et al. 2010)", "plainTextFormattedCitation" : "(Cam et al. 2008; Reiss et al. 2010)", "previouslyFormattedCitation" : "(Cam et al. 2008; Reiss et al. 2010)" }, "properties" : { "noteIndex" : 0 }, "schema" : "https://github.com/citation-style-language/schema/raw/master/csl-citation.json" }</w:instrText>
      </w:r>
      <w:r w:rsidR="00064EA8">
        <w:fldChar w:fldCharType="separate"/>
      </w:r>
      <w:r w:rsidR="00064EA8" w:rsidRPr="00064EA8">
        <w:rPr>
          <w:noProof/>
        </w:rPr>
        <w:t>(Cam et al. 2008; Reiss et al. 2010)</w:t>
      </w:r>
      <w:r w:rsidR="00064EA8">
        <w:fldChar w:fldCharType="end"/>
      </w:r>
      <w:r w:rsidR="00064EA8">
        <w:t xml:space="preserve">. The hypervariable nature of the U3 domain across LTR retrotransposons likely represents an evolutionary response to epigenetic targeting </w:t>
      </w:r>
      <w:r w:rsidR="00064EA8">
        <w:fldChar w:fldCharType="begin" w:fldLock="1"/>
      </w:r>
      <w:r w:rsidR="00064EA8">
        <w:instrText>ADDIN CSL_CITATION { "citationItems" : [ { "id" : "ITEM-1", "itemData" : { "abstract" : "Background: Long terminal repeats (LTRs, consisting of U3-R-U5 portions) are important elements of retroviruses and related retrotransposons. They are difficult to analyse due to their variability. The aim was to obtain a more comprehensive view of structure, diversity and phylogeny of LTRs than hitherto possible. Results: Hidden Markov models (HMM) were created for 11 clades of LTRs belonging to Retroviridae (class III retroviruses), animal Metaviridae (Gypsy/Ty3) elements and plant Pseudoviridae (Copia/Ty1) elements, complementing our work with Orthoretrovirus HMMs. The great variation in LTR length of plant Metaviridae and the few divergent animal Pseudoviridae prevented building HMMs from both of these groups. Animal Metaviridae LTRs had the same conserved motifs as retroviral LTRs, confirming that the two groups are closely related. The conserved motifs were the short inverted repeats (SIRs), integrase recognition signals (5 \u0301 TGTTRNR. . .YNYAACA 3 \u0301); the polyadenylation signal or AATAAA motif; a GT-rich stretch downstream of the polyadenylation signal; and a less conserved AT-rich stretch corresponding to the core promoter element, the TATA box. Plant Pseudoviridae LTRs differed slightly in having a conserved TATA-box, TATATA, but no conserved polyadenylation signal, plus a much shorter R region. The sensitivity of the HMMs for detection in genomic sequences was around 50% for most models, at a relatively high specificity, suitable for genome screening. The HMMs yielded consensus sequences, which were aligned by creating an HMM model (a \u2018Superviterbi\u2019 alignment). This yielded a phylogenetic tree that was compared with a Pol-based tree. Both LTR and Pol trees supported monophyly of retroviruses. In both, Pseudoviridae was ancestral to all other LTR retrotransposons. However, the LTR trees showed the chromovirus portion of Metaviridae clustering together with Pseudoviridae, dividing Metaviridae into two portions with distinct phylogeny. Conclusion: The HMMs clearly demonstrated a unitary conserved structure of LTRs, supporting that they arose once during evolution. We attempted to follow the evolution of LTRs by tracing their functional foundations, that is, acquisition of RNAse H, a combined promoter/ polyadenylation site, integrase, hairpin priming and the primer binding site (PBS). Available information did not support a simple evolutionary chain of events.", "author" : [ { "dropping-particle" : "", "family" : "Benachenhou", "given" : "Farid", "non-dropping-particle" : "", "parse-names" : false, "suffix" : "" }, { "dropping-particle" : "", "family" : "Sperber", "given" : "G\u00f6ran", "non-dropping-particle" : "", "parse-names" : false, "suffix" : "" }, { "dropping-particle" : "", "family" : "Bongcam-Rudloff", "given" : "Erik", "non-dropping-particle" : "", "parse-names" : false, "suffix" : "" }, { "dropping-particle" : "", "family" : "Andersson", "given" : "G\u00f6ran", "non-dropping-particle" : "", "parse-names" : false, "suffix" : "" }, { "dropping-particle" : "", "family" : "Boeke", "given" : "Jef", "non-dropping-particle" : "", "parse-names" : false, "suffix" : "" }, { "dropping-particle" : "", "family" : "Blomberg", "given" : "Jonas", "non-dropping-particle" : "", "parse-names" : false, "suffix" : "" } ], "container-title" : "Mobile DNA", "id" : "ITEM-1", "issue" : "5", "issued" : { "date-parts" : [ [ "2013" ] ] }, "note" : "LTRs are difficult to analyse due to their variability.\n\n\nLTR retrotransposons includes retroviruses as well as three other groups:\n1) Pseudoviridae - Copia/Ty1 - plants/fungi/metazoans\n2) Metaviridae - Gypsy/Ty3 - plants/fungi/metazoans\n3) Semotivirus - Bel/Pao - exclusively metazoans\n\n\nTraditionally the relatedness of LTR retortransposons has been studied using the RT domain of pol as it is the most conserved retroelement domain (but not conserved once it becomes endogenous surely)\n\n\nCommon LTR structure was recently found - two unique regions (U5 and U3) and a repetitive (R) region. R and U5 are more conserved, U3 may be more divergent due to application in tissue specificity. \n\n\nAnalysis in this paper could not look at all types of LTR - LTR length is noted as a disruptive factor. As is highly variable sequence.\n\n\nTheir work would suggest that the gypsy/ty3 elements were nested within the retroviruses clade.", "title" : "Conserved structure and inferred evolutionary history of long terminal repeats (LTRs)", "type" : "article-journal", "volume" : "4" }, "uris" : [ "http://www.mendeley.com/documents/?uuid=97cc0e29-2ea9-4133-bab8-bc9c79573e06" ] } ], "mendeley" : { "formattedCitation" : "(Benachenhou et al. 2013)", "plainTextFormattedCitation" : "(Benachenhou et al. 2013)", "previouslyFormattedCitation" : "(Benachenhou et al. 2013)" }, "properties" : { "noteIndex" : 0 }, "schema" : "https://github.com/citation-style-language/schema/raw/master/csl-citation.json" }</w:instrText>
      </w:r>
      <w:r w:rsidR="00064EA8">
        <w:fldChar w:fldCharType="separate"/>
      </w:r>
      <w:r w:rsidR="00064EA8" w:rsidRPr="00064EA8">
        <w:rPr>
          <w:noProof/>
        </w:rPr>
        <w:t>(Benachenhou et al. 2013</w:t>
      </w:r>
      <w:r w:rsidR="008312BE">
        <w:rPr>
          <w:noProof/>
        </w:rPr>
        <w:t>; Goodier 2016</w:t>
      </w:r>
      <w:r w:rsidR="00064EA8" w:rsidRPr="00064EA8">
        <w:rPr>
          <w:noProof/>
        </w:rPr>
        <w:t>)</w:t>
      </w:r>
      <w:r w:rsidR="00064EA8">
        <w:fldChar w:fldCharType="end"/>
      </w:r>
      <w:r w:rsidR="00064EA8">
        <w:t xml:space="preserve">. </w:t>
      </w:r>
    </w:p>
    <w:p w14:paraId="0D80365C" w14:textId="11CC73C8" w:rsidR="00064EA8" w:rsidRDefault="00064EA8" w:rsidP="00391005">
      <w:pPr>
        <w:pStyle w:val="ListParagraph"/>
      </w:pPr>
      <w:r>
        <w:lastRenderedPageBreak/>
        <w:t>In addition to the action of host cell methyl transferases, targeted methylation of retrotransposons is facilitated by co-evolved mechanisms. Cam and colleagues (2008) identified that complementary binding of expressed retrotransposon-derived sequences physically recrui</w:t>
      </w:r>
      <w:r w:rsidR="00636841">
        <w:t>ted</w:t>
      </w:r>
      <w:r>
        <w:t xml:space="preserve"> methylation machinery to integration sites, and a family of zinc-finger proteins </w:t>
      </w:r>
      <w:r w:rsidR="00636841">
        <w:t xml:space="preserve">with LTR retrotransposon-sequence-specificity were required for identifying </w:t>
      </w:r>
      <w:r w:rsidR="00D341DF">
        <w:t xml:space="preserve">and methylating </w:t>
      </w:r>
      <w:r w:rsidR="00636841">
        <w:t xml:space="preserve">non-promoter-like regions </w:t>
      </w:r>
      <w:r w:rsidR="00636841">
        <w:fldChar w:fldCharType="begin" w:fldLock="1"/>
      </w:r>
      <w:r w:rsidR="000C083C">
        <w:instrText>ADDIN CSL_CITATION { "citationItems" : [ { "id" : "ITEM-1", "itemData" : { "DOI" : "10.1242/dev.087585", "ISSN" : "1477-9129", "PMID" : "23293284", "abstract" : "Endogenous retroviruses (ERVs) undergo de novo DNA methylation during the first few days of mammalian embryogenesis, although the factors that control the targeting of this process are largely unknown. We asked whether KAP1 (KRAB-associated protein 1) is involved in this mechanism because of its previously defined role in maintaining the silencing of ERVs through the histone methyltransferase ESET and histone H3 lysine 9 trimethylation. Here, we demonstrate that introduced ERV sequences are sufficient to direct rapid de novo methylation of a flanked promoter in embryonic stem (ES) cells. This mechanism requires the presence of an ERV sequence-recognizing KRAB zinc-finger protein (ZFP) and both KAP1 and ESET. Furthermore, this process can also take place on a strong cellular promoter and leads to methylation signatures that are subsequently maintained in vivo throughout embryogenesis. Finally, we show that methylation of ERVs residing in the genome is affected by knockout of KAP1 in early embryos. KRAB-ZFPs, KAP1 and ESET are thus likely to be responsible for the early embryonic instatement of stable epigenetic marks at ERV-containing loci.", "author" : [ { "dropping-particle" : "", "family" : "Rowe", "given" : "Helen M", "non-dropping-particle" : "", "parse-names" : false, "suffix" : "" }, { "dropping-particle" : "", "family" : "Friedli", "given" : "Marc", "non-dropping-particle" : "", "parse-names" : false, "suffix" : "" }, { "dropping-particle" : "", "family" : "Offner", "given" : "Sandra", "non-dropping-particle" : "", "parse-names" : false, "suffix" : "" }, { "dropping-particle" : "", "family" : "Verp", "given" : "Sonia", "non-dropping-particle" : "", "parse-names" : false, "suffix" : "" }, { "dropping-particle" : "", "family" : "Mesnard", "given" : "Daniel", "non-dropping-particle" : "", "parse-names" : false, "suffix" : "" }, { "dropping-particle" : "", "family" : "Marquis", "given" : "Julien", "non-dropping-particle" : "", "parse-names" : false, "suffix" : "" }, { "dropping-particle" : "", "family" : "Aktas", "given" : "Tugce", "non-dropping-particle" : "", "parse-names" : false, "suffix" : "" }, { "dropping-particle" : "", "family" : "Trono", "given" : "Didier", "non-dropping-particle" : "", "parse-names" : false, "suffix" : "" } ], "container-title" : "Development (Cambridge, England)", "id" : "ITEM-1", "issue" : "3", "issued" : { "date-parts" : [ [ "2013", "2", "1" ] ] }, "page" : "519-29", "title" : "De novo DNA methylation of endogenous retroviruses is shaped by KRAB-ZFPs/KAP1 and ESET.", "type" : "article-journal", "volume" : "140" }, "uris" : [ "http://www.mendeley.com/documents/?uuid=7475d53b-e0c5-44f7-8b04-bf9b5afcd9d6" ] } ], "mendeley" : { "formattedCitation" : "(Rowe et al. 2013)", "plainTextFormattedCitation" : "(Rowe et al. 2013)", "previouslyFormattedCitation" : "(Rowe et al. 2013)" }, "properties" : { "noteIndex" : 0 }, "schema" : "https://github.com/citation-style-language/schema/raw/master/csl-citation.json" }</w:instrText>
      </w:r>
      <w:r w:rsidR="00636841">
        <w:fldChar w:fldCharType="separate"/>
      </w:r>
      <w:r w:rsidR="00636841" w:rsidRPr="00636841">
        <w:rPr>
          <w:noProof/>
        </w:rPr>
        <w:t>(Rowe et al. 2013)</w:t>
      </w:r>
      <w:r w:rsidR="00636841">
        <w:fldChar w:fldCharType="end"/>
      </w:r>
      <w:r w:rsidR="00636841">
        <w:t xml:space="preserve">. </w:t>
      </w:r>
      <w:r>
        <w:t xml:space="preserve">Cytosine methylation is </w:t>
      </w:r>
      <w:r w:rsidR="00636841">
        <w:t xml:space="preserve">a </w:t>
      </w:r>
      <w:r>
        <w:t>heritable</w:t>
      </w:r>
      <w:r w:rsidR="00636841">
        <w:t xml:space="preserve"> control</w:t>
      </w:r>
      <w:r>
        <w:t xml:space="preserve">, and </w:t>
      </w:r>
      <w:r w:rsidR="00636841">
        <w:t xml:space="preserve">is </w:t>
      </w:r>
      <w:r>
        <w:t>proactively regulated in animal genomes as methylation marks are reset after any cell division. The high copy number and recurrent LTR retrotransposon activity in</w:t>
      </w:r>
      <w:r w:rsidR="008312BE">
        <w:t xml:space="preserve"> many</w:t>
      </w:r>
      <w:r>
        <w:t xml:space="preserve"> plants, may be due, at least in part, to the absence of these post-replication checks, as ‘reactivated’ elements may be able to retrotranspose for multiple generation</w:t>
      </w:r>
      <w:r w:rsidR="00636841">
        <w:t>s</w:t>
      </w:r>
      <w:r>
        <w:t xml:space="preserve"> until their epigenetic marks are reset </w:t>
      </w:r>
      <w:r>
        <w:fldChar w:fldCharType="begin" w:fldLock="1"/>
      </w:r>
      <w:r w:rsidR="00636841">
        <w:instrText>ADDIN CSL_CITATION { "citationItems" : [ { "id" : "ITEM-1", "itemData" : { "DOI" : "10.1016/j.bbagrm.2011.04.001", "ISSN" : "0006-3002", "PMID" : "21514406", "abstract" : "Despite their abundance in the genome, transposable elements (TEs) and their derivatives are major targets of epigenetic silencing mechanisms, which restrain TE mobility at different stages of the life cycle. DNA methylation, post-translational modification of histone tails and small RNA-based pathways contribute to maintain TE silencing; however, some of these epigenetic marks are tightly interwoven and this complicates the delineation of the exact contribution of each in TE silencing. Recent studies have confirmed that host genomes have evolved versatility in the use of these mechanisms to individualize silencing of particular TEs. These studies also revealed that silencing of TEs is much more dynamic than had been previously thought and can be reversed on the genomic scale in particular cell types or under special environmental conditions. This article is part of a Special Issue entitled \"Epigenetic control of cellular and developmental processes in plants\".", "author" : [ { "dropping-particle" : "", "family" : "Rigal", "given" : "M\u00e9lanie", "non-dropping-particle" : "", "parse-names" : false, "suffix" : "" }, { "dropping-particle" : "", "family" : "Mathieu", "given" : "Olivier", "non-dropping-particle" : "", "parse-names" : false, "suffix" : "" } ], "container-title" : "Biochimica et biophysica acta", "id" : "ITEM-1", "issue" : "8", "issued" : { "date-parts" : [ [ "2011", "8" ] ] }, "page" : "452-8", "publisher" : "Elsevier B.V.", "title" : "A \"mille-feuille\" of silencing: epigenetic control of transposable elements.", "type" : "article-journal", "volume" : "1809" }, "uris" : [ "http://www.mendeley.com/documents/?uuid=fdfd1846-b984-4f12-9110-430b1b66151b" ] } ], "mendeley" : { "formattedCitation" : "(Rigal &amp; Mathieu 2011)", "plainTextFormattedCitation" : "(Rigal &amp; Mathieu 2011)", "previouslyFormattedCitation" : "(Rigal &amp; Mathieu 2011)" }, "properties" : { "noteIndex" : 0 }, "schema" : "https://github.com/citation-style-language/schema/raw/master/csl-citation.json" }</w:instrText>
      </w:r>
      <w:r>
        <w:fldChar w:fldCharType="separate"/>
      </w:r>
      <w:r w:rsidRPr="00064EA8">
        <w:rPr>
          <w:noProof/>
        </w:rPr>
        <w:t>(Rigal &amp; Mathieu 2011)</w:t>
      </w:r>
      <w:r>
        <w:fldChar w:fldCharType="end"/>
      </w:r>
      <w:r>
        <w:t>.</w:t>
      </w:r>
    </w:p>
    <w:p w14:paraId="1712EE26" w14:textId="3A11A062" w:rsidR="008D6BA6" w:rsidRPr="008D6BA6" w:rsidRDefault="008D6BA6" w:rsidP="00391005">
      <w:pPr>
        <w:pStyle w:val="ListParagraph"/>
      </w:pPr>
      <w:r>
        <w:t>Sequence-level silencing can account for control in adult cells, but not during early development when methylation is stripped. M</w:t>
      </w:r>
      <w:r w:rsidR="00E50CDC">
        <w:t>ost early development epigenetic modification</w:t>
      </w:r>
      <w:r>
        <w:t xml:space="preserve"> </w:t>
      </w:r>
      <w:r w:rsidR="00E50CDC">
        <w:t>studies have only been completed</w:t>
      </w:r>
      <w:r>
        <w:t xml:space="preserve"> in mammalian model systems, but </w:t>
      </w:r>
      <w:r w:rsidR="00E50CDC">
        <w:t>recent work</w:t>
      </w:r>
      <w:r>
        <w:t xml:space="preserve"> has shown the importance of histone marks and modifications in limiting transposable element activity </w:t>
      </w:r>
      <w:r w:rsidR="00E50CDC">
        <w:fldChar w:fldCharType="begin" w:fldLock="1"/>
      </w:r>
      <w:r w:rsidR="00E50CDC">
        <w:instrText>ADDIN CSL_CITATION { "citationItems" : [ { "id" : "ITEM-1", "itemData" : { "DOI" : "10.1016/j.virol.2010.12.007", "ISSN" : "1096-0341", "PMID" : "21251689", "abstract" : "Close to half of the human genome encompasses mobile genetic elements, most of which are retrotransposons. These genetic invaders are formidable evolutionary forces that have shaped the architecture of the genomes of higher organisms, with some conserving the ability to induce new integrants within their hosts' genome. Expectedly, the control of endogenous retroviruses is tight and multi-pronged. It is most crucially established in the germ line and during the first steps of embryogenesis, primarily through transcriptional mechanisms that have likely evolved under their very pressure, but are now engaged in controlling gene expression at large, notably during early development.", "author" : [ { "dropping-particle" : "", "family" : "Rowe", "given" : "Helen M", "non-dropping-particle" : "", "parse-names" : false, "suffix" : "" }, { "dropping-particle" : "", "family" : "Trono", "given" : "Didier", "non-dropping-particle" : "", "parse-names" : false, "suffix" : "" } ], "container-title" : "Virology", "id" : "ITEM-1", "issue" : "2", "issued" : { "date-parts" : [ [ "2011", "3", "15" ] ] }, "page" : "273-87", "publisher" : "Elsevier Inc.", "title" : "Dynamic control of endogenous retroviruses during development.", "type" : "article-journal", "volume" : "411" }, "uris" : [ "http://www.mendeley.com/documents/?uuid=47b62475-975b-47fb-8ece-ae9192331e83" ] }, { "id" : "ITEM-2", "itemData" : { "DOI" : "10.1016/j.tibs.2011.11.006", "ISSN" : "0968-0004", "PMID" : "22178137", "abstract" : "Retrotransposons, such as endogenous retroviruses (ERVs), have colonized the genomes of all metazoans. As retrotransposition can be deleterious, numerous pathways have evolved to repress the expression of these parasitic elements. For example, methylation of the fifth carbon of the cytosine base in DNA (5-methylcytosine, 5mC) is required for transcriptional silencing of ERVs in differentiated cells. However, this epigenetic mark is generally dispensable for ERV silencing during early stages of mouse embryogenesis and in mouse embryonic stem cells (mESCs). In this Opinion, we evaluate recent findings on the exceptional role of covalent modifications of histones in ERV silencing in these cell types. In addition, we discuss the potential role of TET proteins, which catalyze the oxidation of 5mC to 5-hydroxymethylcytosine (5hmC), in perturbing transcriptional silencing, and propose that histone modification-based pathways may be used to silence ERVs during those developmental stages when DNA methylation-mediated silencing is compromised.", "author" : [ { "dropping-particle" : "", "family" : "Leung", "given" : "Danny C", "non-dropping-particle" : "", "parse-names" : false, "suffix" : "" }, { "dropping-particle" : "", "family" : "Lorincz", "given" : "Matthew C", "non-dropping-particle" : "", "parse-names" : false, "suffix" : "" } ], "container-title" : "Trends in biochemical sciences", "id" : "ITEM-2", "issue" : "4", "issued" : { "date-parts" : [ [ "2012", "4" ] ] }, "page" : "127-33", "publisher" : "Elsevier Ltd", "title" : "Silencing of endogenous retroviruses: when and why do histone marks predominate?", "type" : "article-journal", "volume" : "37" }, "uris" : [ "http://www.mendeley.com/documents/?uuid=a26d2791-ae81-43d6-91a6-b4eb8e946c18" ] } ], "mendeley" : { "formattedCitation" : "(Rowe &amp; Trono 2011; Leung &amp; Lorincz 2012)", "plainTextFormattedCitation" : "(Rowe &amp; Trono 2011; Leung &amp; Lorincz 2012)", "previouslyFormattedCitation" : "(Rowe &amp; Trono 2011; Leung &amp; Lorincz 2012)" }, "properties" : { "noteIndex" : 0 }, "schema" : "https://github.com/citation-style-language/schema/raw/master/csl-citation.json" }</w:instrText>
      </w:r>
      <w:r w:rsidR="00E50CDC">
        <w:fldChar w:fldCharType="separate"/>
      </w:r>
      <w:r w:rsidR="00E50CDC" w:rsidRPr="00E50CDC">
        <w:rPr>
          <w:noProof/>
        </w:rPr>
        <w:t>(Rowe &amp; Trono 2011; Leung &amp; Lorincz 2012)</w:t>
      </w:r>
      <w:r w:rsidR="00E50CDC">
        <w:fldChar w:fldCharType="end"/>
      </w:r>
      <w:r>
        <w:t>. The heritable relevance of histone modifications has also been shown in plants, where deacetylase and deubiquitination</w:t>
      </w:r>
      <w:r w:rsidR="00DF7069">
        <w:t xml:space="preserve"> </w:t>
      </w:r>
      <w:r>
        <w:t>mutants</w:t>
      </w:r>
      <w:r w:rsidR="00DF7069">
        <w:t xml:space="preserve"> in </w:t>
      </w:r>
      <w:r w:rsidR="00DF7069">
        <w:rPr>
          <w:i/>
        </w:rPr>
        <w:t>Arabidopsis</w:t>
      </w:r>
      <w:r>
        <w:t xml:space="preserve"> were shown to exhibit higher incidence of transposable element insertions </w:t>
      </w:r>
      <w:r w:rsidR="00E50CDC">
        <w:fldChar w:fldCharType="begin" w:fldLock="1"/>
      </w:r>
      <w:r w:rsidR="00E50CDC">
        <w:instrText>ADDIN CSL_CITATION { "citationItems" : [ { "id" : "ITEM-1", "itemData" : { "DOI" : "10.1016/j.bbagrm.2011.04.001", "ISSN" : "0006-3002", "PMID" : "21514406", "abstract" : "Despite their abundance in the genome, transposable elements (TEs) and their derivatives are major targets of epigenetic silencing mechanisms, which restrain TE mobility at different stages of the life cycle. DNA methylation, post-translational modification of histone tails and small RNA-based pathways contribute to maintain TE silencing; however, some of these epigenetic marks are tightly interwoven and this complicates the delineation of the exact contribution of each in TE silencing. Recent studies have confirmed that host genomes have evolved versatility in the use of these mechanisms to individualize silencing of particular TEs. These studies also revealed that silencing of TEs is much more dynamic than had been previously thought and can be reversed on the genomic scale in particular cell types or under special environmental conditions. This article is part of a Special Issue entitled \"Epigenetic control of cellular and developmental processes in plants\".", "author" : [ { "dropping-particle" : "", "family" : "Rigal", "given" : "M\u00e9lanie", "non-dropping-particle" : "", "parse-names" : false, "suffix" : "" }, { "dropping-particle" : "", "family" : "Mathieu", "given" : "Olivier", "non-dropping-particle" : "", "parse-names" : false, "suffix" : "" } ], "container-title" : "Biochimica et biophysica acta", "id" : "ITEM-1", "issue" : "8", "issued" : { "date-parts" : [ [ "2011", "8" ] ] }, "page" : "452-8", "publisher" : "Elsevier B.V.", "title" : "A \"mille-feuille\" of silencing: epigenetic control of transposable elements.", "type" : "article-journal", "volume" : "1809" }, "uris" : [ "http://www.mendeley.com/documents/?uuid=fdfd1846-b984-4f12-9110-430b1b66151b" ] } ], "mendeley" : { "formattedCitation" : "(Rigal &amp; Mathieu 2011)", "plainTextFormattedCitation" : "(Rigal &amp; Mathieu 2011)", "previouslyFormattedCitation" : "(Rigal &amp; Mathieu 2011)" }, "properties" : { "noteIndex" : 0 }, "schema" : "https://github.com/citation-style-language/schema/raw/master/csl-citation.json" }</w:instrText>
      </w:r>
      <w:r w:rsidR="00E50CDC">
        <w:fldChar w:fldCharType="separate"/>
      </w:r>
      <w:r w:rsidR="00E50CDC" w:rsidRPr="00E50CDC">
        <w:rPr>
          <w:noProof/>
        </w:rPr>
        <w:t>(Rigal &amp; Mathieu 2011)</w:t>
      </w:r>
      <w:r w:rsidR="00E50CDC">
        <w:fldChar w:fldCharType="end"/>
      </w:r>
      <w:r>
        <w:t>.</w:t>
      </w:r>
      <w:r w:rsidR="00DF7069">
        <w:t xml:space="preserve"> Despite histone-induced regulation</w:t>
      </w:r>
      <w:r w:rsidR="00E50CDC">
        <w:t xml:space="preserve">, transposable element activity is still significantly elevated during early development </w:t>
      </w:r>
      <w:r w:rsidR="00E50CDC">
        <w:fldChar w:fldCharType="begin" w:fldLock="1"/>
      </w:r>
      <w:r w:rsidR="00A560A3">
        <w:instrText>ADDIN CSL_CITATION { "citationItems" : [ { "id" : "ITEM-1", "itemData" : { "DOI" : "10.1016/S0169-5347(01)02394-1", "ISSN" : "01695347", "author" : [ { "dropping-particle" : "", "family" : "Bromham", "given" : "Lindell", "non-dropping-particle" : "", "parse-names" : false, "suffix" : "" } ], "container-title" : "Trends in Ecology &amp; Evolution", "id" : "ITEM-1", "issue" : "2", "issued" : { "date-parts" : [ [ "2002", "2" ] ] }, "note" : "Five fates for viral DNA within the genome:\n1) retains ability to produce viral particles \n2) retains transpositional ability\n3) viral sequence co-opted into host genomic function\n4) viral sequence decays into &amp;#039;junk&amp;#039; \n5) excision from the DNA - either totally or leaving a solo LTR sequence\nThese fates are not mutually exclusive.\n\n        \nDecent review - not much new stuff.", "page" : "91-97", "title" : "The human zoo: endogenous retroviruses in the human genome", "type" : "article-journal", "volume" : "17" }, "uris" : [ "http://www.mendeley.com/documents/?uuid=1237f20e-0a17-4fe9-a650-43031968c7ea" ] }, { "id" : "ITEM-2", "itemData" : { "DOI" : "10.1016/j.gene.2009.06.020", "ISSN" : "1879-0038", "PMID" : "19577618", "abstract" : "Gene regulatory changes are thought to be major factors driving species evolution, with creation of new regulatory regions likely being instrumental in contributing to diversity among vertebrates. There is growing appreciation for the role of transposable elements (TEs) in gene regulation and, indeed, laboratory investigations have confirmed many specific examples of mammalian genes regulated by promoters donated by endogenous retroviruses (ERVs) or other TEs. Bioinformatics studies have revealed hundreds of additional instances where this is likely to be the case. Since the long terminal repeats (LTRs) of retroviruses naturally contain abundant transcriptional regulatory signals, roles for ERV LTRs in regulating mammalian genes are eminently plausible. Moreover, it seems reasonable that exaptation of an LTR regulatory module provides opportunities for evolution of new gene regulatory patterns. In this Review we summarize known examples of LTRs that function as human gene alternative promoters, as well as the evidence that LTR exaptation has resulted in a pattern of novel gene expression significantly different from the pattern before LTR insertion or from that of gene orthologs lacking the LTR. Available data suggest that, while new expression patterns can arise as a result of LTR usage, this situation is relatively rare and is largely restricted to the placenta. In many cases, the LTR appears to be a minor, alternative promoter with an expression pattern similar to that of the native promoter(s) and hence likely exerts a subtle overall effect on gene expression. We discuss these findings and offer evolutionary models to explain these trends.", "author" : [ { "dropping-particle" : "", "family" : "Cohen", "given" : "Carla J", "non-dropping-particle" : "", "parse-names" : false, "suffix" : "" }, { "dropping-particle" : "", "family" : "Lock", "given" : "Wynne M", "non-dropping-particle" : "", "parse-names" : false, "suffix" : "" }, { "dropping-particle" : "", "family" : "Mager", "given" : "Dixie L", "non-dropping-particle" : "", "parse-names" : false, "suffix" : "" } ], "container-title" : "Gene", "id" : "ITEM-2", "issue" : "2", "issued" : { "date-parts" : [ [ "2009", "12", "15" ] ] }, "page" : "105-14", "publisher" : "Elsevier B.V.", "title" : "Endogenous retroviral LTRs as promoters for human genes: a critical assessment.", "type" : "article-journal", "volume" : "448" }, "uris" : [ "http://www.mendeley.com/documents/?uuid=274beb89-20d3-44b9-8fc6-6f8178d8f968" ] }, { "id" : "ITEM-3", "itemData" : { "DOI" : "10.1038/ng.368", "ISSN" : "1546-1718", "PMID" : "19377475", "abstract" : "Although repetitive elements pervade mammalian genomes, their overall contribution to transcriptional activity is poorly defined. Here, as part of the FANTOM4 project, we report that 6-30% of cap-selected mouse and human RNA transcripts initiate within repetitive elements. Analysis of approximately 250,000 retrotransposon-derived transcription start sites shows that the associated transcripts are generally tissue specific, coincide with gene-dense regions and form pronounced clusters when aligned to full-length retrotransposon sequences. Retrotransposons located immediately 5' of protein-coding loci frequently function as alternative promoters and/or express noncoding RNAs. More than a quarter of RefSeqs possess a retrotransposon in their 3' UTR, with strong evidence for the reduced expression of these transcripts relative to retrotransposon-free transcripts. Finally, a genome-wide screen identifies 23,000 candidate regulatory regions derived from retrotransposons, in addition to more than 2,000 examples of bidirectional transcription. We conclude that retrotransposon transcription has a key influence upon the transcriptional output of the mammalian genome.", "author" : [ { "dropping-particle" : "", "family" : "Faulkner", "given" : "Geoffrey J", "non-dropping-particle" : "", "parse-names" : false, "suffix" : "" }, { "dropping-particle" : "", "family" : "Kimura", "given" : "Yasumasa", "non-dropping-particle" : "", "parse-names" : false, "suffix" : "" }, { "dropping-particle" : "", "family" : "Daub", "given" : "Carsten O", "non-dropping-particle" : "", "parse-names" : false, "suffix" : "" }, { "dropping-particle" : "", "family" : "Wani", "given" : "Shivangi", "non-dropping-particle" : "", "parse-names" : false, "suffix" : "" }, { "dropping-particle" : "", "family" : "Plessy", "given" : "Charles", "non-dropping-particle" : "", "parse-names" : false, "suffix" : "" }, { "dropping-particle" : "", "family" : "Irvine", "given" : "Katharine M", "non-dropping-particle" : "", "parse-names" : false, "suffix" : "" }, { "dropping-particle" : "", "family" : "Schroder", "given" : "Kate", "non-dropping-particle" : "", "parse-names" : false, "suffix" : "" }, { "dropping-particle" : "", "family" : "Cloonan", "given" : "Nicole", "non-dropping-particle" : "", "parse-names" : false, "suffix" : "" }, { "dropping-particle" : "", "family" : "Steptoe", "given" : "Anita L", "non-dropping-particle" : "", "parse-names" : false, "suffix" : "" }, { "dropping-particle" : "", "family" : "Lassmann", "given" : "Timo", "non-dropping-particle" : "", "parse-names" : false, "suffix" : "" }, { "dropping-particle" : "", "family" : "Waki", "given" : "Kazunori", "non-dropping-particle" : "", "parse-names" : false, "suffix" : "" }, { "dropping-particle" : "", "family" : "Hornig", "given" : "Nadine", "non-dropping-particle" : "", "parse-names" : false, "suffix" : "" }, { "dropping-particle" : "", "family" : "Arakawa", "given" : "Takahiro", "non-dropping-particle" : "", "parse-names" : false, "suffix" : "" }, { "dropping-particle" : "", "family" : "Takahashi", "given" : "Hazuki", "non-dropping-particle" : "", "parse-names" : false, "suffix" : "" }, { "dropping-particle" : "", "family" : "Kawai", "given" : "Jun", "non-dropping-particle" : "", "parse-names" : false, "suffix" : "" }, { "dropping-particle" : "", "family" : "Forrest", "given" : "Alistair R R", "non-dropping-particle" : "", "parse-names" : false, "suffix" : "" }, { "dropping-particle" : "", "family" : "Suzuki", "given" : "Harukazu", "non-dropping-particle" : "", "parse-names" : false, "suffix" : "" }, { "dropping-particle" : "", "family" : "Hayashizaki", "given" : "Yoshihide", "non-dropping-particle" : "", "parse-names" : false, "suffix" : "" }, { "dropping-particle" : "", "family" : "Hume", "given" : "David a", "non-dropping-particle" : "", "parse-names" : false, "suffix" : "" }, { "dropping-particle" : "", "family" : "Orlando", "given" : "Valerio", "non-dropping-particle" : "", "parse-names" : false, "suffix" : "" }, { "dropping-particle" : "", "family" : "Grimmond", "given" : "Sean M", "non-dropping-particle" : "", "parse-names" : false, "suffix" : "" }, { "dropping-particle" : "", "family" : "Carninci", "given" : "Piero", "non-dropping-particle" : "", "parse-names" : false, "suffix" : "" } ], "container-title" : "Nature genetics", "id" : "ITEM-3", "issue" : "5", "issued" : { "date-parts" : [ [ "2009", "5" ] ] }, "page" : "563-71", "title" : "The regulated retrotransposon transcriptome of mammalian cells.", "type" : "article-journal", "volume" : "41" }, "uris" : [ "http://www.mendeley.com/documents/?uuid=16644d70-163c-4ce0-81b8-5ada5afadc93" ] }, { "id" : "ITEM-4", "itemData" : { "ISSN" : "1559-2308", "PMID" : "20083901", "abstract" : "Phenotypic variation stems from both genetic and epigenetic differences between individuals. In order to elucidate how phenotypes are determined, it is necessary to understand the forces that generate variation in genome sequence as well as its epigenetic state. In both contexts, transposable elements (TEs) may play an important role. It is well established that TE activity is a major generator of genetic variation, but recent research also suggests that TEs contribute to epigenetic variation. Stochastic epigenetic silencing of some TE insertions in mice has been shown to cause phenotypic variability between individuals. However, the prevalence of this phenomenon has never been evaluated. Here, we use 18 insertions of a mouse Endogenous Retrovirus (ERV) family, the Early Transposons (ETns), to detect insertion-dependent determinants of DNA methylation levels and variability between both cells and individuals. We show that the structure and age of insertions influence methylation levels and variability, resulting in a subgroup of loci that displays unexpectedly high variability in methylation and suggesting stochastic events during methylation establishment. Despite variation in methylation according to the age and structure of each locus, homologous CpG sites show similar tendencies in methylation levels across loci, emphasizing the role of the insertion's sequence in methylation determination. Our results show that differences in methylation of ETns between individuals is not a sporadic phenomenon and support the hypothesis that ERVs contribute to phenotypic variability through their stochastic silencing.", "author" : [ { "dropping-particle" : "", "family" : "Reiss", "given" : "Daphne", "non-dropping-particle" : "", "parse-names" : false, "suffix" : "" }, { "dropping-particle" : "", "family" : "Zhang", "given" : "Ying", "non-dropping-particle" : "", "parse-names" : false, "suffix" : "" }, { "dropping-particle" : "", "family" : "Rouhi", "given" : "Arefeh", "non-dropping-particle" : "", "parse-names" : false, "suffix" : "" }, { "dropping-particle" : "", "family" : "Reuter", "given" : "Max", "non-dropping-particle" : "", "parse-names" : false, "suffix" : "" }, { "dropping-particle" : "", "family" : "Mager", "given" : "Dixie L", "non-dropping-particle" : "", "parse-names" : false, "suffix" : "" } ], "container-title" : "Epigenetics : official journal of the DNA Methylation Society", "id" : "ITEM-4", "issue" : "1", "issued" : { "date-parts" : [ [ "2010", "1", "1" ] ] }, "page" : "68-79", "title" : "Variable DNA methylation of transposable elements: the case study of mouse Early Transposons.", "type" : "article-journal", "volume" : "5" }, "uris" : [ "http://www.mendeley.com/documents/?uuid=47f778fc-185e-4641-b7b3-471f3a4fa2ca" ] }, { "id" : "ITEM-5", "itemData" : { "DOI" : "10.1038/nrg3199", "ISSN" : "1471-0064", "PMID" : "22421730", "abstract" : "Recent studies have uncovered myriad viral sequences that are integrated or 'endogenized' in the genomes of various eukaryotes. Surprisingly, it appears that not just retroviruses but almost all types of viruses can become endogenous. We review how these genomic 'fossils' offer fresh insights into the origin, evolutionary dynamics and structural evolution of viruses, which are giving rise to the burgeoning field of palaeovirology. We also examine the multitude of ways through which endogenous viruses have influenced, for better or worse, the biology of their hosts. We argue that the conflict between hosts and viruses has led to the invention and diversification of molecular arsenals, which, in turn, promote the cellular co-option of endogenous viruses.", "author" : [ { "dropping-particle" : "", "family" : "Feschotte", "given" : "C\u00e9dric", "non-dropping-particle" : "", "parse-names" : false, "suffix" : "" }, { "dropping-particle" : "", "family" : "Gilbert", "given" : "Cl\u00e9ment", "non-dropping-particle" : "", "parse-names" : false, "suffix" : "" } ], "container-title" : "Nature reviews. Genetics", "id" : "ITEM-5", "issue" : "4", "issued" : { "date-parts" : [ [ "2012", "4" ] ] }, "page" : "283-96", "publisher" : "Nature Publishing Group", "title" : "Endogenous viruses: insights into viral evolution and impact on host biology.", "type" : "article-journal", "volume" : "13" }, "uris" : [ "http://www.mendeley.com/documents/?uuid=e2db4d62-2039-49d9-9917-0d7bf688a187" ] } ], "mendeley" : { "formattedCitation" : "(Bromham 2002; Cohen et al. 2009; Faulkner et al. 2009; Reiss et al. 2010; Feschotte &amp; Gilbert 2012)", "plainTextFormattedCitation" : "(Bromham 2002; Cohen et al. 2009; Faulkner et al. 2009; Reiss et al. 2010; Feschotte &amp; Gilbert 2012)", "previouslyFormattedCitation" : "(Bromham 2002; Cohen et al. 2009; Faulkner et al. 2009; Reiss et al. 2010; Feschotte &amp; Gilbert 2012)" }, "properties" : { "noteIndex" : 0 }, "schema" : "https://github.com/citation-style-language/schema/raw/master/csl-citation.json" }</w:instrText>
      </w:r>
      <w:r w:rsidR="00E50CDC">
        <w:fldChar w:fldCharType="separate"/>
      </w:r>
      <w:r w:rsidR="00E50CDC" w:rsidRPr="00E50CDC">
        <w:rPr>
          <w:noProof/>
        </w:rPr>
        <w:t>(Bromham 2002; Cohen et al. 2009; Faulkner et al. 2009; Reiss et al. 2010; Feschotte &amp; Gilbert 2012)</w:t>
      </w:r>
      <w:r w:rsidR="00E50CDC">
        <w:fldChar w:fldCharType="end"/>
      </w:r>
      <w:r w:rsidR="00E50CDC">
        <w:t>.</w:t>
      </w:r>
    </w:p>
    <w:p w14:paraId="2A03534F" w14:textId="235DE9F2" w:rsidR="006D7EDB" w:rsidRDefault="00A560A3" w:rsidP="00391005">
      <w:pPr>
        <w:pStyle w:val="ListParagraph"/>
      </w:pPr>
      <w:r>
        <w:t xml:space="preserve">Epigenetic marks are the major, heritable mechanism for transposable element control. However, these marks are easily modified and will often change during times of cellular stress or dysregulation, resulting in increased transposable element activity. </w:t>
      </w:r>
      <w:r w:rsidR="0008501C">
        <w:t>Additionally</w:t>
      </w:r>
      <w:r>
        <w:t xml:space="preserve">, recent insertions will likely be incompletely methylated (if at all), leading to partial element expression </w:t>
      </w:r>
      <w:r>
        <w:fldChar w:fldCharType="begin" w:fldLock="1"/>
      </w:r>
      <w:r w:rsidR="006D7EDB">
        <w:instrText>ADDIN CSL_CITATION { "citationItems" : [ { "id" : "ITEM-1", "itemData" : { "DOI" : "10.1016/j.gene.2006.07.032", "ISSN" : "0378-1119", "PMID" : "16987613", "abstract" : "It has been hypothesized that phenotypic variation in mammals could in part be due to incomplete and variable silencing of retrotransposons in somatic cells. This theory is based on the fact that some recent endogenous retroviral (ERV) insertions in the mouse exert variable effects on genes in isogenic animals, depending on the variable state of ERV methylation. In this article, we review the evidence for this and related phenomena and suggest that such stochastic epigenetic silencing is restricted to very recent insertions. We also present a model to explain the acquisition of a more stable epigenetic state for transposable element insertions through time.", "author" : [ { "dropping-particle" : "", "family" : "Reiss", "given" : "Daphne", "non-dropping-particle" : "", "parse-names" : false, "suffix" : "" }, { "dropping-particle" : "", "family" : "Mager", "given" : "Dixie L", "non-dropping-particle" : "", "parse-names" : false, "suffix" : "" } ], "container-title" : "Gene", "id" : "ITEM-1", "issue" : "1-2", "issued" : { "date-parts" : [ [ "2007", "4", "1" ] ] }, "note" : "Mice studies - ERVs near genes or in introns can have very variable impacts on phenotype depending on the methylation status of the insert. Similar correlations seen with Arabidopsis and in human. \n\n        \nAlleles with variable expressivity as a result of their epigenetic state are called metastable eipalleles. Establishment of the epigenetic state is stochastic and derived during early development. These have mainly been described in plants, but also in other models. \n\n        \nTEs are silenced by DNA methylation and other epigenetic modifications such as histone modification. Potential for epigenetic state of TEs to be very labile (liable to change / easily altered) - how is it stochastic? Huge numbers of TEs in mammalian genomes - &amp;quot;nearly all genes have such sequences in their introns or immediate vicinity&amp;quot;.\n\n        \nTE hypervariable epigenetic state seen only with recent insertions. Older insertions appear to have steady epigenetic state.\n\n        \nPotential that stochasticity in new insertions is due to conflicting cis and trans forces. It has been shown that epigenetic stability is a multi step process - it takes time to develop stability. This time is dependent on population dynamics (such as Ne), time since insertion, the length of the insert, location in reference to genes, selective disadvantage/other, etc etc. Selection will act both on the DNA and on the epigenetic state.\n\n        \n\n      ", "page" : "130-5", "title" : "Stochastic epigenetic silencing of retrotransposons: does stability come with age?", "type" : "article-journal", "volume" : "390" }, "uris" : [ "http://www.mendeley.com/documents/?uuid=abb3594e-f04a-40ba-a7e7-ae291b6bdfc0" ] }, { "id" : "ITEM-2", "itemData" : { "author" : [ { "dropping-particle" : "", "family" : "Varriale", "given" : "Annalisa", "non-dropping-particle" : "", "parse-names" : false, "suffix" : "" } ], "container-title" : "International Journal of Evolutionary Biology", "id" : "ITEM-2", "issued" : { "date-parts" : [ [ "2014" ] ] }, "title" : "DNA Methylation, Epigenetics, and Evolution in Vertebrates: Facts and Challenges", "type" : "article-journal", "volume" : "2014" }, "uris" : [ "http://www.mendeley.com/documents/?uuid=c0722f83-c20b-467c-83a6-e02c974afd31" ] } ], "mendeley" : { "formattedCitation" : "(Reiss &amp; Mager 2007; Varriale 2014)", "plainTextFormattedCitation" : "(Reiss &amp; Mager 2007; Varriale 2014)", "previouslyFormattedCitation" : "(Reiss &amp; Mager 2007; Varriale 2014)" }, "properties" : { "noteIndex" : 0 }, "schema" : "https://github.com/citation-style-language/schema/raw/master/csl-citation.json" }</w:instrText>
      </w:r>
      <w:r>
        <w:fldChar w:fldCharType="separate"/>
      </w:r>
      <w:r w:rsidRPr="00A560A3">
        <w:rPr>
          <w:noProof/>
        </w:rPr>
        <w:t>(Reiss &amp; Mager 2007; Varriale 2014)</w:t>
      </w:r>
      <w:r>
        <w:fldChar w:fldCharType="end"/>
      </w:r>
      <w:r>
        <w:t>. Innate antiviral defence mechanisms provide secondary, cumula</w:t>
      </w:r>
      <w:r w:rsidR="006D7EDB">
        <w:t xml:space="preserve">tive control of these elements. This can include a range of host viral inhibitors (often based on </w:t>
      </w:r>
      <w:r w:rsidR="006963EB">
        <w:t>detecting RNA or DNA intermediaries),</w:t>
      </w:r>
      <w:r w:rsidR="006D7EDB">
        <w:t xml:space="preserve"> restriction enzymes, or more complex pathways such as RNA interference (RNAi) </w:t>
      </w:r>
      <w:r w:rsidR="006D7EDB">
        <w:fldChar w:fldCharType="begin" w:fldLock="1"/>
      </w:r>
      <w:r w:rsidR="006963EB">
        <w:instrText>ADDIN CSL_CITATION { "citationItems" : [ { "id" : "ITEM-1", "itemData" : { "DOI" : "10.1016/j.bbagrm.2011.04.001", "ISSN" : "0006-3002", "PMID" : "21514406", "abstract" : "Despite their abundance in the genome, transposable elements (TEs) and their derivatives are major targets of epigenetic silencing mechanisms, which restrain TE mobility at different stages of the life cycle. DNA methylation, post-translational modification of histone tails and small RNA-based pathways contribute to maintain TE silencing; however, some of these epigenetic marks are tightly interwoven and this complicates the delineation of the exact contribution of each in TE silencing. Recent studies have confirmed that host genomes have evolved versatility in the use of these mechanisms to individualize silencing of particular TEs. These studies also revealed that silencing of TEs is much more dynamic than had been previously thought and can be reversed on the genomic scale in particular cell types or under special environmental conditions. This article is part of a Special Issue entitled \"Epigenetic control of cellular and developmental processes in plants\".", "author" : [ { "dropping-particle" : "", "family" : "Rigal", "given" : "M\u00e9lanie", "non-dropping-particle" : "", "parse-names" : false, "suffix" : "" }, { "dropping-particle" : "", "family" : "Mathieu", "given" : "Olivier", "non-dropping-particle" : "", "parse-names" : false, "suffix" : "" } ], "container-title" : "Biochimica et biophysica acta", "id" : "ITEM-1", "issue" : "8", "issued" : { "date-parts" : [ [ "2011", "8" ] ] }, "page" : "452-8", "publisher" : "Elsevier B.V.", "title" : "A \"mille-feuille\" of silencing: epigenetic control of transposable elements.", "type" : "article-journal", "volume" : "1809" }, "uris" : [ "http://www.mendeley.com/documents/?uuid=fdfd1846-b984-4f12-9110-430b1b66151b" ] }, { "id" : "ITEM-2", "itemData" : { "DOI" : "10.1111/tri.12219", "ISSN" : "1432-2277", "PMID" : "24138389", "abstract" : "To effectively suppress porcine endogenous retroviruses (PERV)s, RNAi technique was utilized. RNAi is the up-to-date skill for gene knockdown which simultaneously multitargets both gag and pol genes critical for replication of PERVs. Previously, two of the most effective siRNAs (gag2, pol2) were found to reduce the expression of PERVs. Concurrent treatment of these two siRNAs (gag2+pol2) showed knockdown efficiency of up to 88% compared to negative control. However, despite the high initial knockdown efficiency 48\u00a0h after transfection caused by siRNA, it may only be a transient effect of suppressing PERVs. The multitargeting vector was designed, containing both gag and pol genes and making use of POL II miR Expression Vector, which allowed for persistent and multiple targeting. This is the latest shRNA system technique expressing and targeting like miRNA. Through antibiotics resistance characteristics utilizing this vector, miRNA-transfected PK15 cells (gag2-pol2) were selected during 10\u00a0days. An 88.1% reduction in the level of mRNA expression was found. In addition, we performed RT-activity analysis and fluorescence in situ hybridization assay, and it demonstrated the highest knockdown efficiency in multitargeting (gag2+pol2) miRNA group. Therefore, according to the results above, gene knockdown system (siRNA and shRNA) through multitargeting strategy could effectively inhibit PERVs.", "author" : [ { "dropping-particle" : "", "family" : "Chung", "given" : "Hee-Chun", "non-dropping-particle" : "", "parse-names" : false, "suffix" : "" }, { "dropping-particle" : "", "family" : "Nguyen", "given" : "Van-Giap", "non-dropping-particle" : "", "parse-names" : false, "suffix" : "" }, { "dropping-particle" : "", "family" : "Moon", "given" : "Hyoung-Joon", "non-dropping-particle" : "", "parse-names" : false, "suffix" : "" }, { "dropping-particle" : "", "family" : "Kim", "given" : "Hye-Kwon", "non-dropping-particle" : "", "parse-names" : false, "suffix" : "" }, { "dropping-particle" : "", "family" : "Park", "given" : "Seong-Jun", "non-dropping-particle" : "", "parse-names" : false, "suffix" : "" }, { "dropping-particle" : "", "family" : "Lee", "given" : "Jee-Hoon", "non-dropping-particle" : "", "parse-names" : false, "suffix" : "" }, { "dropping-particle" : "", "family" : "Choi", "given" : "Min-Gyung", "non-dropping-particle" : "", "parse-names" : false, "suffix" : "" }, { "dropping-particle" : "", "family" : "Kim", "given" : "A-Reum", "non-dropping-particle" : "", "parse-names" : false, "suffix" : "" }, { "dropping-particle" : "", "family" : "Park", "given" : "Bong-Kyun", "non-dropping-particle" : "", "parse-names" : false, "suffix" : "" } ], "container-title" : "Transplant international : official journal of the European Society for Organ Transplantation", "id" : "ITEM-2", "issue" : "1", "issued" : { "date-parts" : [ [ "2014", "1" ] ] }, "page" : "96-105", "title" : "Inhibition of porcine endogenous retrovirus in PK15 cell line by efficient multitargeting RNA interference.", "type" : "article-journal", "volume" : "27" }, "uris" : [ "http://www.mendeley.com/documents/?uuid=8c366865-2611-4766-b2ab-a60b9af48452" ] } ], "mendeley" : { "formattedCitation" : "(Rigal &amp; Mathieu 2011; Chung et al. 2014)", "plainTextFormattedCitation" : "(Rigal &amp; Mathieu 2011; Chung et al. 2014)", "previouslyFormattedCitation" : "(Rigal &amp; Mathieu 2011; Chung et al. 2014)" }, "properties" : { "noteIndex" : 0 }, "schema" : "https://github.com/citation-style-language/schema/raw/master/csl-citation.json" }</w:instrText>
      </w:r>
      <w:r w:rsidR="006D7EDB">
        <w:fldChar w:fldCharType="separate"/>
      </w:r>
      <w:r w:rsidR="006D7EDB" w:rsidRPr="006D7EDB">
        <w:rPr>
          <w:noProof/>
        </w:rPr>
        <w:t>(Rigal &amp; Mathieu 2011; Chung et al. 2014)</w:t>
      </w:r>
      <w:r w:rsidR="006D7EDB">
        <w:fldChar w:fldCharType="end"/>
      </w:r>
      <w:r w:rsidR="006D7EDB">
        <w:t xml:space="preserve">. RNAi can specifically target retrotransposon transcripts which have </w:t>
      </w:r>
      <w:r w:rsidR="00DF7069">
        <w:t xml:space="preserve">been </w:t>
      </w:r>
      <w:r w:rsidR="006D7EDB">
        <w:t>previously expressed, as short sequences (</w:t>
      </w:r>
      <w:r w:rsidR="00E85026">
        <w:t xml:space="preserve">approximately 20 </w:t>
      </w:r>
      <w:r w:rsidR="00E85026">
        <w:lastRenderedPageBreak/>
        <w:t>to 40</w:t>
      </w:r>
      <w:r w:rsidR="006D7EDB">
        <w:t xml:space="preserve"> bp) are retained as references which can be used to bind new transcripts and mark them for degradation. </w:t>
      </w:r>
      <w:r w:rsidR="006963EB">
        <w:t>Sequences with close homology will also be targeted as exact base pair complementarity is not required</w:t>
      </w:r>
      <w:r w:rsidR="00E85026">
        <w:t xml:space="preserve"> </w:t>
      </w:r>
      <w:r w:rsidR="00E85026">
        <w:fldChar w:fldCharType="begin" w:fldLock="1"/>
      </w:r>
      <w:r w:rsidR="00064EA8">
        <w:instrText>ADDIN CSL_CITATION { "citationItems" : [ { "id" : "ITEM-1", "itemData" : { "DOI" : "10.1016/j.bbagrm.2011.04.001", "ISSN" : "0006-3002", "PMID" : "21514406", "abstract" : "Despite their abundance in the genome, transposable elements (TEs) and their derivatives are major targets of epigenetic silencing mechanisms, which restrain TE mobility at different stages of the life cycle. DNA methylation, post-translational modification of histone tails and small RNA-based pathways contribute to maintain TE silencing; however, some of these epigenetic marks are tightly interwoven and this complicates the delineation of the exact contribution of each in TE silencing. Recent studies have confirmed that host genomes have evolved versatility in the use of these mechanisms to individualize silencing of particular TEs. These studies also revealed that silencing of TEs is much more dynamic than had been previously thought and can be reversed on the genomic scale in particular cell types or under special environmental conditions. This article is part of a Special Issue entitled \"Epigenetic control of cellular and developmental processes in plants\".", "author" : [ { "dropping-particle" : "", "family" : "Rigal", "given" : "M\u00e9lanie", "non-dropping-particle" : "", "parse-names" : false, "suffix" : "" }, { "dropping-particle" : "", "family" : "Mathieu", "given" : "Olivier", "non-dropping-particle" : "", "parse-names" : false, "suffix" : "" } ], "container-title" : "Biochimica et biophysica acta", "id" : "ITEM-1", "issue" : "8", "issued" : { "date-parts" : [ [ "2011", "8" ] ] }, "page" : "452-8", "publisher" : "Elsevier B.V.", "title" : "A \"mille-feuille\" of silencing: epigenetic control of transposable elements.", "type" : "article-journal", "volume" : "1809" }, "uris" : [ "http://www.mendeley.com/documents/?uuid=fdfd1846-b984-4f12-9110-430b1b66151b" ] }, { "id" : "ITEM-2", "itemData" : { "DOI" : "10.1111/tri.12219", "ISSN" : "1432-2277", "PMID" : "24138389", "abstract" : "To effectively suppress porcine endogenous retroviruses (PERV)s, RNAi technique was utilized. RNAi is the up-to-date skill for gene knockdown which simultaneously multitargets both gag and pol genes critical for replication of PERVs. Previously, two of the most effective siRNAs (gag2, pol2) were found to reduce the expression of PERVs. Concurrent treatment of these two siRNAs (gag2+pol2) showed knockdown efficiency of up to 88% compared to negative control. However, despite the high initial knockdown efficiency 48\u00a0h after transfection caused by siRNA, it may only be a transient effect of suppressing PERVs. The multitargeting vector was designed, containing both gag and pol genes and making use of POL II miR Expression Vector, which allowed for persistent and multiple targeting. This is the latest shRNA system technique expressing and targeting like miRNA. Through antibiotics resistance characteristics utilizing this vector, miRNA-transfected PK15 cells (gag2-pol2) were selected during 10\u00a0days. An 88.1% reduction in the level of mRNA expression was found. In addition, we performed RT-activity analysis and fluorescence in situ hybridization assay, and it demonstrated the highest knockdown efficiency in multitargeting (gag2+pol2) miRNA group. Therefore, according to the results above, gene knockdown system (siRNA and shRNA) through multitargeting strategy could effectively inhibit PERVs.", "author" : [ { "dropping-particle" : "", "family" : "Chung", "given" : "Hee-Chun", "non-dropping-particle" : "", "parse-names" : false, "suffix" : "" }, { "dropping-particle" : "", "family" : "Nguyen", "given" : "Van-Giap", "non-dropping-particle" : "", "parse-names" : false, "suffix" : "" }, { "dropping-particle" : "", "family" : "Moon", "given" : "Hyoung-Joon", "non-dropping-particle" : "", "parse-names" : false, "suffix" : "" }, { "dropping-particle" : "", "family" : "Kim", "given" : "Hye-Kwon", "non-dropping-particle" : "", "parse-names" : false, "suffix" : "" }, { "dropping-particle" : "", "family" : "Park", "given" : "Seong-Jun", "non-dropping-particle" : "", "parse-names" : false, "suffix" : "" }, { "dropping-particle" : "", "family" : "Lee", "given" : "Jee-Hoon", "non-dropping-particle" : "", "parse-names" : false, "suffix" : "" }, { "dropping-particle" : "", "family" : "Choi", "given" : "Min-Gyung", "non-dropping-particle" : "", "parse-names" : false, "suffix" : "" }, { "dropping-particle" : "", "family" : "Kim", "given" : "A-Reum", "non-dropping-particle" : "", "parse-names" : false, "suffix" : "" }, { "dropping-particle" : "", "family" : "Park", "given" : "Bong-Kyun", "non-dropping-particle" : "", "parse-names" : false, "suffix" : "" } ], "container-title" : "Transplant international : official journal of the European Society for Organ Transplantation", "id" : "ITEM-2", "issue" : "1", "issued" : { "date-parts" : [ [ "2014", "1" ] ] }, "page" : "96-105", "title" : "Inhibition of porcine endogenous retrovirus in PK15 cell line by efficient multitargeting RNA interference.", "type" : "article-journal", "volume" : "27" }, "uris" : [ "http://www.mendeley.com/documents/?uuid=8c366865-2611-4766-b2ab-a60b9af48452" ] } ], "mendeley" : { "formattedCitation" : "(Rigal &amp; Mathieu 2011; Chung et al. 2014)", "plainTextFormattedCitation" : "(Rigal &amp; Mathieu 2011; Chung et al. 2014)", "previouslyFormattedCitation" : "(Rigal &amp; Mathieu 2011; Chung et al. 2014)" }, "properties" : { "noteIndex" : 0 }, "schema" : "https://github.com/citation-style-language/schema/raw/master/csl-citation.json" }</w:instrText>
      </w:r>
      <w:r w:rsidR="00E85026">
        <w:fldChar w:fldCharType="separate"/>
      </w:r>
      <w:r w:rsidR="00E85026" w:rsidRPr="00E85026">
        <w:rPr>
          <w:noProof/>
        </w:rPr>
        <w:t>(Rigal &amp; Mathieu 2011; Chung et al. 2014)</w:t>
      </w:r>
      <w:r w:rsidR="00E85026">
        <w:fldChar w:fldCharType="end"/>
      </w:r>
      <w:r w:rsidR="006963EB">
        <w:t>. Whilst these mechanisms target expressed retrotransposons, enzymes such as cytidine deaminases target existing genomic insertions and mutate the polyadenylated regions</w:t>
      </w:r>
      <w:r w:rsidR="00D341DF">
        <w:t xml:space="preserve">, </w:t>
      </w:r>
      <w:r w:rsidR="006963EB">
        <w:t>disrupt</w:t>
      </w:r>
      <w:r w:rsidR="00D341DF">
        <w:t>ing</w:t>
      </w:r>
      <w:r w:rsidR="006963EB">
        <w:t xml:space="preserve"> promoter and enhancer activity </w:t>
      </w:r>
      <w:r w:rsidR="006963EB">
        <w:fldChar w:fldCharType="begin" w:fldLock="1"/>
      </w:r>
      <w:r w:rsidR="00E85026">
        <w:instrText>ADDIN CSL_CITATION { "citationItems" : [ { "id" : "ITEM-1", "itemData" : { "DOI" : "10.1146/annurev.immunol.26.021607.090350", "ISSN" : "0732-0582", "PMID" : "18304004", "abstract" : "All retroviruses, including HIV-1, display species-specific patterns of infection. The impaired growth of these retroviruses in foreign and sometimes even in their natural hosts often stems from the action of potent host-encoded \"viral restriction factors\" that form important protective components of the innate immune system. The discovery of APOBEC3G and related cytidine deaminases as one class of host restriction factors and of the action of HIV-1 Vif as a specific APOBEC3G antagonist have stimulated intense scientific interest. This Vif-APOBEC3G axis now forms a very attractive target for development of an entirely new class of anti-HIV drugs. In this review, we summarize current understanding of the mechanism of action of the APOBEC3 family of enzymes, their intriguing regulation within cells, the impact of these enzymes on viral evolution and disease progression, and their roles in controlling not only the replication of exogenous retroviruses but also the retrotransposition of endogenous retroelements.", "author" : [ { "dropping-particle" : "", "family" : "Chiu", "given" : "Ya-Lin", "non-dropping-particle" : "", "parse-names" : false, "suffix" : "" }, { "dropping-particle" : "", "family" : "Greene", "given" : "Warner C", "non-dropping-particle" : "", "parse-names" : false, "suffix" : "" } ], "container-title" : "Annual review of immunology", "id" : "ITEM-1", "issued" : { "date-parts" : [ [ "2008", "1" ] ] }, "page" : "317-53", "title" : "The APOBEC3 cytidine deaminases: an innate defensive network opposing exogenous retroviruses and endogenous retroelements.", "type" : "article-journal", "volume" : "26" }, "uris" : [ "http://www.mendeley.com/documents/?uuid=4e51fc64-0a27-4e88-8682-f8d923f9808b" ] } ], "mendeley" : { "formattedCitation" : "(Chiu &amp; Greene 2008)", "plainTextFormattedCitation" : "(Chiu &amp; Greene 2008)", "previouslyFormattedCitation" : "(Chiu &amp; Greene 2008)" }, "properties" : { "noteIndex" : 0 }, "schema" : "https://github.com/citation-style-language/schema/raw/master/csl-citation.json" }</w:instrText>
      </w:r>
      <w:r w:rsidR="006963EB">
        <w:fldChar w:fldCharType="separate"/>
      </w:r>
      <w:r w:rsidR="006963EB" w:rsidRPr="006963EB">
        <w:rPr>
          <w:noProof/>
        </w:rPr>
        <w:t>(Chiu &amp; Greene 2008)</w:t>
      </w:r>
      <w:r w:rsidR="006963EB">
        <w:fldChar w:fldCharType="end"/>
      </w:r>
      <w:r w:rsidR="006963EB">
        <w:t xml:space="preserve">. In addition, LTR retrotransposons themselves are known to influence the expression, replication and transmission of other LTR retrotransposons (introduced further in section </w:t>
      </w:r>
      <w:r w:rsidR="006963EB">
        <w:fldChar w:fldCharType="begin" w:fldLock="1"/>
      </w:r>
      <w:r w:rsidR="006963EB">
        <w:instrText xml:space="preserve"> REF _Ref484341474 \r \h </w:instrText>
      </w:r>
      <w:r w:rsidR="006963EB">
        <w:fldChar w:fldCharType="separate"/>
      </w:r>
      <w:r w:rsidR="002C549C">
        <w:t>1.1.3</w:t>
      </w:r>
      <w:r w:rsidR="006963EB">
        <w:fldChar w:fldCharType="end"/>
      </w:r>
      <w:r w:rsidR="006963EB">
        <w:t>).</w:t>
      </w:r>
    </w:p>
    <w:p w14:paraId="5A26F52C" w14:textId="77777777" w:rsidR="009A1BAB" w:rsidRPr="006D0017" w:rsidRDefault="009A1BAB" w:rsidP="00391005">
      <w:pPr>
        <w:pStyle w:val="ListParagraph"/>
      </w:pPr>
    </w:p>
    <w:p w14:paraId="3406A30D" w14:textId="78462249" w:rsidR="00F43B64" w:rsidRDefault="00F43B64" w:rsidP="00F43B64">
      <w:pPr>
        <w:pStyle w:val="Heading3"/>
      </w:pPr>
      <w:bookmarkStart w:id="38" w:name="_Toc485721561"/>
      <w:bookmarkStart w:id="39" w:name="_Toc486787141"/>
      <w:bookmarkStart w:id="40" w:name="_Toc486787289"/>
      <w:r>
        <w:t>Evolutionary origins</w:t>
      </w:r>
      <w:bookmarkEnd w:id="38"/>
      <w:bookmarkEnd w:id="39"/>
      <w:bookmarkEnd w:id="40"/>
    </w:p>
    <w:p w14:paraId="4069A9E9" w14:textId="6FC25222" w:rsidR="005868AA" w:rsidRDefault="00B0090D" w:rsidP="00391005">
      <w:pPr>
        <w:pStyle w:val="ListParagraph"/>
      </w:pPr>
      <w:r>
        <w:t>LTR retrotransposons have been identified throughout</w:t>
      </w:r>
      <w:r w:rsidR="008F54DE">
        <w:t xml:space="preserve"> the e</w:t>
      </w:r>
      <w:r w:rsidR="00796786">
        <w:t>ukaryotic</w:t>
      </w:r>
      <w:r>
        <w:t xml:space="preserve"> lineage, support</w:t>
      </w:r>
      <w:r w:rsidR="008F54DE">
        <w:t>ing their presence in the last e</w:t>
      </w:r>
      <w:r>
        <w:t>ukaryotic common ancestor</w:t>
      </w:r>
      <w:r w:rsidR="00D04942">
        <w:t xml:space="preserve"> </w:t>
      </w:r>
      <w:r w:rsidR="00D04942">
        <w:fldChar w:fldCharType="begin" w:fldLock="1"/>
      </w:r>
      <w:r w:rsidR="00D04942">
        <w:instrText>ADDIN CSL_CITATION { "citationItems" : [ { "id" : "ITEM-1", "itemData" : { "DOI" : "10.1186/1471-2148-8-276", "ISSN" : "1471-2148", "PMID" : "18842133", "abstract" : "BACKGROUND: The origin of vertebrate retroviruses (Retroviridae) is yet to be thoroughly investigated, but due to their similarity and identical gag-pol (and env) genome structure, it is accepted that they evolve from Ty3/Gypsy LTR retroelements the retrotransposons and retroviruses of plants, fungi and animals. These 2 groups of LTR retroelements code for 3 proteins rarely studied due to the high variability - gag polyprotein, protease and GPY/F module. In relation to 3 previously proposed Retroviridae classes I, II and II, investigation of the above proteins conclusively uncovers important insights regarding the ancient history of Ty3/Gypsy and Retroviridae LTR retroelements.\n\nRESULTS: We performed a comprehensive study of 120 non-redundant Ty3/Gypsy and Retroviridae LTR retroelements. Phylogenetic reconstruction inferred based on the concatenated analysis of the gag and pol polyproteins shows a robust phylogenetic signal regarding the clustering of OTUs. Evaluation of gag and pol polyproteins separately yields discordant information. While pol signal supports the traditional perspective (2 monophyletic groups), gag polyprotein describes an alternative scenario where each Retroviridae class can be distantly related with one or more Ty3/Gypsy lineages. We investigated more in depth this evidence through comparative analyses performed based on the gag polyprotein, the protease and the GPY/F module. Our results indicate that contrary to the traditional monophyletic view of the origin of vertebrate retroviruses, the Retroviridae class I is a molecular fossil, preserving features that were probably predominant among Ty3/Gypsy ancestors predating the split of plants, fungi and animals. In contrast, classes II and III maintain other phenotypes that emerged more recently during Ty3/Gypsy evolution.\n\nCONCLUSION: The 3 Retroviridae classes I, II and III exhibit phenotypic differences that delineate a network never before reported between Ty3/Gypsy and Retroviridae LTR retroelements. This new scenario reveals how the diversity of vertebrate retroviruses is polyphyletically recurrent into the Ty3/Gypsy evolution, i.e. older than previously thought. The simplest hypothesis to explain this finding is that classes I, II and III trace back to at least 3 Ty3/Gypsy ancestors that emerged at different evolutionary times prior to protostomes-deuterostomes divergence. We have called this \"the three kings hypothesis\" concerning the origin of vertebrate retroviruses.", "author" : [ { "dropping-particle" : "", "family" : "Llorens", "given" : "Carlos", "non-dropping-particle" : "", "parse-names" : false, "suffix" : "" }, { "dropping-particle" : "", "family" : "Fares", "given" : "Mario a", "non-dropping-particle" : "", "parse-names" : false, "suffix" : "" }, { "dropping-particle" : "", "family" : "Moya", "given" : "Andres", "non-dropping-particle" : "", "parse-names" : false, "suffix" : "" } ], "container-title" : "BMC evolutionary biology", "id" : "ITEM-1", "issued" : { "date-parts" : [ [ "2008", "1" ] ] }, "page" : "276", "title" : "Relationships of gag-pol diversity between Ty3/Gypsy and Retroviridae LTR retroelements and the three kings hypothesis.", "type" : "article-journal", "volume" : "8" }, "uris" : [ "http://www.mendeley.com/documents/?uuid=af1cfad9-42be-42f2-ba7d-c228b1845aa4" ] }, { "id" : "ITEM-2",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"ITEM-2", "issue" : "Database issue", "issued" : { "date-parts" : [ [ "2011", "1" ] ] }, "page" : "D70-4", "title" : "The Gypsy Database (GyDB) of mobile genetic elements: release 2.0.", "type" : "article-journal", "volume" : "39" }, "uris" : [ "http://www.mendeley.com/documents/?uuid=2201aeec-e22e-4c31-9b3c-c918eda40ebe" ] } ], "mendeley" : { "formattedCitation" : "(Llorens et al. 2008; Llorens et al. 2011)", "plainTextFormattedCitation" : "(Llorens et al. 2008; Llorens et al. 2011)", "previouslyFormattedCitation" : "(Llorens et al. 2008; Llorens et al. 2011)" }, "properties" : { "noteIndex" : 0 }, "schema" : "https://github.com/citation-style-language/schema/raw/master/csl-citation.json" }</w:instrText>
      </w:r>
      <w:r w:rsidR="00D04942">
        <w:fldChar w:fldCharType="separate"/>
      </w:r>
      <w:r w:rsidR="00D04942" w:rsidRPr="00D04942">
        <w:rPr>
          <w:noProof/>
        </w:rPr>
        <w:t>(Llorens et al. 2008; Llorens et al. 2011)</w:t>
      </w:r>
      <w:r w:rsidR="00D04942">
        <w:fldChar w:fldCharType="end"/>
      </w:r>
      <w:r>
        <w:t xml:space="preserve">. </w:t>
      </w:r>
      <w:r w:rsidR="00796786">
        <w:t xml:space="preserve">These elements </w:t>
      </w:r>
      <w:r w:rsidR="005868AA">
        <w:t xml:space="preserve">are absent in studied </w:t>
      </w:r>
      <w:r w:rsidR="00525222">
        <w:t>P</w:t>
      </w:r>
      <w:r w:rsidR="00796786">
        <w:t>rokaryo</w:t>
      </w:r>
      <w:r w:rsidR="00711E09">
        <w:t xml:space="preserve">tes, and no </w:t>
      </w:r>
      <w:r w:rsidR="00796786">
        <w:t>LTR retrotransposon precursors have been identified. However, both DNA transposons and non-LTR retrotransposons are found in prokaryotes, and it is likely that LTR retrotransposons are chimeric elements formed from recombination between elements of these two ancestral classes</w:t>
      </w:r>
      <w:r w:rsidR="00D04942">
        <w:t xml:space="preserve"> </w:t>
      </w:r>
      <w:r w:rsidR="00D04942">
        <w:fldChar w:fldCharType="begin" w:fldLock="1"/>
      </w:r>
      <w:r w:rsidR="00D04942">
        <w:instrText>ADDIN CSL_CITATION { "citationItems" : [ { "id" : "ITEM-1", "itemData" : { "DOI" : "10.1101/gr.185101", "ISSN" : "1088-9051", "PMID" : "11435400", "abstract" : "We have conducted a phylogenetic analysis of the Ribonuclease HI (RNH) domains present in Eubacteria, Eukarya, all long-term repeat (LTR)-bearing retrotransposons, and several late-branching clades of non-LTR retrotransposons. Analysis of this simple yet highly conserved enzymatic domain from these disparate sources provides surprising insights into the evolution of eukaryotic retrotransposons. First, it indicates that the lineage of elements leading to vertebrate retroviruses acquired a new RNH domain either from non-LTR retrotransposons or from a eukaryotic host genome. The preexisting retroviral RNH domain degenerated to become the tether (connection) domain of the reverse transcriptase (RT)-RNH complex. Second, it indicates that all LTR retrotransposons arose in eukaryotes well after the origin of the non-LTR retrotransposons. Because of the younger age of the LTR retrotransposons, their complex structure, and the absence of any prokaryotic precursors, we propose that the LTR retrotransposons originated as a fusion between a DNA-mediated transposon and a non-LTR retrotransposon. The resulting two-step mechanism of LTR retrotransposition, in which RNA is reverse transcribed away from the chromosomal target site, rather than directly onto the target site, was probably an adaptation to the uncoupling of transcription and translation in eukaryotic cells.", "author" : [ { "dropping-particle" : "", "family" : "Malik", "given" : "H S", "non-dropping-particle" : "", "parse-names" : false, "suffix" : "" }, { "dropping-particle" : "", "family" : "Eickbush", "given" : "T H", "non-dropping-particle" : "", "parse-names" : false, "suffix" : "" } ], "container-title" : "Genome research", "id" : "ITEM-1", "issue" : "7", "issued" : { "date-parts" : [ [ "2001", "7" ] ] }, "page" : "1187-97", "title" : "Phylogenetic analysis of ribonuclease H domains suggests a late, chimeric origin of LTR retrotransposable elements and retroviruses.", "type" : "article-journal", "volume" : "11" }, "uris" : [ "http://www.mendeley.com/documents/?uuid=f06e1f6a-934c-476f-b625-64b522aaa775" ] }, { "id" : "ITEM-2", "itemData" : { "DOI" : "10.1101/gr.1392003", "ISSN" : "1088-9051", "PMID" : "12952870", "abstract" : "Retrotransposons have proliferated extensively in eukaryotic lineages; the genomes of many animals and plants comprise 50% or more retrotransposon sequences by weight. There are several persuasive arguments that the enzymatic lynchpin of retrotransposon replication, reverse transcriptase (RT), is an ancient enzyme. Moreover, the direct progenitors of retrotransposons are thought to be mobile self-splicing introns that actively propagate themselves via reverse transcription, the group II introns, also known as retrointrons. Retrointrons are represented in modern genomes in very modest numbers, and thus far, only in certain eubacterial and organellar genomes. Archaeal genomes are nearly devoid of RT in any form. In this study, I propose a model to explain this unusual distribution, and rationalize it with the proposed ancient origin of the RT gene. A cap and tail hypothesis is proposed. By this hypothesis, the specialized terminal structures of eukaryotic mRNA provide the ideal molecular environment for the lengthening, evolution, and subsequent massive expansion of highly mobile retrotransposons, leading directly to the retrotransposon-cluttered structure that typifies modern metazoan genomes and the eventual emergence of retroviruses.", "author" : [ { "dropping-particle" : "", "family" : "Boeke", "given" : "Jef D", "non-dropping-particle" : "", "parse-names" : false, "suffix" : "" } ], "container-title" : "Genome research", "id" : "ITEM-2", "issue" : "9", "issued" : { "date-parts" : [ [ "2003", "9" ] ] }, "note" : "2 major arguments favour ancient origin of RT: RNA world preceded DNA world, and there is a broad distribution in the tree of life through evolution by descent. \nThere is also RT in prokaryotes - &amp;quot;the prokaryotic group&amp;quot; - across the retrons, retroplasmids and retrointrons. Several arguments suggest prokaryotic RT is ancestral to the RT in retroviruses and retrotransposons. Counter arguments exist, but the arguments together are quite compelling:\n1. progressive evolution from simple to complex: prokarotic RT is a single peptide, retrotransposons and retroviruses have multiple associated proteins such as endonucleases and integrase. A widely accepted extension is that retroviruses evolved from retrotransposons by acquiring new ORFs allowing the elements to leave the cell and infect laterally.\n2. the RT of one prokaryotic group can perform primer synthesis, similar to RNApol (the presumed progenitor to RT)\n3. RT of the prokaryotes is most similar to the presumed outgroup, the RdRP (rna directed/dependent rna polymerases) - other RT containing elements are much less closely related.\n4. Telomerase (specialised RT) clusters with prokaryotic and non-ltr retrotransposon RT sequences\n\n\nSome special feature of being eukaryotic that is permissive for RT and has allowed retrotransposon evolution adn proliferation. \n\n\nEnd result that many eukaryotic features help to establish mRNA transcript longevity. In particular mRNA processing with caps and tails. This allowed transposition to take off.", "page" : "1975-83", "title" : "The unusual phylogenetic distribution of retrotransposons: a hypothesis.", "type" : "article-journal", "volume" : "13" }, "uris" : [ "http://www.mendeley.com/documents/?uuid=4fa885d9-227b-4bec-99fe-1fe31d723a9f" ] } ], "mendeley" : { "formattedCitation" : "(Malik &amp; Eickbush 2001; Boeke 2003)", "plainTextFormattedCitation" : "(Malik &amp; Eickbush 2001; Boeke 2003)", "previouslyFormattedCitation" : "(Malik &amp; Eickbush 2001; Boeke 2003)" }, "properties" : { "noteIndex" : 0 }, "schema" : "https://github.com/citation-style-language/schema/raw/master/csl-citation.json" }</w:instrText>
      </w:r>
      <w:r w:rsidR="00D04942">
        <w:fldChar w:fldCharType="separate"/>
      </w:r>
      <w:r w:rsidR="00D04942" w:rsidRPr="00D04942">
        <w:rPr>
          <w:noProof/>
        </w:rPr>
        <w:t>(Malik &amp; Eickbush 2001; Boeke 2003)</w:t>
      </w:r>
      <w:r w:rsidR="00D04942">
        <w:fldChar w:fldCharType="end"/>
      </w:r>
      <w:r w:rsidR="00796786">
        <w:t xml:space="preserve">. </w:t>
      </w:r>
      <w:r w:rsidR="00D04942">
        <w:t>There has been some suggestion that the uncoupling of tr</w:t>
      </w:r>
      <w:r w:rsidR="008F54DE">
        <w:t>anscription and translation in e</w:t>
      </w:r>
      <w:r w:rsidR="00D04942">
        <w:t xml:space="preserve">ukaryotic cells, and the presence of a nuclear membrane barrier, made the two stage retrotransposition of LTR retrotransposons more successful than other transposon classes </w:t>
      </w:r>
      <w:r w:rsidR="00D04942">
        <w:fldChar w:fldCharType="begin" w:fldLock="1"/>
      </w:r>
      <w:r w:rsidR="00C34C86">
        <w:instrText>ADDIN CSL_CITATION { "citationItems" : [ { "id" : "ITEM-1", "itemData" : { "DOI" : "10.1101/gr.185101", "ISSN" : "1088-9051", "PMID" : "11435400", "abstract" : "We have conducted a phylogenetic analysis of the Ribonuclease HI (RNH) domains present in Eubacteria, Eukarya, all long-term repeat (LTR)-bearing retrotransposons, and several late-branching clades of non-LTR retrotransposons. Analysis of this simple yet highly conserved enzymatic domain from these disparate sources provides surprising insights into the evolution of eukaryotic retrotransposons. First, it indicates that the lineage of elements leading to vertebrate retroviruses acquired a new RNH domain either from non-LTR retrotransposons or from a eukaryotic host genome. The preexisting retroviral RNH domain degenerated to become the tether (connection) domain of the reverse transcriptase (RT)-RNH complex. Second, it indicates that all LTR retrotransposons arose in eukaryotes well after the origin of the non-LTR retrotransposons. Because of the younger age of the LTR retrotransposons, their complex structure, and the absence of any prokaryotic precursors, we propose that the LTR retrotransposons originated as a fusion between a DNA-mediated transposon and a non-LTR retrotransposon. The resulting two-step mechanism of LTR retrotransposition, in which RNA is reverse transcribed away from the chromosomal target site, rather than directly onto the target site, was probably an adaptation to the uncoupling of transcription and translation in eukaryotic cells.", "author" : [ { "dropping-particle" : "", "family" : "Malik", "given" : "H S", "non-dropping-particle" : "", "parse-names" : false, "suffix" : "" }, { "dropping-particle" : "", "family" : "Eickbush", "given" : "T H", "non-dropping-particle" : "", "parse-names" : false, "suffix" : "" } ], "container-title" : "Genome research", "id" : "ITEM-1", "issue" : "7", "issued" : { "date-parts" : [ [ "2001", "7" ] ] }, "page" : "1187-97", "title" : "Phylogenetic analysis of ribonuclease H domains suggests a late, chimeric origin of LTR retrotransposable elements and retroviruses.", "type" : "article-journal", "volume" : "11" }, "uris" : [ "http://www.mendeley.com/documents/?uuid=f06e1f6a-934c-476f-b625-64b522aaa775" ] } ], "mendeley" : { "formattedCitation" : "(Malik &amp; Eickbush 2001)", "plainTextFormattedCitation" : "(Malik &amp; Eickbush 2001)", "previouslyFormattedCitation" : "(Malik &amp; Eickbush 2001)" }, "properties" : { "noteIndex" : 0 }, "schema" : "https://github.com/citation-style-language/schema/raw/master/csl-citation.json" }</w:instrText>
      </w:r>
      <w:r w:rsidR="00D04942">
        <w:fldChar w:fldCharType="separate"/>
      </w:r>
      <w:r w:rsidR="00D04942" w:rsidRPr="00D04942">
        <w:rPr>
          <w:noProof/>
        </w:rPr>
        <w:t>(Malik &amp; Eickbush 2001)</w:t>
      </w:r>
      <w:r w:rsidR="00D04942">
        <w:fldChar w:fldCharType="end"/>
      </w:r>
      <w:r w:rsidR="00D04942">
        <w:t xml:space="preserve">. </w:t>
      </w:r>
    </w:p>
    <w:p w14:paraId="1B6259B8" w14:textId="160106AC" w:rsidR="00A85F13" w:rsidRDefault="00C34C86" w:rsidP="00391005">
      <w:pPr>
        <w:pStyle w:val="ListParagraph"/>
      </w:pPr>
      <w:r>
        <w:t>In addition to their chimeric origin, the ‘superficially conserved’ internal coding sequences of LTR retrotransposons also appear to have complex evolutionary histories, with multiple independen</w:t>
      </w:r>
      <w:r w:rsidR="00A7189C">
        <w:t>t acquisitions from various viral</w:t>
      </w:r>
      <w:r>
        <w:t xml:space="preserve"> sources in different lineages </w:t>
      </w:r>
      <w:r>
        <w:fldChar w:fldCharType="begin" w:fldLock="1"/>
      </w:r>
      <w:r>
        <w:instrText>ADDIN CSL_CITATION { "citationItems" : [ { "id" : "ITEM-1", "itemData" : { "DOI" : "10.1101/gr.145000", "ISSN" : "10889051", "author" : [ { "dropping-particle" : "", "family" : "Malik", "given" : "H. S.", "non-dropping-particle" : "", "parse-names" : false, "suffix" : "" }, { "dropping-particle" : "", "family" : "Henikoff", "given" : "Steve", "non-dropping-particle" : "", "parse-names" : false, "suffix" : "" }, { "dropping-particle" : "", "family" : "Eickbush", "given" : "Thomas H", "non-dropping-particle" : "", "parse-names" : false, "suffix" : "" } ], "container-title" : "Genome Research", "id" : "ITEM-1", "issue" : "9", "issued" : { "date-parts" : [ [ "2000", "9", "1" ] ] }, "note" : "Interesting paper - worth another read and a more thorough critique\n\n        \nVertebrate retroviruses appear to have originated from LTR retrotransposons which have acquired the env ORF allowing them to have an extracellular lifestyle. \nEnv gene acquisition may have many different origins across the different families of ltr elements. This gives the potential for any ltr retrotransposon to become a virus. ", "page" : "1307-1318", "title" : "Poised for Contagion: Evolutionary Origins of the Infectious Abilities of Invertebrate Retroviruses", "type" : "article-journal", "volume" : "10" }, "uris" : [ "http://www.mendeley.com/documents/?uuid=7598e030-57aa-4c3d-8534-193c635d03a3" ] }, { "id" : "ITEM-2", "itemData" : { "DOI" : "10.1101/gr.185101", "ISSN" : "1088-9051", "PMID" : "11435400", "abstract" : "We have conducted a phylogenetic analysis of the Ribonuclease HI (RNH) domains present in Eubacteria, Eukarya, all long-term repeat (LTR)-bearing retrotransposons, and several late-branching clades of non-LTR retrotransposons. Analysis of this simple yet highly conserved enzymatic domain from these disparate sources provides surprising insights into the evolution of eukaryotic retrotransposons. First, it indicates that the lineage of elements leading to vertebrate retroviruses acquired a new RNH domain either from non-LTR retrotransposons or from a eukaryotic host genome. The preexisting retroviral RNH domain degenerated to become the tether (connection) domain of the reverse transcriptase (RT)-RNH complex. Second, it indicates that all LTR retrotransposons arose in eukaryotes well after the origin of the non-LTR retrotransposons. Because of the younger age of the LTR retrotransposons, their complex structure, and the absence of any prokaryotic precursors, we propose that the LTR retrotransposons originated as a fusion between a DNA-mediated transposon and a non-LTR retrotransposon. The resulting two-step mechanism of LTR retrotransposition, in which RNA is reverse transcribed away from the chromosomal target site, rather than directly onto the target site, was probably an adaptation to the uncoupling of transcription and translation in eukaryotic cells.", "author" : [ { "dropping-particle" : "", "family" : "Malik", "given" : "H S", "non-dropping-particle" : "", "parse-names" : false, "suffix" : "" }, { "dropping-particle" : "", "family" : "Eickbush", "given" : "T H", "non-dropping-particle" : "", "parse-names" : false, "suffix" : "" } ], "container-title" : "Genome research", "id" : "ITEM-2", "issue" : "7", "issued" : { "date-parts" : [ [ "2001", "7" ] ] }, "page" : "1187-97", "title" : "Phylogenetic analysis of ribonuclease H domains suggests a late, chimeric origin of LTR retrotransposable elements and retroviruses.", "type" : "article-journal", "volume" : "11" }, "uris" : [ "http://www.mendeley.com/documents/?uuid=f06e1f6a-934c-476f-b625-64b522aaa775" ] }, { "id" : "ITEM-3", "itemData" : { "ISSN" : "0737-4038", "PMID" : "12411593", "abstract" : "A comprehensive survey of the Pseudoviridae (Ty1/copia) retroelement family was conducted using the GenBank sequence database and completed genome sequences of several model organisms. Plant genomes were the most abundant sources of Pseudoviridae, with the Arabidopsis thaliana genome having 276 distinct elements. A reverse transcriptase amino acid sequence phylogeny indicated that the Pseudoviridae comprises highly divergent members. Coding sequences for a representative subset of elements were analyzed to identify conserved domains and differences that may underlie functional divergence. With the exception of some fungal elements (e.g., Ty1), most Pseudoviridae encode Gag and Pol on a single open reading frame. In addition to the nearly ubiquitous RNA-binding motif of nucleocapsid, three new conserved domains were identified in Gag. pol-encoded aspartic protease was similar to the retroviral enzyme and could be mapped onto the HIV-1 structure. Pol was highly conserved throughout the family. The greatest divergence among Pol sequences was seen in the C-terminus of integrase (IN). We defined a large motif (GKGY) after the IN catalytic domain that is unique to the Pseudoviridae. Additionally, the extreme C-terminus of IN is rich in simple sequence motifs. A distinct lineage of Pseudoviridae in plants have envlike genes. This lineage has undergone a large expansion of Gag characterized by an alpha-helix-rich domain containing coiled-coil motifs. In several elements, this domain is flanked on both sides by RNA-binding domains. We propose that this monophyletic lineage defines a new Pseudoviridae genus, herein referred to as the AGROVIRUS:", "author" : [ { "dropping-particle" : "", "family" : "Peterson-Burch", "given" : "Brooke D", "non-dropping-particle" : "", "parse-names" : false, "suffix" : "" }, { "dropping-particle" : "", "family" : "Voytas", "given" : "Daniel F", "non-dropping-particle" : "", "parse-names" : false, "suffix" : "" } ], "container-title" : "Molecular biology and evolution", "id" : "ITEM-3", "issue" : "11", "issued" : { "date-parts" : [ [ "2002", "11" ] ] }, "page" : "1832-45", "title" : "Genes of the Pseudoviridae (Ty1/copia retrotransposons).", "type" : "article-journal", "volume" : "19" }, "uris" : [ "http://www.mendeley.com/documents/?uuid=6a271150-bf2a-46fd-bada-bb92f3b4b872" ] }, { "id" : "ITEM-4", "itemData" : { "author" : [ { "dropping-particle" : "", "family" : "Havecker", "given" : "ER", "non-dropping-particle" : "", "parse-names" : false, "suffix" : "" }, { "dropping-particle" : "", "family" : "Gao", "given" : "Xiang", "non-dropping-particle" : "", "parse-names" : false, "suffix" : "" }, { "dropping-particle" : "", "family" : "Voytas", "given" : "DF", "non-dropping-particle" : "", "parse-names" : false, "suffix" : "" } ], "container-title" : "Genome Biology", "id" : "ITEM-4", "issue" : "6", "issued" : { "date-parts" : [ [ "2004" ] ] }, "note" : "Only difference between retrotransposons and retroviruses is that the retrotransposon lifestyle is totally intracellular. \n\n\nThe gag of retrotransposons forms the virus-like particle (VLP) inside which reverse transcription occurs. \n\n\nAll phylogeny construction appears to be based on the rt domain - and this has also been used for classification by the Internal Committee on Taxonomy of Viruses. This means, that for the full length elements at least, this is a field standard and should probably be followed for greatest comparability within the literature.\n\n\nThe coding region order in the pol gene makes the Metaviridae (gypsy/ty3) different from the rest (PR-IN-RT rather than the 'standard' PR-RT-IN found in copia/ty1 and retroviruses). However, the Gmr1 retrotransposon from cod falls within the copia/ty1 (pseudoviridae) baed on rt sequence, but has the metaviridae pol order. \n\n\nDIRS group is weird - lack protease and have a tyrosine recombinase rather than an integrase.\n\n\nSemotiviruses were originally classed as a group within the Metaviridae (gyspy). But they are know known as bel/pao elements and seen as a more basal group to DIRS rather than falling with the other metaviridae. \n\n\nenv-like ORFs appear to be widespread\n\n\nThere are non-autonomous LTR retrotransposons due to serial deletions of the internal sections. These include LARDS (large retrotransposon derivatives) and TRIMs (Terminal-repeat retrotransposons in miniature) which are widespread in plants, not forming monophyletyic groups but rather being related to existing groups. Although in many cases it is not known exactly how these elements move, it has been shown in some cases that a close relative (a more complete element) is responsible for the movement of degraded LARDS or TRIMs. TRIMs are very small (about 540bp in total) whereas LARDS have LTRs of about 4.5kb and internal regions adding up to about 3.5kb - this makes them larger than the standard ERV or retrotransposon.", "page" : "225", "title" : "The diversity of LTR retrotransposons", "type" : "article-journal", "volume" : "5" }, "uris" : [ "http://www.mendeley.com/documents/?uuid=8bfbac23-5855-4aee-9f19-8a7b6300904a" ] }, { "id" : "ITEM-5", "itemData" : { "DOI" : "10.1159/000084978", "ISSN" : "1424-859X", "PMID" : "16093698", "abstract" : "The classification and nomenclature of retrotransposable elements is reviewed. A comparison is made between the initial classification summarized in Capy et al. (1997b), and the more recent proposal based on the classification of the viruses (Hull, 2001). Several problems, mainly relating to the position of elements belonging to the DIRS-like or Bel-like groups, are discussed. The first classification is now out of date, and must be revisited to take account of the discovery of new elements, however the second cannot be extended to the DNA elements. There is therefore, clear evidence of the need to adopt a general and a common classification.", "author" : [ { "dropping-particle" : "", "family" : "Capy", "given" : "P", "non-dropping-particle" : "", "parse-names" : false, "suffix" : "" } ], "container-title" : "Cytogenetic and genome research", "id" : "ITEM-5", "issue" : "1-4", "issued" : { "date-parts" : [ [ "2005", "1" ] ] }, "note" : "TE phylogenies are generally based on part of the sequence - we then have to assume the phylogeny can be scaled to be descriptive of the entire sequence. Many studies have shown a chimeric structure to TEs, so that it is more appropriate to view a TE as a collection of 'modules' with independent histories. Therefore, a simple classification is both difficult and potentially inaccurate.\n\n\nWithin the LTR retrotransposons four super-families are defined dependant on the order of domains within the pol gene, the existence of RNA priming, and the presence of an envelope (env) gene -table 1.\n\n\nThe LTR retrotransposons group - aka. The Retrovirales.\n\n\nenv gene presence is not always useful as they can be lost and secondarily acquired recurrently - chimeric secondary histories.\n\n\nRecent data for bel/pao, DIRS and penelope call the various structures and the linked phylogenies into question. \n\n\nCurrently no ruling consensus for how to name a TE. \n\n\nIf the classification of these elements reflects an evolutionary scenario then the retroviruses must nest within it. However, is the evolutionary unit the complete element or the individual units within it?", "page" : "457-61", "title" : "Classification and nomenclature of retrotransposable elements.", "type" : "article-journal", "volume" : "110" }, "uris" : [ "http://www.mendeley.com/documents/?uuid=040c9028-7c74-4f52-b351-2bf360882e5b" ] }, { "id" : "ITEM-6", "itemData" : { "DOI" : "10.1016/j.gene.2009.07.002", "ISSN" : "1879-0038", "PMID" : "19595747", "abstract" : "LTRs are sequence elements in retroviruses and retrotransposons which are difficult to align due to their variability. One way of handling such cases is to use Hidden Markov Models (HMMs). In this work HMMs of LTRs were constructed for three groups of orthoretroviruses: the betaretroviruslike human MMTV-like (HML) endogenous retroviruses, the lentiviruses, including HIV, and gammaretroviruslike human endogenous retroviruses (HERVs). The HMM-generated LTR alignments and the phylogenetic trees constructed from them were compared with trees based on alignments of the pol gene at the nucleic acid level. The majority of branches in the LTR and pol based trees had the same order for the three retroviral genera, showing that HMM methods are successful in aligning and constructing phylogenies of LTRs. The HML LTR tree deviated somewhat from the pol tree for the groups HML3, HML7 and HML6. Among the gammaretroviruslike proviruses, the exogenous Mouse Leukemia Virus (MLV) was highly related to HERV-T in the pol based tree, but not in the LTR based tree. Aside from these differences, the similarity between the trees indicates that LTRs and pol coevolved in a largely monophyletic way.", "author" : [ { "dropping-particle" : "", "family" : "Benachenhou", "given" : "Farid", "non-dropping-particle" : "", "parse-names" : false, "suffix" : "" }, { "dropping-particle" : "", "family" : "Blikstad", "given" : "Vidar", "non-dropping-particle" : "", "parse-names" : false, "suffix" : "" }, { "dropping-particle" : "", "family" : "Blomberg", "given" : "Jonas", "non-dropping-particle" : "", "parse-names" : false, "suffix" : "" } ], "container-title" : "Gene", "id" : "ITEM-6", "issue" : "2", "issued" : { "date-parts" : [ [ "2009", "12", "15" ] ] }, "page" : "134-8", "title" : "The phylogeny of orthoretroviral long terminal repeats (LTRs).", "type" : "article-journal", "volume" : "448" }, "uris" : [ "http://www.mendeley.com/documents/?uuid=9d1d0913-87fb-4723-9544-ca1661e27824" ] } ], "mendeley" : { "formattedCitation" : "(Malik et al. 2000; Malik &amp; Eickbush 2001; Peterson-Burch &amp; Voytas 2002; Havecker et al. 2004; Capy 2005; Benachenhou, Blikstad, et al. 2009)", "plainTextFormattedCitation" : "(Malik et al. 2000; Malik &amp; Eickbush 2001; Peterson-Burch &amp; Voytas 2002; Havecker et al. 2004; Capy 2005; Benachenhou, Blikstad, et al. 2009)", "previouslyFormattedCitation" : "(Malik et al. 2000; Malik &amp; Eickbush 2001; Peterson-Burch &amp; Voytas 2002; Havecker et al. 2004; Capy 2005; Benachenhou, Blikstad, et al. 2009)" }, "properties" : { "noteIndex" : 0 }, "schema" : "https://github.com/citation-style-language/schema/raw/master/csl-citation.json" }</w:instrText>
      </w:r>
      <w:r>
        <w:fldChar w:fldCharType="separate"/>
      </w:r>
      <w:r w:rsidRPr="00C34C86">
        <w:rPr>
          <w:noProof/>
        </w:rPr>
        <w:t>(Malik et al. 2000; Malik &amp; Eickbush 2001; Peterson-Burch &amp; Voytas 2002; Havecker et al. 2004; Capy 2005; Benachenhou, Blikstad, et al. 2009)</w:t>
      </w:r>
      <w:r>
        <w:fldChar w:fldCharType="end"/>
      </w:r>
      <w:r>
        <w:t xml:space="preserve">. Consequently, lineages constructed </w:t>
      </w:r>
      <w:r w:rsidR="00A7189C">
        <w:t xml:space="preserve">from separate </w:t>
      </w:r>
      <w:r>
        <w:t>domains produce different group relatedness, but</w:t>
      </w:r>
      <w:r w:rsidR="00D64491">
        <w:t xml:space="preserve"> the</w:t>
      </w:r>
      <w:r>
        <w:t xml:space="preserve"> use of the highly conserved </w:t>
      </w:r>
      <w:r>
        <w:rPr>
          <w:i/>
        </w:rPr>
        <w:t>reverse transcriptase</w:t>
      </w:r>
      <w:r>
        <w:t xml:space="preserve"> (RT) gene (required at all times for retrotransposition) has become the field standard</w:t>
      </w:r>
      <w:r w:rsidR="00D64491">
        <w:t xml:space="preserve"> for retrotransposon classification and phylogeny construction</w:t>
      </w:r>
      <w:r>
        <w:t xml:space="preserve"> </w:t>
      </w:r>
      <w:r>
        <w:fldChar w:fldCharType="begin" w:fldLock="1"/>
      </w:r>
      <w:r w:rsidR="00F66B56">
        <w:instrText>ADDIN CSL_CITATION { "citationItems" : [ { "id" : "ITEM-1", "itemData" : { "DOI" : "10.1186/1742-4690-2-50", "ISSN" : "1742-4690", "PMID" : "16092962", "abstract" : "BACKGROUND: Endogenous retroviral sequences (ERVs) are integral parts of most eukaryotic genomes and vastly outnumber exogenous retroviruses (XRVs). ERVs with a relatively complete structure were retrieved from the genetic archives of humans and chickens, diametrically opposite representatives of vertebrate retroviruses (over 3300 proviruses), and analyzed, using a bioinformatic program, RetroTector, developed by us. This rich source of proviral information, accumulated in a local database, and a collection of XRV sequences from the literature, allowed the reconstruction of a Pol based phylogenetic tree, more extensive than previously possible. The aim was to find traits useful for classification and evolutionary studies of retroviruses. Some of these traits have been used by others, but they are here tested in a wider context than before. RESULTS: In the ERV collection we found sequences similar to the XRV-based genera: alpha-, beta-, gamma-, epsilon- and spumaretroviruses. However, the occurrence of intermediates between them indicated an evolutionary continuum and suggested that taxonomic changes eventually will be necessary. No delta or lentivirus representatives were found among ERVs. Classification based on Pol similarity is congruent with a number of structural traits. Acquisition of dUTPase occurred three times in retroviral evolution. Loss of one or two NC zinc fingers appears to have occurred several times during evolution. Nucleotide biases have been described earlier for lenti-, delta- and betaretroviruses and were here confirmed in a larger context. CONCLUSION: Pol similarities and other structural traits contribute to a better understanding of retroviral phylogeny. \"Global\" genomic properties useful in phylogenies are i.) translational strategy, ii.) number of Gag NC zinc finger motifs, iii.) presence of Pro N-terminal dUTPase (dUTPasePro), iv.) presence of Pro C-terminal G-patch and v.) presence of a GPY/F motif in the Pol integrase (IN) C-terminal domain. \"Local\" retroviral genomic properties useful for delineation of lower level taxa are i.) host species range, ii.) nucleotide compositional bias and iii.) LTR lengths.", "author" : [ { "dropping-particle" : "", "family" : "Jern", "given" : "Patric", "non-dropping-particle" : "", "parse-names" : false, "suffix" : "" }, { "dropping-particle" : "", "family" : "Sperber", "given" : "G\u00f6ran O", "non-dropping-particle" : "", "parse-names" : false, "suffix" : "" }, { "dropping-particle" : "", "family" : "Blomberg", "given" : "Jonas", "non-dropping-particle" : "", "parse-names" : false, "suffix" : "" } ], "container-title" : "Retrovirology", "id" : "ITEM-1", "issue" : "50", "issued" : { "date-parts" : [ [ "2005", "1" ] ] }, "title" : "Use of endogenous retroviral sequences (ERVs) and structural markers for retroviral phylogenetic inference and taxonomy.", "type" : "article-journal", "volume" : "2" }, "uris" : [ "http://www.mendeley.com/documents/?uuid=66367f64-a6c1-46a0-9ec7-efba1b979323" ] }, { "id" : "ITEM-2", "itemData" : { "DOI" : "10.1186/1471-2148-8-276", "ISSN" : "1471-2148", "PMID" : "18842133", "abstract" : "BACKGROUND: The origin of vertebrate retroviruses (Retroviridae) is yet to be thoroughly investigated, but due to their similarity and identical gag-pol (and env) genome structure, it is accepted that they evolve from Ty3/Gypsy LTR retroelements the retrotransposons and retroviruses of plants, fungi and animals. These 2 groups of LTR retroelements code for 3 proteins rarely studied due to the high variability - gag polyprotein, protease and GPY/F module. In relation to 3 previously proposed Retroviridae classes I, II and II, investigation of the above proteins conclusively uncovers important insights regarding the ancient history of Ty3/Gypsy and Retroviridae LTR retroelements.\n\nRESULTS: We performed a comprehensive study of 120 non-redundant Ty3/Gypsy and Retroviridae LTR retroelements. Phylogenetic reconstruction inferred based on the concatenated analysis of the gag and pol polyproteins shows a robust phylogenetic signal regarding the clustering of OTUs. Evaluation of gag and pol polyproteins separately yields discordant information. While pol signal supports the traditional perspective (2 monophyletic groups), gag polyprotein describes an alternative scenario where each Retroviridae class can be distantly related with one or more Ty3/Gypsy lineages. We investigated more in depth this evidence through comparative analyses performed based on the gag polyprotein, the protease and the GPY/F module. Our results indicate that contrary to the traditional monophyletic view of the origin of vertebrate retroviruses, the Retroviridae class I is a molecular fossil, preserving features that were probably predominant among Ty3/Gypsy ancestors predating the split of plants, fungi and animals. In contrast, classes II and III maintain other phenotypes that emerged more recently during Ty3/Gypsy evolution.\n\nCONCLUSION: The 3 Retroviridae classes I, II and III exhibit phenotypic differences that delineate a network never before reported between Ty3/Gypsy and Retroviridae LTR retroelements. This new scenario reveals how the diversity of vertebrate retroviruses is polyphyletically recurrent into the Ty3/Gypsy evolution, i.e. older than previously thought. The simplest hypothesis to explain this finding is that classes I, II and III trace back to at least 3 Ty3/Gypsy ancestors that emerged at different evolutionary times prior to protostomes-deuterostomes divergence. We have called this \"the three kings hypothesis\" concerning the origin of vertebrate retroviruses.", "author" : [ { "dropping-particle" : "", "family" : "Llorens", "given" : "Carlos", "non-dropping-particle" : "", "parse-names" : false, "suffix" : "" }, { "dropping-particle" : "", "family" : "Fares", "given" : "Mario a", "non-dropping-particle" : "", "parse-names" : false, "suffix" : "" }, { "dropping-particle" : "", "family" : "Moya", "given" : "Andres", "non-dropping-particle" : "", "parse-names" : false, "suffix" : "" } ], "container-title" : "BMC evolutionary biology", "id" : "ITEM-2", "issued" : { "date-parts" : [ [ "2008", "1" ] ] }, "page" : "276", "title" : "Relationships of gag-pol diversity between Ty3/Gypsy and Retroviridae LTR retroelements and the three kings hypothesis.", "type" : "article-journal", "volume" : "8" }, "uris" : [ "http://www.mendeley.com/documents/?uuid=af1cfad9-42be-42f2-ba7d-c228b1845aa4" ] } ], "mendeley" : { "formattedCitation" : "(Jern et al. 2005; Llorens et al. 2008)", "plainTextFormattedCitation" : "(Jern et al. 2005; Llorens et al. 2008)", "previouslyFormattedCitation" : "(Jern et al. 2005; Llorens et al. 2008)" }, "properties" : { "noteIndex" : 0 }, "schema" : "https://github.com/citation-style-language/schema/raw/master/csl-citation.json" }</w:instrText>
      </w:r>
      <w:r>
        <w:fldChar w:fldCharType="separate"/>
      </w:r>
      <w:r w:rsidRPr="00C34C86">
        <w:rPr>
          <w:noProof/>
        </w:rPr>
        <w:t>(Jern et al. 2005; Llorens et al. 2008)</w:t>
      </w:r>
      <w:r>
        <w:fldChar w:fldCharType="end"/>
      </w:r>
      <w:r>
        <w:t xml:space="preserve">. </w:t>
      </w:r>
    </w:p>
    <w:p w14:paraId="5D147459" w14:textId="3EE5A8D6" w:rsidR="00532C38" w:rsidRDefault="00A7189C" w:rsidP="00391005">
      <w:pPr>
        <w:pStyle w:val="ListParagraph"/>
      </w:pPr>
      <w:r>
        <w:lastRenderedPageBreak/>
        <w:t>Phylogenies constructed from RT divide up the LTR retrotransposons into five distinct groups (</w:t>
      </w:r>
      <w:r>
        <w:fldChar w:fldCharType="begin" w:fldLock="1"/>
      </w:r>
      <w:r>
        <w:instrText xml:space="preserve"> REF _Ref484254177 \h </w:instrText>
      </w:r>
      <w:r>
        <w:fldChar w:fldCharType="separate"/>
      </w:r>
      <w:r w:rsidR="002C549C">
        <w:t xml:space="preserve">Figure </w:t>
      </w:r>
      <w:r w:rsidR="002C549C">
        <w:rPr>
          <w:noProof/>
        </w:rPr>
        <w:t>1</w:t>
      </w:r>
      <w:r w:rsidR="002C549C">
        <w:t>.</w:t>
      </w:r>
      <w:r w:rsidR="002C549C">
        <w:rPr>
          <w:noProof/>
        </w:rPr>
        <w:t>4</w:t>
      </w:r>
      <w:r>
        <w:fldChar w:fldCharType="end"/>
      </w:r>
      <w:r>
        <w:t xml:space="preserve">): </w:t>
      </w:r>
      <w:r w:rsidR="005D6A03">
        <w:t xml:space="preserve">Bel/Pao (Semotiviridae), </w:t>
      </w:r>
      <w:r>
        <w:t>Copia/Ty1 (Pseudoviridae), DIRS (</w:t>
      </w:r>
      <w:r>
        <w:rPr>
          <w:i/>
        </w:rPr>
        <w:t>Dictyostelium</w:t>
      </w:r>
      <w:r>
        <w:t xml:space="preserve"> intermediate repeat sequence), Gypsy/Ty3 (Metaviridae) and the retroviruses (Retroviridae). </w:t>
      </w:r>
      <w:r w:rsidR="0066574E">
        <w:t>LTR retrotransposons</w:t>
      </w:r>
      <w:r w:rsidR="006F299F">
        <w:t xml:space="preserve"> across the five groups are typically</w:t>
      </w:r>
      <w:r w:rsidR="0066574E">
        <w:t xml:space="preserve"> 4 – 10 kb in length, but can</w:t>
      </w:r>
      <w:r w:rsidR="006F299F">
        <w:t xml:space="preserve"> elongate considerably</w:t>
      </w:r>
      <w:r w:rsidR="0066574E">
        <w:t xml:space="preserve"> depending on the presence of accessory genes. The Bel/Pao, Copia, Gypsy and retroviruses all share a similar version of the archetypal LTR retrotransposon structure (</w:t>
      </w:r>
      <w:r w:rsidR="0066574E">
        <w:fldChar w:fldCharType="begin" w:fldLock="1"/>
      </w:r>
      <w:r w:rsidR="0066574E">
        <w:instrText xml:space="preserve"> REF _Ref483752218 \h </w:instrText>
      </w:r>
      <w:r w:rsidR="0066574E">
        <w:fldChar w:fldCharType="separate"/>
      </w:r>
      <w:r w:rsidR="002C549C">
        <w:t xml:space="preserve">Figure </w:t>
      </w:r>
      <w:r w:rsidR="002C549C">
        <w:rPr>
          <w:noProof/>
        </w:rPr>
        <w:t>1</w:t>
      </w:r>
      <w:r w:rsidR="002C549C">
        <w:t>.</w:t>
      </w:r>
      <w:r w:rsidR="002C549C">
        <w:rPr>
          <w:noProof/>
        </w:rPr>
        <w:t>5</w:t>
      </w:r>
      <w:r w:rsidR="0066574E">
        <w:fldChar w:fldCharType="end"/>
      </w:r>
      <w:r w:rsidR="0066574E">
        <w:t>)</w:t>
      </w:r>
      <w:r w:rsidR="006F299F">
        <w:t xml:space="preserve">. In contrast, the DIRS elements exhibit a highly divergent structure lacking, most strikingly, the eponymous LTRs. </w:t>
      </w:r>
      <w:r w:rsidR="00532C38">
        <w:t>These elements phylogenetically group with</w:t>
      </w:r>
      <w:r w:rsidR="006F299F">
        <w:t>in</w:t>
      </w:r>
      <w:r w:rsidR="00532C38">
        <w:t xml:space="preserve"> LTR retrotransposons due to RT homology, but have inverted terminal</w:t>
      </w:r>
      <w:r w:rsidR="006F299F">
        <w:t xml:space="preserve"> repeats (ITRs) </w:t>
      </w:r>
      <w:r w:rsidR="00532C38">
        <w:t xml:space="preserve">and have acquired a </w:t>
      </w:r>
      <w:r w:rsidR="00532C38">
        <w:rPr>
          <w:i/>
        </w:rPr>
        <w:t>methyl transferase</w:t>
      </w:r>
      <w:r w:rsidR="00532C38">
        <w:t xml:space="preserve"> and </w:t>
      </w:r>
      <w:r w:rsidR="00532C38">
        <w:rPr>
          <w:i/>
        </w:rPr>
        <w:t>tyrosine recombinase</w:t>
      </w:r>
      <w:r w:rsidR="00532C38">
        <w:t xml:space="preserve"> rather than the typical </w:t>
      </w:r>
      <w:r w:rsidR="00532C38">
        <w:rPr>
          <w:i/>
        </w:rPr>
        <w:t>protease</w:t>
      </w:r>
      <w:r w:rsidR="00532C38">
        <w:t xml:space="preserve"> and </w:t>
      </w:r>
      <w:r w:rsidR="005868AA">
        <w:rPr>
          <w:i/>
        </w:rPr>
        <w:t>integrase</w:t>
      </w:r>
      <w:r w:rsidR="00532C38">
        <w:t xml:space="preserve"> </w:t>
      </w:r>
      <w:r w:rsidR="00532C38">
        <w:fldChar w:fldCharType="begin" w:fldLock="1"/>
      </w:r>
      <w:r w:rsidR="00532C38">
        <w:instrText>ADDIN CSL_CITATION { "citationItems" : [ { "id" : "ITEM-1", "itemData" : { "ISSN" : "0737-4038", "PMID" : "11606703", "abstract" : "Only three retrotransposons of the DIRS1 group have previously been described: DIRS1 from the slime mold Dictyostelium discoideum, PAT from the nematode Panagrellus redivivus, and Prt1 from the zygomycetous fungus Phycomyces blakesleeanus. Analyses of the reverse transcriptase sequences encoded by these elements suggest that they are related to the long terminal repeat (LTR) retroelements, such as the Ty3/gypsy retrotransposons and the vertebrate retroviruses. The DIRS1-group elements, however, have several unusual structural features which distinguish them from typical LTR elements: (1) they lack the capacity to encode DDE-type integrases or aspartic proteases; (2) they have open reading frames (ORFs) of unknown function; (3) they integrate without creating duplications of their target sites; and (4) although they are bordered by terminal repeats, these sequences differ from typical LTRs in that they are either inverted repeats or \"split\" direct repeats. Because of the small number of DIRS1-like elements described, and the unusual structures of these elements, little is known about their evolution, distribution, and replication mechanisms. Here, we report the identification of several new DIRS1-like retrotransposons, including elements from nematodes, sea urchins, fish, and amphibia. We also present evidence for the existence of DIRS1-like sequences in the human genome. In addition, we show that the lack of DDE-type integrase genes from elements of the DIRS1 group is explained by the finding that the previously uncharacterized ORFs of these elements encode proteins related to the site-specific recombinase of bacteriophage lambda. The presence of lambda-recombinase-like genes in DIRS1 elements also accounts for the lack of target-site duplications for these elements and may be related to the unusual structures of their terminal repeats.", "author" : [ { "dropping-particle" : "", "family" : "Goodwin", "given" : "T J", "non-dropping-particle" : "", "parse-names" : false, "suffix" : "" }, { "dropping-particle" : "", "family" : "Poulter", "given" : "R T", "non-dropping-particle" : "", "parse-names" : false, "suffix" : "" } ], "container-title" : "Molecular biology and evolution", "id" : "ITEM-1", "issue" : "11", "issued" : { "date-parts" : [ [ "2001", "11" ] ] }, "page" : "2067-82", "title" : "The DIRS1 group of retrotransposons.", "type" : "article-journal", "volume" : "18" }, "uris" : [ "http://www.mendeley.com/documents/?uuid=69d4eb90-5a09-4f38-af39-e1b3c323552e" ] }, { "id" : "ITEM-2", "itemData" : { "DOI" : "10.1159/000084991", "ISSN" : "1424-859X", "PMID" : "16093711", "abstract" : "DIRS-1 is a retroelement from the slime mold Dictyostelium discoideum. Until recently only two related retrotransposons had been described: PAT from the nematode Panagrellus redivivus and Prt1 from the zygomycete fungus Phycomyces blakesleeanus. Analyses of the reverse transcriptase sequences encoded by these three elements suggested that they were closely related to each other and more distantly related to the Ty3/gypsy Long Terminal Repeat (LTR) retroelements. They have several unusual structural features that distinguish them from typical LTR elements. For instance, they each encode a tyrosine recombinase (YR), but not a DDE-type integrase or an aspartic protease. Although the DIRS-1-related elements are bordered by terminal repeats these differ from typical LTRs in a number of ways. In DIRS-1, for example, the terminal repeats are inverted (complementary), non-identical in sequence, and the outer edges of the terminal sequences are repeated (adjacent to each other) in the internal region. PAT has so-called \"split\" direct repeats in which the unrelated terminal sequences appear as direct repeats adjacent to each other in the internal region. The only repetition displayed by Prt1 is the presence of short inverted terminal repeats, but the sequenced copy of this element is believed to be a truncated version of an element with a structure resembling DIRS-1. The unusual structure of the terminal repeats of the DIRS1-like elements appears to be related to their replication via free circular intermediates. Site-specific recombination is believed to integrate the circle without creating duplications of the target sites. In recognition of these important distinctions it is proposed that the retrotransposons that encode tyrosine recombinases be called the tyrosine recombinase (or YR) retrotransposons. Recently a large number of additional YR retrotransposons have been described, including elements from fungi (zygomycetes and basidiomycetes), plants (green algae) and a wide range of animals including nematodes, insects, sea urchins, fish and amphibia, while remnants of elements related to DIRS-1 occur in the human genome. The complete set of YR retrotransposons can be divided into two major groups, the DIRS elements and the Ngaro elements, the two groups forming distinct clades on phylogenetic trees based on alignments of RT/RH and recombinase sequences, and also having some structural distinctions. A third group of transposable elements, which we call Crypton\u2026", "author" : [ { "dropping-particle" : "", "family" : "Poulter", "given" : "R T M", "non-dropping-particle" : "", "parse-names" : false, "suffix" : "" }, { "dropping-particle" : "", "family" : "Goodwin", "given" : "T J D", "non-dropping-particle" : "", "parse-names" : false, "suffix" : "" } ], "container-title" : "Cytogenetic and genome research", "id" : "ITEM-2", "issue" : "1-4", "issued" : { "date-parts" : [ [ "2005", "1" ] ] }, "page" : "575-88", "title" : "DIRS-1 and the other tyrosine recombinase retrotransposons.", "type" : "article-journal", "volume" : "110" }, "uris" : [ "http://www.mendeley.com/documents/?uuid=678a5162-4b05-4e6f-afe3-3b744b834c92" ] }, { "id" : "ITEM-3",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"ITEM-3", "issue" : "1", "issued" : { "date-parts" : [ [ "2011", "1" ] ] }, "page" : "621", "publisher" : "BioMed Central Ltd", "title" : "Eukaryote DIRS1-like retrotransposons: an overview.", "type" : "article-journal", "volume" : "12" }, "uris" : [ "http://www.mendeley.com/documents/?uuid=eb273253-14b9-48d7-aca5-e76e38f87da6" ] } ], "mendeley" : { "formattedCitation" : "(Goodwin &amp; Poulter 2001; Poulter &amp; Goodwin 2005; Piedno\u00ebl et al. 2011)", "plainTextFormattedCitation" : "(Goodwin &amp; Poulter 2001; Poulter &amp; Goodwin 2005; Piedno\u00ebl et al. 2011)", "previouslyFormattedCitation" : "(Goodwin &amp; Poulter 2001; Poulter &amp; Goodwin 2005; Piedno\u00ebl et al. 2011)" }, "properties" : { "noteIndex" : 0 }, "schema" : "https://github.com/citation-style-language/schema/raw/master/csl-citation.json" }</w:instrText>
      </w:r>
      <w:r w:rsidR="00532C38">
        <w:fldChar w:fldCharType="separate"/>
      </w:r>
      <w:r w:rsidR="00532C38" w:rsidRPr="003B2501">
        <w:rPr>
          <w:noProof/>
        </w:rPr>
        <w:t>(Goodwin &amp; Poulter 2001; Poulter &amp; Goodwin 2005; Piednoël et al. 2011)</w:t>
      </w:r>
      <w:r w:rsidR="00532C38">
        <w:fldChar w:fldCharType="end"/>
      </w:r>
      <w:r w:rsidR="00532C38">
        <w:t>.</w:t>
      </w:r>
    </w:p>
    <w:p w14:paraId="7F14BDEA" w14:textId="77777777" w:rsidR="005868AA" w:rsidRPr="005868AA" w:rsidRDefault="005868AA" w:rsidP="00391005">
      <w:pPr>
        <w:pStyle w:val="ListParagraph"/>
        <w:rPr>
          <w:sz w:val="2"/>
        </w:rPr>
      </w:pPr>
    </w:p>
    <w:p w14:paraId="2F436D49" w14:textId="77777777" w:rsidR="006A54CB" w:rsidRDefault="006A54CB" w:rsidP="005868AA">
      <w:pPr>
        <w:pStyle w:val="ListParagraph"/>
        <w:jc w:val="center"/>
      </w:pPr>
      <w:r>
        <w:rPr>
          <w:noProof/>
          <w:lang w:eastAsia="en-GB"/>
        </w:rPr>
        <w:drawing>
          <wp:inline distT="0" distB="0" distL="0" distR="0" wp14:anchorId="2FE58073" wp14:editId="127D923F">
            <wp:extent cx="4162425" cy="286542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t="1965" b="2023"/>
                    <a:stretch/>
                  </pic:blipFill>
                  <pic:spPr bwMode="auto">
                    <a:xfrm>
                      <a:off x="0" y="0"/>
                      <a:ext cx="4172950" cy="2872672"/>
                    </a:xfrm>
                    <a:prstGeom prst="rect">
                      <a:avLst/>
                    </a:prstGeom>
                    <a:noFill/>
                    <a:ln>
                      <a:noFill/>
                    </a:ln>
                    <a:extLst>
                      <a:ext uri="{53640926-AAD7-44D8-BBD7-CCE9431645EC}">
                        <a14:shadowObscured xmlns:a14="http://schemas.microsoft.com/office/drawing/2010/main"/>
                      </a:ext>
                    </a:extLst>
                  </pic:spPr>
                </pic:pic>
              </a:graphicData>
            </a:graphic>
          </wp:inline>
        </w:drawing>
      </w:r>
    </w:p>
    <w:p w14:paraId="422254F1" w14:textId="23799963" w:rsidR="00532C38" w:rsidRDefault="006A54CB" w:rsidP="00532C38">
      <w:pPr>
        <w:pStyle w:val="Figure"/>
      </w:pPr>
      <w:bookmarkStart w:id="41" w:name="_Ref484254177"/>
      <w:bookmarkStart w:id="42" w:name="_Toc486785424"/>
      <w:r>
        <w:t xml:space="preserve">Figure </w:t>
      </w:r>
      <w:fldSimple w:instr=" STYLEREF 1 \s " w:fldLock="1">
        <w:r w:rsidR="002C549C">
          <w:rPr>
            <w:noProof/>
          </w:rPr>
          <w:t>1</w:t>
        </w:r>
      </w:fldSimple>
      <w:r w:rsidR="001167C6">
        <w:t>.</w:t>
      </w:r>
      <w:fldSimple w:instr=" SEQ Figure \* ARABIC \s 1 " w:fldLock="1">
        <w:r w:rsidR="002C549C">
          <w:rPr>
            <w:noProof/>
          </w:rPr>
          <w:t>4</w:t>
        </w:r>
      </w:fldSimple>
      <w:bookmarkEnd w:id="41"/>
      <w:r>
        <w:t xml:space="preserve"> LTR retrotransposon cladogram based on </w:t>
      </w:r>
      <w:r>
        <w:rPr>
          <w:i/>
        </w:rPr>
        <w:t xml:space="preserve">reverse transcriptase </w:t>
      </w:r>
      <w:r>
        <w:t>(RT) with the non-LTR retrotransposon LINE family as outgroup. The Retroviridae are divided into seven genera, and have historically been grouped into three classes labelled with Roman numerals based on human retrovirus classification</w:t>
      </w:r>
      <w:r w:rsidR="008312BE">
        <w:t xml:space="preserve"> (I, II and III)</w:t>
      </w:r>
      <w:r>
        <w:t>. Despite their divergent structure (</w:t>
      </w:r>
      <w:r>
        <w:fldChar w:fldCharType="begin" w:fldLock="1"/>
      </w:r>
      <w:r>
        <w:instrText xml:space="preserve"> REF _Ref483752218 \h </w:instrText>
      </w:r>
      <w:r>
        <w:fldChar w:fldCharType="separate"/>
      </w:r>
      <w:r w:rsidR="002C549C">
        <w:t xml:space="preserve">Figure </w:t>
      </w:r>
      <w:r w:rsidR="002C549C">
        <w:rPr>
          <w:noProof/>
        </w:rPr>
        <w:t>1</w:t>
      </w:r>
      <w:r w:rsidR="002C549C">
        <w:t>.</w:t>
      </w:r>
      <w:r w:rsidR="002C549C">
        <w:rPr>
          <w:noProof/>
        </w:rPr>
        <w:t>5</w:t>
      </w:r>
      <w:r>
        <w:fldChar w:fldCharType="end"/>
      </w:r>
      <w:r>
        <w:t>), DIRS elements sit between the Metaviridae (Gypsy/Ty3) and Semotiviridae (Bel/Pao). The Pseudoviridae (Copia/Ty1) are the most basal LTR retrotransposon lineage.</w:t>
      </w:r>
      <w:r w:rsidR="00D64491">
        <w:t xml:space="preserve"> The broad LINE branch represents extensive non-LTR retrotransposon diversity.</w:t>
      </w:r>
      <w:r>
        <w:t xml:space="preserve"> Cladogram constructed based on </w:t>
      </w:r>
      <w:r>
        <w:fldChar w:fldCharType="begin" w:fldLock="1"/>
      </w:r>
      <w:r>
        <w:instrText>ADDIN CSL_CITATION { "citationItems" : [ { "id" : "ITEM-1", "itemData" : { "DOI" : "10.1159/000084991", "ISSN" : "1424-859X", "PMID" : "16093711", "abstract" : "DIRS-1 is a retroelement from the slime mold Dictyostelium discoideum. Until recently only two related retrotransposons had been described: PAT from the nematode Panagrellus redivivus and Prt1 from the zygomycete fungus Phycomyces blakesleeanus. Analyses of the reverse transcriptase sequences encoded by these three elements suggested that they were closely related to each other and more distantly related to the Ty3/gypsy Long Terminal Repeat (LTR) retroelements. They have several unusual structural features that distinguish them from typical LTR elements. For instance, they each encode a tyrosine recombinase (YR), but not a DDE-type integrase or an aspartic protease. Although the DIRS-1-related elements are bordered by terminal repeats these differ from typical LTRs in a number of ways. In DIRS-1, for example, the terminal repeats are inverted (complementary), non-identical in sequence, and the outer edges of the terminal sequences are repeated (adjacent to each other) in the internal region. PAT has so-called \"split\" direct repeats in which the unrelated terminal sequences appear as direct repeats adjacent to each other in the internal region. The only repetition displayed by Prt1 is the presence of short inverted terminal repeats, but the sequenced copy of this element is believed to be a truncated version of an element with a structure resembling DIRS-1. The unusual structure of the terminal repeats of the DIRS1-like elements appears to be related to their replication via free circular intermediates. Site-specific recombination is believed to integrate the circle without creating duplications of the target sites. In recognition of these important distinctions it is proposed that the retrotransposons that encode tyrosine recombinases be called the tyrosine recombinase (or YR) retrotransposons. Recently a large number of additional YR retrotransposons have been described, including elements from fungi (zygomycetes and basidiomycetes), plants (green algae) and a wide range of animals including nematodes, insects, sea urchins, fish and amphibia, while remnants of elements related to DIRS-1 occur in the human genome. The complete set of YR retrotransposons can be divided into two major groups, the DIRS elements and the Ngaro elements, the two groups forming distinct clades on phylogenetic trees based on alignments of RT/RH and recombinase sequences, and also having some structural distinctions. A third group of transposable elements, which we call Crypton\u2026", "author" : [ { "dropping-particle" : "", "family" : "Poulter", "given" : "R T M", "non-dropping-particle" : "", "parse-names" : false, "suffix" : "" }, { "dropping-particle" : "", "family" : "Goodwin", "given" : "T J D", "non-dropping-particle" : "", "parse-names" : false, "suffix" : "" } ], "container-title" : "Cytogenetic and genome research", "id" : "ITEM-1", "issue" : "1-4", "issued" : { "date-parts" : [ [ "2005", "1" ] ] }, "page" : "575-88", "title" : "DIRS-1 and the other tyrosine recombinase retrotransposons.", "type" : "article-journal", "volume" : "110" }, "uris" : [ "http://www.mendeley.com/documents/?uuid=678a5162-4b05-4e6f-afe3-3b744b834c92" ] }, { "id" : "ITEM-2", "itemData" : { "DOI" : "10.1186/1471-2148-8-276", "ISSN" : "1471-2148", "PMID" : "18842133", "abstract" : "BACKGROUND: The origin of vertebrate retroviruses (Retroviridae) is yet to be thoroughly investigated, but due to their similarity and identical gag-pol (and env) genome structure, it is accepted that they evolve from Ty3/Gypsy LTR retroelements the retrotransposons and retroviruses of plants, fungi and animals. These 2 groups of LTR retroelements code for 3 proteins rarely studied due to the high variability - gag polyprotein, protease and GPY/F module. In relation to 3 previously proposed Retroviridae classes I, II and II, investigation of the above proteins conclusively uncovers important insights regarding the ancient history of Ty3/Gypsy and Retroviridae LTR retroelements.\n\nRESULTS: We performed a comprehensive study of 120 non-redundant Ty3/Gypsy and Retroviridae LTR retroelements. Phylogenetic reconstruction inferred based on the concatenated analysis of the gag and pol polyproteins shows a robust phylogenetic signal regarding the clustering of OTUs. Evaluation of gag and pol polyproteins separately yields discordant information. While pol signal supports the traditional perspective (2 monophyletic groups), gag polyprotein describes an alternative scenario where each Retroviridae class can be distantly related with one or more Ty3/Gypsy lineages. We investigated more in depth this evidence through comparative analyses performed based on the gag polyprotein, the protease and the GPY/F module. Our results indicate that contrary to the traditional monophyletic view of the origin of vertebrate retroviruses, the Retroviridae class I is a molecular fossil, preserving features that were probably predominant among Ty3/Gypsy ancestors predating the split of plants, fungi and animals. In contrast, classes II and III maintain other phenotypes that emerged more recently during Ty3/Gypsy evolution.\n\nCONCLUSION: The 3 Retroviridae classes I, II and III exhibit phenotypic differences that delineate a network never before reported between Ty3/Gypsy and Retroviridae LTR retroelements. This new scenario reveals how the diversity of vertebrate retroviruses is polyphyletically recurrent into the Ty3/Gypsy evolution, i.e. older than previously thought. The simplest hypothesis to explain this finding is that classes I, II and III trace back to at least 3 Ty3/Gypsy ancestors that emerged at different evolutionary times prior to protostomes-deuterostomes divergence. We have called this \"the three kings hypothesis\" concerning the origin of vertebrate retroviruses.", "author" : [ { "dropping-particle" : "", "family" : "Llorens", "given" : "Carlos", "non-dropping-particle" : "", "parse-names" : false, "suffix" : "" }, { "dropping-particle" : "", "family" : "Fares", "given" : "Mario a", "non-dropping-particle" : "", "parse-names" : false, "suffix" : "" }, { "dropping-particle" : "", "family" : "Moya", "given" : "Andres", "non-dropping-particle" : "", "parse-names" : false, "suffix" : "" } ], "container-title" : "BMC evolutionary biology", "id" : "ITEM-2", "issued" : { "date-parts" : [ [ "2008", "1" ] ] }, "page" : "276", "title" : "Relationships of gag-pol diversity between Ty3/Gypsy and Retroviridae LTR retroelements and the three kings hypothesis.", "type" : "article-journal", "volume" : "8" }, "uris" : [ "http://www.mendeley.com/documents/?uuid=af1cfad9-42be-42f2-ba7d-c228b1845aa4" ] }, { "id" : "ITEM-3",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"ITEM-3", "issue" : "1", "issued" : { "date-parts" : [ [ "2011", "1" ] ] }, "page" : "621", "publisher" : "BioMed Central Ltd", "title" : "Eukaryote DIRS1-like retrotransposons: an overview.", "type" : "article-journal", "volume" : "12" }, "uris" : [ "http://www.mendeley.com/documents/?uuid=eb273253-14b9-48d7-aca5-e76e38f87da6" ] }, { "id" : "ITEM-4",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"ITEM-4", "issue" : "Database issue", "issued" : { "date-parts" : [ [ "2011", "1" ] ] }, "page" : "D70-4", "title" : "The Gypsy Database (GyDB) of mobile genetic elements: release 2.0.", "type" : "article-journal", "volume" : "39" }, "uris" : [ "http://www.mendeley.com/documents/?uuid=2201aeec-e22e-4c31-9b3c-c918eda40ebe" ] }, { "id" : "ITEM-5", "itemData" : { "abstract" : "Background: Long terminal repeats (LTRs, consisting of U3-R-U5 portions) are important elements of retroviruses and related retrotransposons. They are difficult to analyse due to their variability. The aim was to obtain a more comprehensive view of structure, diversity and phylogeny of LTRs than hitherto possible. Results: Hidden Markov models (HMM) were created for 11 clades of LTRs belonging to Retroviridae (class III retroviruses), animal Metaviridae (Gypsy/Ty3) elements and plant Pseudoviridae (Copia/Ty1) elements, complementing our work with Orthoretrovirus HMMs. The great variation in LTR length of plant Metaviridae and the few divergent animal Pseudoviridae prevented building HMMs from both of these groups. Animal Metaviridae LTRs had the same conserved motifs as retroviral LTRs, confirming that the two groups are closely related. The conserved motifs were the short inverted repeats (SIRs), integrase recognition signals (5 \u0301 TGTTRNR. . .YNYAACA 3 \u0301); the polyadenylation signal or AATAAA motif; a GT-rich stretch downstream of the polyadenylation signal; and a less conserved AT-rich stretch corresponding to the core promoter element, the TATA box. Plant Pseudoviridae LTRs differed slightly in having a conserved TATA-box, TATATA, but no conserved polyadenylation signal, plus a much shorter R region. The sensitivity of the HMMs for detection in genomic sequences was around 50% for most models, at a relatively high specificity, suitable for genome screening. The HMMs yielded consensus sequences, which were aligned by creating an HMM model (a \u2018Superviterbi\u2019 alignment). This yielded a phylogenetic tree that was compared with a Pol-based tree. Both LTR and Pol trees supported monophyly of retroviruses. In both, Pseudoviridae was ancestral to all other LTR retrotransposons. However, the LTR trees showed the chromovirus portion of Metaviridae clustering together with Pseudoviridae, dividing Metaviridae into two portions with distinct phylogeny. Conclusion: The HMMs clearly demonstrated a unitary conserved structure of LTRs, supporting that they arose once during evolution. We attempted to follow the evolution of LTRs by tracing their functional foundations, that is, acquisition of RNAse H, a combined promoter/ polyadenylation site, integrase, hairpin priming and the primer binding site (PBS). Available information did not support a simple evolutionary chain of events.", "author" : [ { "dropping-particle" : "", "family" : "Benachenhou", "given" : "Farid", "non-dropping-particle" : "", "parse-names" : false, "suffix" : "" }, { "dropping-particle" : "", "family" : "Sperber", "given" : "G\u00f6ran", "non-dropping-particle" : "", "parse-names" : false, "suffix" : "" }, { "dropping-particle" : "", "family" : "Bongcam-Rudloff", "given" : "Erik", "non-dropping-particle" : "", "parse-names" : false, "suffix" : "" }, { "dropping-particle" : "", "family" : "Andersson", "given" : "G\u00f6ran", "non-dropping-particle" : "", "parse-names" : false, "suffix" : "" }, { "dropping-particle" : "", "family" : "Boeke", "given" : "Jef", "non-dropping-particle" : "", "parse-names" : false, "suffix" : "" }, { "dropping-particle" : "", "family" : "Blomberg", "given" : "Jonas", "non-dropping-particle" : "", "parse-names" : false, "suffix" : "" } ], "container-title" : "Mobile DNA", "id" : "ITEM-5", "issue" : "5", "issued" : { "date-parts" : [ [ "2013" ] ] }, "note" : "LTRs are difficult to analyse due to their variability.\n\n\nLTR retrotransposons includes retroviruses as well as three other groups:\n1) Pseudoviridae - Copia/Ty1 - plants/fungi/metazoans\n2) Metaviridae - Gypsy/Ty3 - plants/fungi/metazoans\n3) Semotivirus - Bel/Pao - exclusively metazoans\n\n\nTraditionally the relatedness of LTR retortransposons has been studied using the RT domain of pol as it is the most conserved retroelement domain (but not conserved once it becomes endogenous surely)\n\n\nCommon LTR structure was recently found - two unique regions (U5 and U3) and a repetitive (R) region. R and U5 are more conserved, U3 may be more divergent due to application in tissue specificity. \n\n\nAnalysis in this paper could not look at all types of LTR - LTR length is noted as a disruptive factor. As is highly variable sequence.\n\n\nTheir work would suggest that the gypsy/ty3 elements were nested within the retroviruses clade.", "title" : "Conserved structure and inferred evolutionary history of long terminal repeats (LTRs)", "type" : "article-journal", "volume" : "4" }, "uris" : [ "http://www.mendeley.com/documents/?uuid=97cc0e29-2ea9-4133-bab8-bc9c79573e06" ] } ], "mendeley" : { "formattedCitation" : "(Poulter &amp; Goodwin 2005; Llorens et al. 2008; Piedno\u00ebl et al. 2011; Llorens et al. 2011; Benachenhou et al. 2013)", "manualFormatting" : "Poulter &amp; Goodwin 2005; Llorens et al. 2008; Piedno\u00ebl et al. 2011; Llorens et al. 2011; Benachenhou et al. 2013", "plainTextFormattedCitation" : "(Poulter &amp; Goodwin 2005; Llorens et al. 2008; Piedno\u00ebl et al. 2011; Llorens et al. 2011; Benachenhou et al. 2013)", "previouslyFormattedCitation" : "(Poulter &amp; Goodwin 2005; Llorens et al. 2008; Piedno\u00ebl et al. 2011; Llorens et al. 2011; Benachenhou et al. 2013)" }, "properties" : { "noteIndex" : 0 }, "schema" : "https://github.com/citation-style-language/schema/raw/master/csl-citation.json" }</w:instrText>
      </w:r>
      <w:r>
        <w:fldChar w:fldCharType="separate"/>
      </w:r>
      <w:r w:rsidRPr="007042D2">
        <w:rPr>
          <w:noProof/>
        </w:rPr>
        <w:t>Poulter &amp; Goodwin 2005; Llorens et al. 2008; Piednoël et al. 2011; Llorens et al. 2011; Benachenhou et al. 2013</w:t>
      </w:r>
      <w:r>
        <w:fldChar w:fldCharType="end"/>
      </w:r>
      <w:r>
        <w:t>.</w:t>
      </w:r>
      <w:bookmarkEnd w:id="42"/>
    </w:p>
    <w:p w14:paraId="3A216EF4" w14:textId="77777777" w:rsidR="00532C38" w:rsidRDefault="00532C38" w:rsidP="005868AA">
      <w:pPr>
        <w:pStyle w:val="ListParagraph"/>
        <w:jc w:val="center"/>
      </w:pPr>
      <w:r>
        <w:rPr>
          <w:noProof/>
          <w:lang w:eastAsia="en-GB"/>
        </w:rPr>
        <w:lastRenderedPageBreak/>
        <w:drawing>
          <wp:inline distT="0" distB="0" distL="0" distR="0" wp14:anchorId="342A988A" wp14:editId="612AC2E4">
            <wp:extent cx="5107305" cy="221349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1961" b="3274"/>
                    <a:stretch/>
                  </pic:blipFill>
                  <pic:spPr bwMode="auto">
                    <a:xfrm>
                      <a:off x="0" y="0"/>
                      <a:ext cx="5113336" cy="2216108"/>
                    </a:xfrm>
                    <a:prstGeom prst="rect">
                      <a:avLst/>
                    </a:prstGeom>
                    <a:noFill/>
                    <a:ln>
                      <a:noFill/>
                    </a:ln>
                    <a:extLst>
                      <a:ext uri="{53640926-AAD7-44D8-BBD7-CCE9431645EC}">
                        <a14:shadowObscured xmlns:a14="http://schemas.microsoft.com/office/drawing/2010/main"/>
                      </a:ext>
                    </a:extLst>
                  </pic:spPr>
                </pic:pic>
              </a:graphicData>
            </a:graphic>
          </wp:inline>
        </w:drawing>
      </w:r>
    </w:p>
    <w:p w14:paraId="785E7A13" w14:textId="73643A55" w:rsidR="00532C38" w:rsidRDefault="00532C38" w:rsidP="00532C38">
      <w:pPr>
        <w:pStyle w:val="Figure"/>
      </w:pPr>
      <w:bookmarkStart w:id="43" w:name="_Ref483752218"/>
      <w:bookmarkStart w:id="44" w:name="_Toc486785425"/>
      <w:r>
        <w:t xml:space="preserve">Figure </w:t>
      </w:r>
      <w:fldSimple w:instr=" STYLEREF 1 \s " w:fldLock="1">
        <w:r w:rsidR="002C549C">
          <w:rPr>
            <w:noProof/>
          </w:rPr>
          <w:t>1</w:t>
        </w:r>
      </w:fldSimple>
      <w:r w:rsidR="001167C6">
        <w:t>.</w:t>
      </w:r>
      <w:fldSimple w:instr=" SEQ Figure \* ARABIC \s 1 " w:fldLock="1">
        <w:r w:rsidR="002C549C">
          <w:rPr>
            <w:noProof/>
          </w:rPr>
          <w:t>5</w:t>
        </w:r>
      </w:fldSimple>
      <w:bookmarkEnd w:id="43"/>
      <w:r>
        <w:t xml:space="preserve"> LTR retrotransposon archetypal structures. The Retroviruses, Gypsy, Bel/Pao and Copia groups have the standard LTR retrotransposon structure with a pair of LTRs terminally demarked by a target site duplication (red box). The 5’ LTR finishes with the primer binding site (PBS) and the 3’ LTR is preceded by the polypurine tract (PPT). The internal sequences are the </w:t>
      </w:r>
      <w:r>
        <w:rPr>
          <w:i/>
        </w:rPr>
        <w:t>gag</w:t>
      </w:r>
      <w:r>
        <w:t xml:space="preserve"> (group specific antigens; dark blue), and </w:t>
      </w:r>
      <w:r>
        <w:rPr>
          <w:i/>
        </w:rPr>
        <w:t xml:space="preserve">polymerase </w:t>
      </w:r>
      <w:r>
        <w:t>(blue) including RT (</w:t>
      </w:r>
      <w:r>
        <w:rPr>
          <w:i/>
        </w:rPr>
        <w:t>reverse transcriptase</w:t>
      </w:r>
      <w:r>
        <w:t>), RH (</w:t>
      </w:r>
      <w:r>
        <w:rPr>
          <w:i/>
        </w:rPr>
        <w:t>RNaseH</w:t>
      </w:r>
      <w:r>
        <w:t>), IN (</w:t>
      </w:r>
      <w:r>
        <w:rPr>
          <w:i/>
        </w:rPr>
        <w:t>integrase</w:t>
      </w:r>
      <w:r>
        <w:t>) and PR (</w:t>
      </w:r>
      <w:r>
        <w:rPr>
          <w:i/>
        </w:rPr>
        <w:t>protease</w:t>
      </w:r>
      <w:r>
        <w:t xml:space="preserve">). In the retroviruses, Bel/Pao and Gypsy the </w:t>
      </w:r>
      <w:r>
        <w:rPr>
          <w:i/>
        </w:rPr>
        <w:t>polymerase</w:t>
      </w:r>
      <w:r>
        <w:t xml:space="preserve"> order is PR-RT-RH-IN, but the more ancient Copia group has IN first. In retroviruses, the PR is encoded as part of the </w:t>
      </w:r>
      <w:r>
        <w:rPr>
          <w:i/>
        </w:rPr>
        <w:t>gag</w:t>
      </w:r>
      <w:r>
        <w:t xml:space="preserve"> gene leading to higher </w:t>
      </w:r>
      <w:r>
        <w:rPr>
          <w:i/>
        </w:rPr>
        <w:t>protease</w:t>
      </w:r>
      <w:r>
        <w:t xml:space="preserve"> expression. Retroviruses typically have an </w:t>
      </w:r>
      <w:r>
        <w:rPr>
          <w:i/>
        </w:rPr>
        <w:t>envelope</w:t>
      </w:r>
      <w:r>
        <w:t xml:space="preserve"> gene (light blue) which encodes the virion proteins required for an extracellular lifecycle. Some Gypsy and Copia elements have independently acquired </w:t>
      </w:r>
      <w:r>
        <w:rPr>
          <w:i/>
        </w:rPr>
        <w:t>envelope</w:t>
      </w:r>
      <w:r>
        <w:t xml:space="preserve"> genes, but these are exceptions. DIRS retrotransposons have a highly divergent structure with inverted tandem repeats (ITRs) rather than LTRs, although these are much longer and more complex than those in DNA transposons (</w:t>
      </w:r>
      <w:r>
        <w:fldChar w:fldCharType="begin" w:fldLock="1"/>
      </w:r>
      <w:r>
        <w:instrText xml:space="preserve"> REF _Ref483855353 \h </w:instrText>
      </w:r>
      <w:r>
        <w:fldChar w:fldCharType="separate"/>
      </w:r>
      <w:r w:rsidR="002C549C">
        <w:t xml:space="preserve">Figure </w:t>
      </w:r>
      <w:r w:rsidR="002C549C">
        <w:rPr>
          <w:noProof/>
        </w:rPr>
        <w:t>1</w:t>
      </w:r>
      <w:r w:rsidR="002C549C">
        <w:t>.</w:t>
      </w:r>
      <w:r w:rsidR="002C549C">
        <w:rPr>
          <w:noProof/>
        </w:rPr>
        <w:t>1</w:t>
      </w:r>
      <w:r>
        <w:fldChar w:fldCharType="end"/>
      </w:r>
      <w:r>
        <w:t xml:space="preserve">). DIRS elements are demarcated by the trinucleotide TTT and the ICR (internal complementary region) has homology with both ITRs, facilitating DIRS retrotransposition via a circular double stranded DNA (dsDNA) intermediate. DIRS elements have a typical </w:t>
      </w:r>
      <w:r>
        <w:rPr>
          <w:i/>
        </w:rPr>
        <w:t>gag</w:t>
      </w:r>
      <w:r>
        <w:t>, but use a methyl transferase (MT) and tyrosine recombinase (YR) rather than the typical protease and integrase.</w:t>
      </w:r>
      <w:bookmarkEnd w:id="44"/>
    </w:p>
    <w:p w14:paraId="7F33A15B" w14:textId="3A8B208B" w:rsidR="00532C38" w:rsidRDefault="00532C38" w:rsidP="00532C38">
      <w:pPr>
        <w:pStyle w:val="Heading4"/>
      </w:pPr>
      <w:r>
        <w:t>Eukaryotic distribution</w:t>
      </w:r>
    </w:p>
    <w:p w14:paraId="001EF69D" w14:textId="0EDC907B" w:rsidR="00532C38" w:rsidRDefault="00532C38" w:rsidP="00391005">
      <w:pPr>
        <w:pStyle w:val="ListParagraph"/>
      </w:pPr>
      <w:r>
        <w:t>Copia and</w:t>
      </w:r>
      <w:r w:rsidR="008F54DE">
        <w:t xml:space="preserve"> DIRS elements have the widest e</w:t>
      </w:r>
      <w:r>
        <w:t xml:space="preserve">ukaryotic distribution, with representation in </w:t>
      </w:r>
      <w:r w:rsidR="008312BE">
        <w:t>single-cell eukaryotes</w:t>
      </w:r>
      <w:r>
        <w:t xml:space="preserve"> such as the Diatoms </w:t>
      </w:r>
      <w:r>
        <w:fldChar w:fldCharType="begin" w:fldLock="1"/>
      </w:r>
      <w:r>
        <w:instrText>ADDIN CSL_CITATION { "citationItems" : [ { "id" : "ITEM-1",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"ITEM-1", "issue" : "1", "issued" : { "date-parts" : [ [ "2011", "1" ] ] }, "page" : "621", "publisher" : "BioMed Central Ltd", "title" : "Eukaryote DIRS1-like retrotransposons: an overview.", "type" : "article-journal", "volume" : "12" }, "uris" : [ "http://www.mendeley.com/documents/?uuid=eb273253-14b9-48d7-aca5-e76e38f87da6" ] }, { "id" : "ITEM-2", "itemData" : { "abstract" : "Background: Long terminal repeats (LTRs, consisting of U3-R-U5 portions) are important elements of retroviruses and related retrotransposons. They are difficult to analyse due to their variability. The aim was to obtain a more comprehensive view of structure, diversity and phylogeny of LTRs than hitherto possible. Results: Hidden Markov models (HMM) were created for 11 clades of LTRs belonging to Retroviridae (class III retroviruses), animal Metaviridae (Gypsy/Ty3) elements and plant Pseudoviridae (Copia/Ty1) elements, complementing our work with Orthoretrovirus HMMs. The great variation in LTR length of plant Metaviridae and the few divergent animal Pseudoviridae prevented building HMMs from both of these groups. Animal Metaviridae LTRs had the same conserved motifs as retroviral LTRs, confirming that the two groups are closely related. The conserved motifs were the short inverted repeats (SIRs), integrase recognition signals (5 \u0301 TGTTRNR. . .YNYAACA 3 \u0301); the polyadenylation signal or AATAAA motif; a GT-rich stretch downstream of the polyadenylation signal; and a less conserved AT-rich stretch corresponding to the core promoter element, the TATA box. Plant Pseudoviridae LTRs differed slightly in having a conserved TATA-box, TATATA, but no conserved polyadenylation signal, plus a much shorter R region. The sensitivity of the HMMs for detection in genomic sequences was around 50% for most models, at a relatively high specificity, suitable for genome screening. The HMMs yielded consensus sequences, which were aligned by creating an HMM model (a \u2018Superviterbi\u2019 alignment). This yielded a phylogenetic tree that was compared with a Pol-based tree. Both LTR and Pol trees supported monophyly of retroviruses. In both, Pseudoviridae was ancestral to all other LTR retrotransposons. However, the LTR trees showed the chromovirus portion of Metaviridae clustering together with Pseudoviridae, dividing Metaviridae into two portions with distinct phylogeny. Conclusion: The HMMs clearly demonstrated a unitary conserved structure of LTRs, supporting that they arose once during evolution. We attempted to follow the evolution of LTRs by tracing their functional foundations, that is, acquisition of RNAse H, a combined promoter/ polyadenylation site, integrase, hairpin priming and the primer binding site (PBS). Available information did not support a simple evolutionary chain of events.", "author" : [ { "dropping-particle" : "", "family" : "Benachenhou", "given" : "Farid", "non-dropping-particle" : "", "parse-names" : false, "suffix" : "" }, { "dropping-particle" : "", "family" : "Sperber", "given" : "G\u00f6ran", "non-dropping-particle" : "", "parse-names" : false, "suffix" : "" }, { "dropping-particle" : "", "family" : "Bongcam-Rudloff", "given" : "Erik", "non-dropping-particle" : "", "parse-names" : false, "suffix" : "" }, { "dropping-particle" : "", "family" : "Andersson", "given" : "G\u00f6ran", "non-dropping-particle" : "", "parse-names" : false, "suffix" : "" }, { "dropping-particle" : "", "family" : "Boeke", "given" : "Jef", "non-dropping-particle" : "", "parse-names" : false, "suffix" : "" }, { "dropping-particle" : "", "family" : "Blomberg", "given" : "Jonas", "non-dropping-particle" : "", "parse-names" : false, "suffix" : "" } ], "container-title" : "Mobile DNA", "id" : "ITEM-2", "issue" : "5", "issued" : { "date-parts" : [ [ "2013" ] ] }, "note" : "LTRs are difficult to analyse due to their variability.\n\n\nLTR retrotransposons includes retroviruses as well as three other groups:\n1) Pseudoviridae - Copia/Ty1 - plants/fungi/metazoans\n2) Metaviridae - Gypsy/Ty3 - plants/fungi/metazoans\n3) Semotivirus - Bel/Pao - exclusively metazoans\n\n\nTraditionally the relatedness of LTR retortransposons has been studied using the RT domain of pol as it is the most conserved retroelement domain (but not conserved once it becomes endogenous surely)\n\n\nCommon LTR structure was recently found - two unique regions (U5 and U3) and a repetitive (R) region. R and U5 are more conserved, U3 may be more divergent due to application in tissue specificity. \n\n\nAnalysis in this paper could not look at all types of LTR - LTR length is noted as a disruptive factor. As is highly variable sequence.\n\n\nTheir work would suggest that the gypsy/ty3 elements were nested within the retroviruses clade.", "title" : "Conserved structure and inferred evolutionary history of long terminal repeats (LTRs)", "type" : "article-journal", "volume" : "4" }, "uris" : [ "http://www.mendeley.com/documents/?uuid=97cc0e29-2ea9-4133-bab8-bc9c79573e06" ] } ], "mendeley" : { "formattedCitation" : "(Piedno\u00ebl et al. 2011; Benachenhou et al. 2013)", "plainTextFormattedCitation" : "(Piedno\u00ebl et al. 2011; Benachenhou et al. 2013)", "previouslyFormattedCitation" : "(Piedno\u00ebl et al. 2011; Benachenhou et al. 2013)" }, "properties" : { "noteIndex" : 0 }, "schema" : "https://github.com/citation-style-language/schema/raw/master/csl-citation.json" }</w:instrText>
      </w:r>
      <w:r>
        <w:fldChar w:fldCharType="separate"/>
      </w:r>
      <w:r w:rsidRPr="00F66B56">
        <w:rPr>
          <w:noProof/>
        </w:rPr>
        <w:t>(Piednoël et al. 2011; Benachenhou et al. 2013)</w:t>
      </w:r>
      <w:r>
        <w:fldChar w:fldCharType="end"/>
      </w:r>
      <w:r>
        <w:t xml:space="preserve">. The diverse Gypsy group also diverged before the last common ancestor of plants, animals and fungi, but the Bel/Pao clade is limited to metazoans, and retroviruses are limited to vertebrates </w:t>
      </w:r>
      <w:r>
        <w:fldChar w:fldCharType="begin" w:fldLock="1"/>
      </w:r>
      <w:r>
        <w:instrText>ADDIN CSL_CITATION { "citationItems" : [ { "id" : "ITEM-1", "itemData" : { "DOI" : "10.1186/1745-6150-4-41", "ISSN" : "1745-6150", "PMID" : "19883502", "abstract" : "BACKGROUND: Sequencing projects have allowed diverse retroviruses and LTR retrotransposons from different eukaryotic organisms to be characterized. It is known that retroviruses and other retro-transcribing viruses evolve from LTR retrotransposons and that this whole system clusters into five families: Ty3/Gypsy, Retroviridae, Ty1/Copia, Bel/Pao and Caulimoviridae. Phylogenetic analyses usually show that these split into multiple distinct lineages but what is yet to be understood is how deep evolution occurred in this system.\n\nRESULTS: We combined phylogenetic and graph analyses to investigate the history of LTR retroelements both as a tree and as a network. We used 268 non-redundant LTR retroelements, many of them introduced for the first time in this work, to elucidate all possible LTR retroelement phylogenetic patterns. These were superimposed over the tree of eukaryotes to investigate the dynamics of the system, at distinct evolutionary times. Next, we investigated phenotypic features such as duplication and variability of amino acid motifs, and several differences in genomic ORF organization. Using this information we characterized eight reticulate evolution markers to construct phenotypic network models.\n\nCONCLUSION: The evolutionary history of LTR retroelements can be traced as a time-evolving network that depends on phylogenetic patterns, epigenetic host-factors and phenotypic plasticity. The Ty1/Copia and the Ty3/Gypsy families represent the oldest patterns in this network that we found mimics eukaryotic macroevolution. The emergence of the Bel/Pao, Retroviridae and Caulimoviridae families in this network can be related with distinct inflations of the Ty3/Gypsy family, at distinct evolutionary times. This suggests that Ty3/Gypsy ancestors diversified much more than their Ty1/Copia counterparts, at distinct geological eras. Consistent with the principle of preferential attachment, the connectivities among phenotypic markers, taken as network-represented combinations, are power-law distributed. This evidences an inflationary mode of evolution where the system diversity; 1) expands continuously alternating vertical and gradual processes of phylogenetic divergence with episodes of modular, saltatory and reticulate evolution; 2) is governed by the intrinsic capability of distinct LTR retroelement host-communities to self-organize their phenotypes according to emergent laws characteristic of complex systems.\n\nREVIEWERS: This article was reviewed by E\u2026", "author" : [ { "dropping-particle" : "", "family" : "Llorens", "given" : "Carlos", "non-dropping-particle" : "", "parse-names" : false, "suffix" : "" }, { "dropping-particle" : "", "family" : "Mu\u00f1oz-Pomer", "given" : "Alfonso", "non-dropping-particle" : "", "parse-names" : false, "suffix" : "" }, { "dropping-particle" : "", "family" : "Bernad", "given" : "Lucia", "non-dropping-particle" : "", "parse-names" : false, "suffix" : "" }, { "dropping-particle" : "", "family" : "Botella", "given" : "Hector", "non-dropping-particle" : "", "parse-names" : false, "suffix" : "" }, { "dropping-particle" : "", "family" : "Moya", "given" : "Andr\u00e9s", "non-dropping-particle" : "", "parse-names" : false, "suffix" : "" } ], "container-title" : "Biology direct", "id" : "ITEM-1", "issued" : { "date-parts" : [ [ "2009", "1" ] ] }, "page" : "41", "title" : "Network dynamics of eukaryotic LTR retroelements beyond phylogenetic trees.", "type" : "article-journal", "volume" : "4" }, "uris" : [ "http://www.mendeley.com/documents/?uuid=e13372a4-34ea-40cf-9362-5c5bb4adcfbb" ] }, { "id" : "ITEM-2",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"ITEM-2", "issue" : "Database issue", "issued" : { "date-parts" : [ [ "2011", "1" ] ] }, "page" : "D70-4", "title" : "The Gypsy Database (GyDB) of mobile genetic elements: release 2.0.", "type" : "article-journal", "volume" : "39" }, "uris" : [ "http://www.mendeley.com/documents/?uuid=2201aeec-e22e-4c31-9b3c-c918eda40ebe" ] } ], "mendeley" : { "formattedCitation" : "(Llorens et al. 2009; Llorens et al. 2011)", "plainTextFormattedCitation" : "(Llorens et al. 2009; Llorens et al. 2011)", "previouslyFormattedCitation" : "(Llorens et al. 2009; Llorens et al. 2011)" }, "properties" : { "noteIndex" : 0 }, "schema" : "https://github.com/citation-style-language/schema/raw/master/csl-citation.json" }</w:instrText>
      </w:r>
      <w:r>
        <w:fldChar w:fldCharType="separate"/>
      </w:r>
      <w:r w:rsidRPr="001A418E">
        <w:rPr>
          <w:noProof/>
        </w:rPr>
        <w:t>(Llorens et al. 2009; Llorens et al. 2011)</w:t>
      </w:r>
      <w:r>
        <w:fldChar w:fldCharType="end"/>
      </w:r>
      <w:r>
        <w:t xml:space="preserve">. </w:t>
      </w:r>
    </w:p>
    <w:p w14:paraId="7F4C67F6" w14:textId="636BD57C" w:rsidR="00532C38" w:rsidRDefault="00532C38" w:rsidP="00391005">
      <w:pPr>
        <w:pStyle w:val="ListParagraph"/>
      </w:pPr>
      <w:r>
        <w:lastRenderedPageBreak/>
        <w:t xml:space="preserve">Despite these general distributions there is substantial lineage specificity, with the total loss of some LTR retrotransposon groups at various taxonomic levels </w:t>
      </w:r>
      <w:r>
        <w:fldChar w:fldCharType="begin" w:fldLock="1"/>
      </w:r>
      <w:r>
        <w:instrText>ADDIN CSL_CITATION { "citationItems" : [ { "id" : "ITEM-1", "itemData" : { "DOI" : "10.1016/S0169-5347(01)02394-1", "ISSN" : "01695347", "author" : [ { "dropping-particle" : "", "family" : "Bromham", "given" : "Lindell", "non-dropping-particle" : "", "parse-names" : false, "suffix" : "" } ], "container-title" : "Trends in Ecology &amp; Evolution", "id" : "ITEM-1", "issue" : "2", "issued" : { "date-parts" : [ [ "2002", "2" ] ] }, "note" : "Five fates for viral DNA within the genome:\n1) retains ability to produce viral particles \n2) retains transpositional ability\n3) viral sequence co-opted into host genomic function\n4) viral sequence decays into &amp;#039;junk&amp;#039; \n5) excision from the DNA - either totally or leaving a solo LTR sequence\nThese fates are not mutually exclusive.\n\n        \nDecent review - not much new stuff.", "page" : "91-97", "title" : "The human zoo: endogenous retroviruses in the human genome", "type" : "article-journal", "volume" : "17" }, "uris" : [ "http://www.mendeley.com/documents/?uuid=1237f20e-0a17-4fe9-a650-43031968c7ea" ] }, { "id" : "ITEM-2", "itemData" : { "ISSN" : "0737-4038", "PMID" : "12411593", "abstract" : "A comprehensive survey of the Pseudoviridae (Ty1/copia) retroelement family was conducted using the GenBank sequence database and completed genome sequences of several model organisms. Plant genomes were the most abundant sources of Pseudoviridae, with the Arabidopsis thaliana genome having 276 distinct elements. A reverse transcriptase amino acid sequence phylogeny indicated that the Pseudoviridae comprises highly divergent members. Coding sequences for a representative subset of elements were analyzed to identify conserved domains and differences that may underlie functional divergence. With the exception of some fungal elements (e.g., Ty1), most Pseudoviridae encode Gag and Pol on a single open reading frame. In addition to the nearly ubiquitous RNA-binding motif of nucleocapsid, three new conserved domains were identified in Gag. pol-encoded aspartic protease was similar to the retroviral enzyme and could be mapped onto the HIV-1 structure. Pol was highly conserved throughout the family. The greatest divergence among Pol sequences was seen in the C-terminus of integrase (IN). We defined a large motif (GKGY) after the IN catalytic domain that is unique to the Pseudoviridae. Additionally, the extreme C-terminus of IN is rich in simple sequence motifs. A distinct lineage of Pseudoviridae in plants have envlike genes. This lineage has undergone a large expansion of Gag characterized by an alpha-helix-rich domain containing coiled-coil motifs. In several elements, this domain is flanked on both sides by RNA-binding domains. We propose that this monophyletic lineage defines a new Pseudoviridae genus, herein referred to as the AGROVIRUS:", "author" : [ { "dropping-particle" : "", "family" : "Peterson-Burch", "given" : "Brooke D", "non-dropping-particle" : "", "parse-names" : false, "suffix" : "" }, { "dropping-particle" : "", "family" : "Voytas", "given" : "Daniel F", "non-dropping-particle" : "", "parse-names" : false, "suffix" : "" } ], "container-title" : "Molecular biology and evolution", "id" : "ITEM-2", "issue" : "11", "issued" : { "date-parts" : [ [ "2002", "11" ] ] }, "page" : "1832-45", "title" : "Genes of the Pseudoviridae (Ty1/copia retrotransposons).", "type" : "article-journal", "volume" : "19" }, "uris" : [ "http://www.mendeley.com/documents/?uuid=6a271150-bf2a-46fd-bada-bb92f3b4b872" ] }, { "id" : "ITEM-3", "itemData" : { "author" : [ { "dropping-particle" : "", "family" : "Havecker", "given" : "ER", "non-dropping-particle" : "", "parse-names" : false, "suffix" : "" }, { "dropping-particle" : "", "family" : "Gao", "given" : "Xiang", "non-dropping-particle" : "", "parse-names" : false, "suffix" : "" }, { "dropping-particle" : "", "family" : "Voytas", "given" : "DF", "non-dropping-particle" : "", "parse-names" : false, "suffix" : "" } ], "container-title" : "Genome Biology", "id" : "ITEM-3", "issue" : "6", "issued" : { "date-parts" : [ [ "2004" ] ] }, "note" : "Only difference between retrotransposons and retroviruses is that the retrotransposon lifestyle is totally intracellular. \n\n\nThe gag of retrotransposons forms the virus-like particle (VLP) inside which reverse transcription occurs. \n\n\nAll phylogeny construction appears to be based on the rt domain - and this has also been used for classification by the Internal Committee on Taxonomy of Viruses. This means, that for the full length elements at least, this is a field standard and should probably be followed for greatest comparability within the literature.\n\n\nThe coding region order in the pol gene makes the Metaviridae (gypsy/ty3) different from the rest (PR-IN-RT rather than the 'standard' PR-RT-IN found in copia/ty1 and retroviruses). However, the Gmr1 retrotransposon from cod falls within the copia/ty1 (pseudoviridae) baed on rt sequence, but has the metaviridae pol order. \n\n\nDIRS group is weird - lack protease and have a tyrosine recombinase rather than an integrase.\n\n\nSemotiviruses were originally classed as a group within the Metaviridae (gyspy). But they are know known as bel/pao elements and seen as a more basal group to DIRS rather than falling with the other metaviridae. \n\n\nenv-like ORFs appear to be widespread\n\n\nThere are non-autonomous LTR retrotransposons due to serial deletions of the internal sections. These include LARDS (large retrotransposon derivatives) and TRIMs (Terminal-repeat retrotransposons in miniature) which are widespread in plants, not forming monophyletyic groups but rather being related to existing groups. Although in many cases it is not known exactly how these elements move, it has been shown in some cases that a close relative (a more complete element) is responsible for the movement of degraded LARDS or TRIMs. TRIMs are very small (about 540bp in total) whereas LARDS have LTRs of about 4.5kb and internal regions adding up to about 3.5kb - this makes them larger than the standard ERV or retrotransposon.", "page" : "225", "title" : "The diversity of LTR retrotransposons", "type" : "article-journal", "volume" : "5" }, "uris" : [ "http://www.mendeley.com/documents/?uuid=8bfbac23-5855-4aee-9f19-8a7b6300904a" ] }, { "id" : "ITEM-4", "itemData" : { "DOI" : "10.1016/j.gene.2004.12.017", "ISSN" : "0378-1119", "PMID" : "15777633", "abstract" : "Chromoviruses, chromodomain-containing retrotransposons, are the only Metaviridae (Ty3/gypsy group of retrotransposons) clade with a Eukaryota-wide distribution. They have a common evolutionary origin and are the most prolific and diverse Metaviridae clade. The fusion of a retrotransposon and a chromodomain, was most probably responsible for their extreme evolutionary success in Eukaryota. Analysis of the massive amount of genome sequence data for different eukaryotic lineages has provided an in depth insight into the diversity, evolution, neofunctionalization, high rate of genomic turnover and origin of chromoviruses in Eukaryota. This review attempts to summarise the unique aspects of chromoviruses from a genomic perspective.", "author" : [ { "dropping-particle" : "", "family" : "Kordis", "given" : "Dusan", "non-dropping-particle" : "", "parse-names" : false, "suffix" : "" } ], "container-title" : "Gene", "id" : "ITEM-4", "issue" : "2", "issued" : { "date-parts" : [ [ "2005", "3", "14" ] ] }, "page" : "161-73", "title" : "A genomic perspective on the chromodomain-containing retrotransposons: Chromoviruses.", "type" : "article-journal", "volume" : "347" }, "uris" : [ "http://www.mendeley.com/documents/?uuid=8eb23bd8-d434-4a5e-ba5e-680c659962f1" ] }, { "id" : "ITEM-5", "itemData" : { "DOI" : "10.1111/j.1749-6632.2009.05005.x", "ISSN" : "1749-6632", "PMID" : "19845640", "abstract" : "Gypsy/Ty3 retrotransposons, a group of long terminal repeat retrotransposons related to vertebrate retroviruses, are found in the genome of many fungi, plants, and animals. Although multiple families of such retroelements are present in fish, active Gypsy/Ty3 retrotransposons have all been eliminated from the lineage leading to mammals at least 180 million years ago. However, over 50 cellular genes related to Gypsy/Ty3 retrotransposons have been identified in mammalian genomes, indicating recurrent \"molecular domestication\" of these elements by their host during evolution. Most retrotransposon-derived proteins are conserved in divergent mammalian species and show sequence similarity to Gag proteins, major structural proteins for retroelement particle formation. Among the proposed and demonstrated biological functions for gag-derived genes, placenta formation in the mouse requires two gag-derived genes from the same family. Some forms of epigenetic regulation of gag-related genes might derive from host genome defense mechanisms that repelled retrotransposon ancestors. Together, such observations support a major role for transposable elements as a source of new coding sequences allowing important genetic innovations during evolution.", "author" : [ { "dropping-particle" : "", "family" : "Volff", "given" : "Jean-Nicolas", "non-dropping-particle" : "", "parse-names" : false, "suffix" : "" } ], "container-title" : "Annals of the New York Academy of Sciences", "id" : "ITEM-5", "issued" : { "date-parts" : [ [ "2009", "10" ] ] }, "page" : "233-43", "title" : "Cellular genes derived from Gypsy/Ty3 retrotransposons in mammalian genomes.", "type" : "article-journal", "volume" : "1178" }, "uris" : [ "http://www.mendeley.com/documents/?uuid=ed4d094c-3f45-4af0-9b4a-1a65a4cbde56" ] } ], "mendeley" : { "formattedCitation" : "(Bromham 2002; Peterson-Burch &amp; Voytas 2002; Havecker et al. 2004; Kordis 2005; Volff 2009)", "plainTextFormattedCitation" : "(Bromham 2002; Peterson-Burch &amp; Voytas 2002; Havecker et al. 2004; Kordis 2005; Volff 2009)", "previouslyFormattedCitation" : "(Bromham 2002; Peterson-Burch &amp; Voytas 2002; Havecker et al. 2004; Kordis 2005; Volff 2009)" }, "properties" : { "noteIndex" : 0 }, "schema" : "https://github.com/citation-style-language/schema/raw/master/csl-citation.json" }</w:instrText>
      </w:r>
      <w:r>
        <w:fldChar w:fldCharType="separate"/>
      </w:r>
      <w:r w:rsidRPr="006A54CB">
        <w:rPr>
          <w:noProof/>
        </w:rPr>
        <w:t>(Bromham 2002; Peterson-Burch &amp; Voytas 2002; Havecker et al. 2004; Kordis 2005; Volff 2009)</w:t>
      </w:r>
      <w:r>
        <w:fldChar w:fldCharType="end"/>
      </w:r>
      <w:r>
        <w:t xml:space="preserve">. For example, DIRS elements are absent in mammals and birds despite their presence in other vertebrate groups </w:t>
      </w:r>
      <w:r>
        <w:fldChar w:fldCharType="begin" w:fldLock="1"/>
      </w:r>
      <w:r>
        <w:instrText>ADDIN CSL_CITATION { "citationItems" : [ { "id" : "ITEM-1",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"ITEM-1", "issue" : "1", "issued" : { "date-parts" : [ [ "2011", "1" ] ] }, "page" : "621", "publisher" : "BioMed Central Ltd", "title" : "Eukaryote DIRS1-like retrotransposons: an overview.", "type" : "article-journal", "volume" : "12" }, "uris" : [ "http://www.mendeley.com/documents/?uuid=eb273253-14b9-48d7-aca5-e76e38f87da6" ] } ], "mendeley" : { "formattedCitation" : "(Piedno\u00ebl et al. 2011)", "plainTextFormattedCitation" : "(Piedno\u00ebl et al. 2011)", "previouslyFormattedCitation" : "(Piedno\u00ebl et al. 2011)" }, "properties" : { "noteIndex" : 0 }, "schema" : "https://github.com/citation-style-language/schema/raw/master/csl-citation.json" }</w:instrText>
      </w:r>
      <w:r>
        <w:fldChar w:fldCharType="separate"/>
      </w:r>
      <w:r w:rsidRPr="00AF0C06">
        <w:rPr>
          <w:noProof/>
        </w:rPr>
        <w:t>(Piednoël et al. 2011)</w:t>
      </w:r>
      <w:r>
        <w:fldChar w:fldCharType="end"/>
      </w:r>
      <w:r>
        <w:t xml:space="preserve">. The abundance and diversity of particular lineages is largely dependent on stochastic processes influenced by genomic expansion and contraction, changes in effective population size, inter-element recombination, and infections from exogenous viruses </w:t>
      </w:r>
      <w:r>
        <w:fldChar w:fldCharType="begin" w:fldLock="1"/>
      </w:r>
      <w:r>
        <w:instrText>ADDIN CSL_CITATION { "citationItems" : [ { "id" : "ITEM-1", "itemData" : { "ISSN" : "0016-6707", "PMID" : "9440272", "abstract" : "The Ty1-copia group of LTR retrotransposons has been studied extensively in yeast and Drosophila, the organisms in which they were first discovered, and more recently in higher plant and vertebrate species. Their properties, such as copy number, sequence homogeneity, transcriptional and transpositional activity vary greatly between these different hosts. We will try to resolve these apparent discrepancies between these properties, explain any fundamental differences in the biology of the Ty1-copia group between hosts, and propose a general model for LTR retrotransposon evolution.", "author" : [ { "dropping-particle" : "", "family" : "Flavell", "given" : "a J", "non-dropping-particle" : "", "parse-names" : false, "suffix" : "" }, { "dropping-particle" : "", "family" : "Pearce", "given" : "S R", "non-dropping-particle" : "", "parse-names" : false, "suffix" : "" }, { "dropping-particle" : "", "family" : "Heslop-Harrison", "given" : "P", "non-dropping-particle" : "", "parse-names" : false, "suffix" : "" }, { "dropping-particle" : "", "family" : "Kumar", "given" : "A", "non-dropping-particle" : "", "parse-names" : false, "suffix" : "" } ], "container-title" : "Genetica", "id" : "ITEM-1", "issued" : { "date-parts" : [ [ "1997", "1" ] ] }, "note" : "Suggested that non-LTR retrotransposons are primitive and ancestral to LTR retrotransposons. \n\n        \nGypsy (the original element from Drosophila) has been shown to be transmissable, as have other elements in the family with an env gene. This makes sense as the Metaviridae are from within the retroviruses when the rt domains are treed out. \n\n        \nAuthors suggest that the copia and gypsy lineages split and then env was acquired by the gypsy lineage allowing evolution of &amp;#039;true&amp;#039; extracellular viruses. \n\n        \nReptiles (a couple of iguanids and several snake species analysed) appear to have lots of copia elements. \nNot possible to find a correlation between the concept of &amp;quot;evolutionary complexity&amp;quot; and abundance of elements. Transposable activity greatley varies dependent on hosty species. \n\n        \nVery unlikely that horizontal transfer of copia elements is occuring. \n\n        \nElement heterogeneity is dependent on copy number - where elements with larger copy number will be more heterogeneous. Copy number is likely to fluctuate over periods of just a few million years (depending on Ne and gen time) and is very likely to be influenced quickyl and heavily by periods of genome contraction and expansion.", "page" : "185-95", "title" : "The evolution of Ty1-copia group retrotransposons in eukaryote genomes.", "type" : "article-journal", "volume" : "100" }, "uris" : [ "http://www.mendeley.com/documents/?uuid=bff32704-4a62-4dbc-8e5c-59c0e02f93ba" ] }, { "id" : "ITEM-2", "itemData" : { "DOI" : "10.1016/j.tim.2005.08.004", "ISSN" : "0966-842X", "PMID" : "16109487", "abstract" : "Endogenous retroviruses (ERVs) are vertically transmitted intragenomic elements derived from integrated retroviruses. ERVs can proliferate within the genome of their host until they either acquire inactivating mutations or are lost by recombinational deletion. We present a model that unifies current knowledge of ERV biology into a single evolutionary framework. The model predicts the possible long-term outcomes of retroviral germline infection and can account for the variable patterns of observed ERV genetic diversity. We hope the model will provide a useful framework for understanding ERV evolution, enabling the testing of evolutionary hypotheses and the estimation of parameters governing ERV proliferation.", "author" : [ { "dropping-particle" : "", "family" : "Katzourakis", "given" : "Aris", "non-dropping-particle" : "", "parse-names" : false, "suffix" : "" }, { "dropping-particle" : "", "family" : "Rambaut", "given" : "Andrew", "non-dropping-particle" : "", "parse-names" : false, "suffix" : "" }, { "dropping-particle" : "", "family" : "Pybus", "given" : "Oliver G", "non-dropping-particle" : "", "parse-names" : false, "suffix" : "" } ], "container-title" : "Trends in microbiology", "id" : "ITEM-2", "issue" : "10", "issued" : { "date-parts" : [ [ "2005", "10" ] ] }, "note" : "Size and shape of phylogenies are a result of the evolutionary processes involved. Phylogenies can then be used to propose ideas on the evolutionary dynamics.\n\n        \nERV proliferation:\n- intracellular retrotransposition by cis (virus supplies all necessary proteins for replication) or trans (defective viruses are complemented by proteins from other viral elements)\n- env-capable elements may form exogenous particles and re-infect other germ line cells\n\n        \nIt is possible to distinguish between these by searching for purifying selection across the viral ORFs. Reinfection requires all three ORFs, retrotransposition in cis requires gag and pol, retrotransposition in trans requires a complete promoter in the LTR and other motifs for viral packaging and expression (but does not require any functional viral ORFs). \n\n        \nMajority of HERVs appear to have proliferated by reinfection, but some have retrotransposed and these are of greater copy number. \n85% of HERV sequences are solo LTRs.\n\n        \nDeterministic modelling of ERV phylogenies is important for understanding the long term fates of lineages. In the extreme either a family will indefinitely increase in size (but this will elicit strong selection for host response) or all members will become inactive and gradually degrade, effectively removing themselves from the genome through time. This latter option means that observable large genome families now may by evolutionary dead ends already marked for extinction. Rescue mutations are very rare.\n\n        \nStcohastic modelling is much more important for short term phylogenies and when the number of ERV elements in a family is particularly small. Lineage probability events such as those described are similar to methods used when trying to predict speciation/extinction rates in macro-evolutionary studies. \n\n        \nHost defence mechanisms: \nCell entry - receptor gene mutations, competitive inhibitors of viral entry through receptors\nPost entry - methylation, host-encoded inhibitors (interact with viral capsid before genome integration), post-entry restriction factors (some of these are ERV derived)\n\n        \n\n      ", "page" : "463-8", "title" : "The evolutionary dynamics of endogenous retroviruses.", "type" : "article-journal", "volume" : "13" }, "uris" : [ "http://www.mendeley.com/documents/?uuid=87cfb5a3-e18f-4744-9cae-5c28b489dfe8" ] }, { "id" : "ITEM-3", "itemData" : { "DOI" : "10.1186/1742-4690-3-67", "ISSN" : "1742-4690", "PMID" : "17018135", "abstract" : "When endogenous retroviruses (ERV) were discovered in the late 1960s, the Mendelian inheritance of retroviral genomes by their hosts was an entirely new concept. Indeed Howard M Temin's DNA provirus hypothesis enunciated in 1964 was not generally accepted, and reverse transcriptase was yet to be discovered. Nonetheless, the evidence that we accrued in the pre-molecular era has stood the test of time, and our hypothesis on ERV, which one reviewer described as 'impossible', proved to be correct. Here I recount some of the key observations in birds and mammals that led to the discovery of ERV, and comment on their evolution, cross-species dispersion, and what remains to be elucidated.", "author" : [ { "dropping-particle" : "", "family" : "Weiss", "given" : "Robin a", "non-dropping-particle" : "", "parse-names" : false, "suffix" : "" } ], "container-title" : "Retrovirology", "id" : "ITEM-3", "issue" : "67", "issued" : { "date-parts" : [ [ "2006", "1" ] ] }, "note" : "Review of the points of discovery in the last 40 years. Section on ALV discovery", "title" : "The discovery of endogenous retroviruses.", "type" : "article-journal", "volume" : "3" }, "uris" : [ "http://www.mendeley.com/documents/?uuid=ce7432b9-cdd2-4d21-8178-16647ae0565a" ] }, { "id" : "ITEM-4", "itemData" : { "DOI" : "10.1098/rstb.2012.0505", "author" : [ { "dropping-particle" : "", "family" : "Kanda", "given" : "RK", "non-dropping-particle" : "", "parse-names" : false, "suffix" : "" }, { "dropping-particle" : "", "family" : "Tristem", "given" : "M", "non-dropping-particle" : "", "parse-names" : false, "suffix" : "" }, { "dropping-particle" : "", "family" : "Coulson", "given" : "T", "non-dropping-particle" : "", "parse-names" : false, "suffix" : "" } ], "container-title" : "\u2026 of the Royal \u2026", "id" : "ITEM-4", "issue" : "1626", "issued" : { "date-parts" : [ [ "2013" ] ] }, "title" : "Exploring the effects of immunity and life history on the dynamics of an endogenous retrovirus", "type" : "article-journal", "volume" : "368" }, "uris" : [ "http://www.mendeley.com/documents/?uuid=1fc758c0-f173-4fe2-a22c-ba9c5c9ba6ce" ] } ], "mendeley" : { "formattedCitation" : "(Flavell et al. 1997; Katzourakis et al. 2005; Weiss 2006; Kanda et al. 2013)", "plainTextFormattedCitation" : "(Flavell et al. 1997; Katzourakis et al. 2005; Weiss 2006; Kanda et al. 2013)", "previouslyFormattedCitation" : "(Flavell et al. 1997; Katzourakis et al. 2005; Weiss 2006; Kanda et al. 2013)" }, "properties" : { "noteIndex" : 0 }, "schema" : "https://github.com/citation-style-language/schema/raw/master/csl-citation.json" }</w:instrText>
      </w:r>
      <w:r>
        <w:fldChar w:fldCharType="separate"/>
      </w:r>
      <w:r w:rsidRPr="006A54CB">
        <w:rPr>
          <w:noProof/>
        </w:rPr>
        <w:t>(Flavell et al. 1997; Katzourakis et al. 2005; Weiss 2006; Kanda et al. 2013)</w:t>
      </w:r>
      <w:r>
        <w:fldChar w:fldCharType="end"/>
      </w:r>
      <w:r>
        <w:t>.</w:t>
      </w:r>
    </w:p>
    <w:p w14:paraId="3AE9DB80" w14:textId="77777777" w:rsidR="00532C38" w:rsidRPr="00532C38" w:rsidRDefault="00532C38" w:rsidP="00391005">
      <w:pPr>
        <w:pStyle w:val="ListParagraph"/>
      </w:pPr>
    </w:p>
    <w:p w14:paraId="5535250A" w14:textId="77777777" w:rsidR="000C702F" w:rsidRDefault="000C702F" w:rsidP="000C702F">
      <w:pPr>
        <w:pStyle w:val="Heading4"/>
      </w:pPr>
      <w:r>
        <w:t>Retroviruses – acquisition of an envelope</w:t>
      </w:r>
    </w:p>
    <w:p w14:paraId="43FFB5AA" w14:textId="6028A89F" w:rsidR="000C702F" w:rsidRPr="000C702F" w:rsidRDefault="000C702F" w:rsidP="00391005">
      <w:pPr>
        <w:pStyle w:val="ListParagraph"/>
      </w:pPr>
      <w:r>
        <w:t xml:space="preserve">Technically, the term ‘retrovirus’ can be used to describe any retrotransposon which can escape a host cell and infect other cells with successful integrations </w:t>
      </w:r>
      <w:r>
        <w:fldChar w:fldCharType="begin" w:fldLock="1"/>
      </w:r>
      <w:r>
        <w:instrText>ADDIN CSL_CITATION { "citationItems" : [ { "id" : "ITEM-1",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"ITEM-1", "issue" : "Database issue", "issued" : { "date-parts" : [ [ "2011", "1" ] ] }, "page" : "D70-4", "title" : "The Gypsy Database (GyDB) of mobile genetic elements: release 2.0.", "type" : "article-journal", "volume" : "39" }, "uris" : [ "http://www.mendeley.com/documents/?uuid=2201aeec-e22e-4c31-9b3c-c918eda40ebe" ] } ], "mendeley" : { "formattedCitation" : "(Llorens et al. 2011)", "plainTextFormattedCitation" : "(Llorens et al. 2011)", "previouslyFormattedCitation" : "(Llorens et al. 2011)" }, "properties" : { "noteIndex" : 0 }, "schema" : "https://github.com/citation-style-language/schema/raw/master/csl-citation.json" }</w:instrText>
      </w:r>
      <w:r>
        <w:fldChar w:fldCharType="separate"/>
      </w:r>
      <w:r w:rsidRPr="000C702F">
        <w:rPr>
          <w:noProof/>
        </w:rPr>
        <w:t>(Llorens et al. 2011)</w:t>
      </w:r>
      <w:r>
        <w:fldChar w:fldCharType="end"/>
      </w:r>
      <w:r>
        <w:t xml:space="preserve">. Practically, when this term is used it refers to vertebrate retroviruses of the Retroviridae family. This distinction is important as multiple LTR retrotransposon lineages have acquired </w:t>
      </w:r>
      <w:r>
        <w:rPr>
          <w:i/>
        </w:rPr>
        <w:t>env</w:t>
      </w:r>
      <w:r>
        <w:t xml:space="preserve"> genes enabling them to become exogenous viruses </w:t>
      </w:r>
      <w:r>
        <w:fldChar w:fldCharType="begin" w:fldLock="1"/>
      </w:r>
      <w:r>
        <w:instrText>ADDIN CSL_CITATION { "citationItems" : [ { "id" : "ITEM-1", "itemData" : { "DOI" : "10.1101/gr.145000", "ISSN" : "10889051", "author" : [ { "dropping-particle" : "", "family" : "Malik", "given" : "H. S.", "non-dropping-particle" : "", "parse-names" : false, "suffix" : "" }, { "dropping-particle" : "", "family" : "Henikoff", "given" : "Steve", "non-dropping-particle" : "", "parse-names" : false, "suffix" : "" }, { "dropping-particle" : "", "family" : "Eickbush", "given" : "Thomas H", "non-dropping-particle" : "", "parse-names" : false, "suffix" : "" } ], "container-title" : "Genome Research", "id" : "ITEM-1", "issue" : "9", "issued" : { "date-parts" : [ [ "2000", "9", "1" ] ] }, "note" : "Interesting paper - worth another read and a more thorough critique\n\n        \nVertebrate retroviruses appear to have originated from LTR retrotransposons which have acquired the env ORF allowing them to have an extracellular lifestyle. \nEnv gene acquisition may have many different origins across the different families of ltr elements. This gives the potential for any ltr retrotransposon to become a virus. ", "page" : "1307-1318", "title" : "Poised for Contagion: Evolutionary Origins of the Infectious Abilities of Invertebrate Retroviruses", "type" : "article-journal", "volume" : "10" }, "uris" : [ "http://www.mendeley.com/documents/?uuid=7598e030-57aa-4c3d-8534-193c635d03a3" ] }, { "id" : "ITEM-2", "itemData" : { "ISSN" : "0737-4038", "PMID" : "12411593", "abstract" : "A comprehensive survey of the Pseudoviridae (Ty1/copia) retroelement family was conducted using the GenBank sequence database and completed genome sequences of several model organisms. Plant genomes were the most abundant sources of Pseudoviridae, with the Arabidopsis thaliana genome having 276 distinct elements. A reverse transcriptase amino acid sequence phylogeny indicated that the Pseudoviridae comprises highly divergent members. Coding sequences for a representative subset of elements were analyzed to identify conserved domains and differences that may underlie functional divergence. With the exception of some fungal elements (e.g., Ty1), most Pseudoviridae encode Gag and Pol on a single open reading frame. In addition to the nearly ubiquitous RNA-binding motif of nucleocapsid, three new conserved domains were identified in Gag. pol-encoded aspartic protease was similar to the retroviral enzyme and could be mapped onto the HIV-1 structure. Pol was highly conserved throughout the family. The greatest divergence among Pol sequences was seen in the C-terminus of integrase (IN). We defined a large motif (GKGY) after the IN catalytic domain that is unique to the Pseudoviridae. Additionally, the extreme C-terminus of IN is rich in simple sequence motifs. A distinct lineage of Pseudoviridae in plants have envlike genes. This lineage has undergone a large expansion of Gag characterized by an alpha-helix-rich domain containing coiled-coil motifs. In several elements, this domain is flanked on both sides by RNA-binding domains. We propose that this monophyletic lineage defines a new Pseudoviridae genus, herein referred to as the AGROVIRUS:", "author" : [ { "dropping-particle" : "", "family" : "Peterson-Burch", "given" : "Brooke D", "non-dropping-particle" : "", "parse-names" : false, "suffix" : "" }, { "dropping-particle" : "", "family" : "Voytas", "given" : "Daniel F", "non-dropping-particle" : "", "parse-names" : false, "suffix" : "" } ], "container-title" : "Molecular biology and evolution", "id" : "ITEM-2", "issue" : "11", "issued" : { "date-parts" : [ [ "2002", "11" ] ] }, "page" : "1832-45", "title" : "Genes of the Pseudoviridae (Ty1/copia retrotransposons).", "type" : "article-journal", "volume" : "19" }, "uris" : [ "http://www.mendeley.com/documents/?uuid=6a271150-bf2a-46fd-bada-bb92f3b4b872" ] } ], "mendeley" : { "formattedCitation" : "(Malik et al. 2000; Peterson-Burch &amp; Voytas 2002)", "plainTextFormattedCitation" : "(Malik et al. 2000; Peterson-Burch &amp; Voytas 2002)", "previouslyFormattedCitation" : "(Malik et al. 2000; Peterson-Burch &amp; Voytas 2002)" }, "properties" : { "noteIndex" : 0 }, "schema" : "https://github.com/citation-style-language/schema/raw/master/csl-citation.json" }</w:instrText>
      </w:r>
      <w:r>
        <w:fldChar w:fldCharType="separate"/>
      </w:r>
      <w:r w:rsidRPr="000C702F">
        <w:rPr>
          <w:noProof/>
        </w:rPr>
        <w:t>(Malik et al. 2000; Peterson-Burch &amp; Voytas 2002)</w:t>
      </w:r>
      <w:r>
        <w:fldChar w:fldCharType="end"/>
      </w:r>
      <w:r>
        <w:t>. Interestingly, a number of these do not appear to have then become infectious agents, suggesting that they instead facilitate virion chaperoning during retrotransposition when single stranded</w:t>
      </w:r>
      <w:r w:rsidR="006D5DE2">
        <w:t xml:space="preserve"> viral</w:t>
      </w:r>
      <w:r>
        <w:t xml:space="preserve"> RNA or DNA would be targeted for degradation by the host cell </w:t>
      </w:r>
      <w:r>
        <w:fldChar w:fldCharType="begin" w:fldLock="1"/>
      </w:r>
      <w:r w:rsidR="00AF74B2">
        <w:instrText>ADDIN CSL_CITATION { "citationItems" : [ { "id" : "ITEM-1", "itemData" : { "author" : [ { "dropping-particle" : "", "family" : "Havecker", "given" : "ER", "non-dropping-particle" : "", "parse-names" : false, "suffix" : "" }, { "dropping-particle" : "", "family" : "Gao", "given" : "Xiang", "non-dropping-particle" : "", "parse-names" : false, "suffix" : "" }, { "dropping-particle" : "", "family" : "Voytas", "given" : "DF", "non-dropping-particle" : "", "parse-names" : false, "suffix" : "" } ], "container-title" : "Genome Biology", "id" : "ITEM-1", "issue" : "6", "issued" : { "date-parts" : [ [ "2004" ] ] }, "note" : "Only difference between retrotransposons and retroviruses is that the retrotransposon lifestyle is totally intracellular. \n\n\nThe gag of retrotransposons forms the virus-like particle (VLP) inside which reverse transcription occurs. \n\n\nAll phylogeny construction appears to be based on the rt domain - and this has also been used for classification by the Internal Committee on Taxonomy of Viruses. This means, that for the full length elements at least, this is a field standard and should probably be followed for greatest comparability within the literature.\n\n\nThe coding region order in the pol gene makes the Metaviridae (gypsy/ty3) different from the rest (PR-IN-RT rather than the 'standard' PR-RT-IN found in copia/ty1 and retroviruses). However, the Gmr1 retrotransposon from cod falls within the copia/ty1 (pseudoviridae) baed on rt sequence, but has the metaviridae pol order. \n\n\nDIRS group is weird - lack protease and have a tyrosine recombinase rather than an integrase.\n\n\nSemotiviruses were originally classed as a group within the Metaviridae (gyspy). But they are know known as bel/pao elements and seen as a more basal group to DIRS rather than falling with the other metaviridae. \n\n\nenv-like ORFs appear to be widespread\n\n\nThere are non-autonomous LTR retrotransposons due to serial deletions of the internal sections. These include LARDS (large retrotransposon derivatives) and TRIMs (Terminal-repeat retrotransposons in miniature) which are widespread in plants, not forming monophyletyic groups but rather being related to existing groups. Although in many cases it is not known exactly how these elements move, it has been shown in some cases that a close relative (a more complete element) is responsible for the movement of degraded LARDS or TRIMs. TRIMs are very small (about 540bp in total) whereas LARDS have LTRs of about 4.5kb and internal regions adding up to about 3.5kb - this makes them larger than the standard ERV or retrotransposon.", "page" : "225", "title" : "The diversity of LTR retrotransposons", "type" : "article-journal", "volume" : "5" }, "uris" : [ "http://www.mendeley.com/documents/?uuid=8bfbac23-5855-4aee-9f19-8a7b6300904a" ] } ], "mendeley" : { "formattedCitation" : "(Havecker et al. 2004)", "plainTextFormattedCitation" : "(Havecker et al. 2004)", "previouslyFormattedCitation" : "(Havecker et al. 2004)" }, "properties" : { "noteIndex" : 0 }, "schema" : "https://github.com/citation-style-language/schema/raw/master/csl-citation.json" }</w:instrText>
      </w:r>
      <w:r>
        <w:fldChar w:fldCharType="separate"/>
      </w:r>
      <w:r w:rsidRPr="000C702F">
        <w:rPr>
          <w:noProof/>
        </w:rPr>
        <w:t>(Havecker et al. 2004)</w:t>
      </w:r>
      <w:r>
        <w:fldChar w:fldCharType="end"/>
      </w:r>
      <w:r>
        <w:t xml:space="preserve">. However, the true benefit of this to the retrotransposon is unknown, as recent work has suggested that elements without an </w:t>
      </w:r>
      <w:r>
        <w:rPr>
          <w:i/>
        </w:rPr>
        <w:t>env</w:t>
      </w:r>
      <w:r>
        <w:t xml:space="preserve"> proliferate to a greater extent </w:t>
      </w:r>
      <w:r>
        <w:fldChar w:fldCharType="begin" w:fldLock="1"/>
      </w:r>
      <w:r w:rsidR="00C94DBA">
        <w:instrText>ADDIN CSL_CITATION { "citationItems" : [ { "id" : "ITEM-1", "itemData" : { "DOI" : "10.1073/pnas.1200913109", "ISSN" : "1091-6490", "PMID" : "22529376", "abstract" : "Endogenous retroviruses (ERVs) differ from typical retroviruses in being inherited through the host germline and therefore are a unique combination of pathogen and selfish genetic element. Some ERV lineages proliferate by infecting germline cells, as do typical retroviruses, whereas others lack the env gene required for virions to enter cells and thus behave like retrotransposons. We wished to know what factors determined the relative abundance of different ERV lineages, so we analyzed ERV loci recovered from 38 mammal genomes by in silico screening. By modeling the relationship between proliferation and replication mechanism in detail within one group, the intracisternal A-type particles (IAPs), and performing simple correlations across all ERV lineages, we show that when ERVs lose the env gene their proliferation within that genome is boosted by a factor of \u223c30. We also show that ERV abundance follows the Pareto principle or 20/80 rule, with \u223c20% of lineages containing 80% of the loci. This rule is observed in many biological systems, including infectious disease epidemics, where commonly \u223c20% of the infected individuals are responsible for 80% of onward infection. We thus borrow simple epidemiological and ecological models and show that retrotransposition and loss of env is the trait that leads endogenous retroviruses to becoming genomic superspreaders that take over a significant proportion of their host's genome.", "author" : [ { "dropping-particle" : "", "family" : "Magiorkinis", "given" : "Gkikas", "non-dropping-particle" : "", "parse-names" : false, "suffix" : "" }, { "dropping-particle" : "", "family" : "Gifford", "given" : "Robert J", "non-dropping-particle" : "", "parse-names" : false, "suffix" : "" }, { "dropping-particle" : "", "family" : "Katzourakis", "given" : "Aris", "non-dropping-particle" : "", "parse-names" : false, "suffix" : "" }, { "dropping-particle" : "", "family" : "Ranter", "given" : "Joris", "non-dropping-particle" : "De", "parse-names" : false, "suffix" : "" }, { "dropping-particle" : "", "family" : "Belshaw", "given" : "Robert", "non-dropping-particle" : "", "parse-names" : false, "suffix" : "" } ], "container-title" : "Proceedings of the National Academy of Sciences of the United States of America", "id" : "ITEM-1", "issue" : "19", "issued" : { "date-parts" : [ [ "2012", "5", "8" ] ] }, "note" : "Authors show that when ERVs lose their env gene (limiting their presence to just that cell - looking at 38 mammal genomes) their proliferation within the genome increases by a factor of 30. Alos show that ERV abundance follows the 'Pareto principle' of 20/80, where 20% of lineages account for 80% of the loci - this is a similar phenomonen as seen in disease models where 20% of individuals infect 80% of the onward infection. This rule seems to apply sequentially through families as well (20% of families account for 80% of loci, and then 20% of the family members account for 80% of the member loci etc). Suggest therefore that loss of env allows ERVs to become genomic superspreaders...\n\n\n\nBUT - they say that when a virus has the ability to infect other cells its transposition potential is reduced within that cell. Is it really a fair comparison? The abstract and title are suggestive of the loss of the env gene allowing the element to increase spreading ability. The mode has changed...so is it a fair comparison? They also only look at certain types, and results will be confounded by copy number, prevalence and original site of insertion.\n\n\n\nHowever, the authors report a trait relationship - those that have lost the majority of the env gene will spread more than those that have only lost a portion - this will ultimately depend on what has been lost I guess. If it can still perform the function missing certain areas then this is not so weird. Unsurprisingly they report that the change is unidirectional - although there would be the possibility of recombination back with a more complete sequence - although, as stated below, this does appear to be rare in ERVs.\n\n\nWhen ERVs are replication is solely intracellular they are FUNCTIONALLY INDISTINGUISHABLE from LTR retrotransposons. \nComplementation of the env gene in env-defective ERVs does not seem common - even physically linked loci of the same family do not appear to exhibit this effect. In invertebrates there are multiple examples of this - Malik et al (2000)\n\n\nenv degradation is not linked to just locus age: other genes are not so extensively degraded (but then selection isn't on the env as much if it can still alter physiology [even if it is local] and replicate - the selection is on the replication stage hence the high rt conservation). Data suggests that env integrity is negatively associated with expansion (P&amp;lt;0.01), but expansion is not correlated with the other genes. \n\n\nAuthors point out at the end that env degradation and loss appears to be a consequence of retrotransposition, rather than a cause - despite their suggestive wording at the start.", "page" : "7385-90", "title" : "Env-less endogenous retroviruses are genomic superspreaders.", "type" : "article-journal", "volume" : "109" }, "uris" : [ "http://www.mendeley.com/documents/?uuid=98e08121-a169-4d61-87b3-1f08c112a636" ] } ], "mendeley" : { "formattedCitation" : "(Magiorkinis et al. 2012)", "plainTextFormattedCitation" : "(Magiorkinis et al. 2012)", "previouslyFormattedCitation" : "(Magiorkinis et al. 2012)" }, "properties" : { "noteIndex" : 0 }, "schema" : "https://github.com/citation-style-language/schema/raw/master/csl-citation.json" }</w:instrText>
      </w:r>
      <w:r>
        <w:fldChar w:fldCharType="separate"/>
      </w:r>
      <w:r w:rsidRPr="000C702F">
        <w:rPr>
          <w:noProof/>
        </w:rPr>
        <w:t>(Magiorkinis et al. 2012)</w:t>
      </w:r>
      <w:r>
        <w:fldChar w:fldCharType="end"/>
      </w:r>
      <w:r>
        <w:t xml:space="preserve">. </w:t>
      </w:r>
    </w:p>
    <w:p w14:paraId="4409E40D" w14:textId="5F6C814A" w:rsidR="000B2269" w:rsidRDefault="00AF74B2" w:rsidP="00391005">
      <w:pPr>
        <w:pStyle w:val="ListParagraph"/>
      </w:pPr>
      <w:r>
        <w:t>The Retroviridae (hereafter simply referred to as ‘retroviruses’) originated from within the Metaviridae</w:t>
      </w:r>
      <w:r w:rsidR="001E4FBE">
        <w:t xml:space="preserve"> (Gypsy/Ty3)</w:t>
      </w:r>
      <w:r w:rsidR="007832C9">
        <w:t>. T</w:t>
      </w:r>
      <w:r>
        <w:t xml:space="preserve">here is conflicting evidence from the different coding regions (confounded by possible convergence and horizontal gene transfer; HGT) as to whether retroviruses are monophyletic or whether the three subclasses (class I, II and III; </w:t>
      </w:r>
      <w:r>
        <w:fldChar w:fldCharType="begin" w:fldLock="1"/>
      </w:r>
      <w:r>
        <w:instrText xml:space="preserve"> REF _Ref484254177 \h </w:instrText>
      </w:r>
      <w:r>
        <w:fldChar w:fldCharType="separate"/>
      </w:r>
      <w:r w:rsidR="002C549C">
        <w:t xml:space="preserve">Figure </w:t>
      </w:r>
      <w:r w:rsidR="002C549C">
        <w:rPr>
          <w:noProof/>
        </w:rPr>
        <w:t>1</w:t>
      </w:r>
      <w:r w:rsidR="002C549C">
        <w:t>.</w:t>
      </w:r>
      <w:r w:rsidR="002C549C">
        <w:rPr>
          <w:noProof/>
        </w:rPr>
        <w:t>4</w:t>
      </w:r>
      <w:r>
        <w:fldChar w:fldCharType="end"/>
      </w:r>
      <w:r>
        <w:t xml:space="preserve">) arose independently </w:t>
      </w:r>
      <w:r>
        <w:fldChar w:fldCharType="begin" w:fldLock="1"/>
      </w:r>
      <w:r w:rsidR="007832C9">
        <w:instrText>ADDIN CSL_CITATION { "citationItems" : [ { "id" : "ITEM-1", "itemData" : { "DOI" : "10.1186/1471-2148-8-276", "ISSN" : "1471-2148", "PMID" : "18842133", "abstract" : "BACKGROUND: The origin of vertebrate retroviruses (Retroviridae) is yet to be thoroughly investigated, but due to their similarity and identical gag-pol (and env) genome structure, it is accepted that they evolve from Ty3/Gypsy LTR retroelements the retrotransposons and retroviruses of plants, fungi and animals. These 2 groups of LTR retroelements code for 3 proteins rarely studied due to the high variability - gag polyprotein, protease and GPY/F module. In relation to 3 previously proposed Retroviridae classes I, II and II, investigation of the above proteins conclusively uncovers important insights regarding the ancient history of Ty3/Gypsy and Retroviridae LTR retroelements.\n\nRESULTS: We performed a comprehensive study of 120 non-redundant Ty3/Gypsy and Retroviridae LTR retroelements. Phylogenetic reconstruction inferred based on the concatenated analysis of the gag and pol polyproteins shows a robust phylogenetic signal regarding the clustering of OTUs. Evaluation of gag and pol polyproteins separately yields discordant information. While pol signal supports the traditional perspective (2 monophyletic groups), gag polyprotein describes an alternative scenario where each Retroviridae class can be distantly related with one or more Ty3/Gypsy lineages. We investigated more in depth this evidence through comparative analyses performed based on the gag polyprotein, the protease and the GPY/F module. Our results indicate that contrary to the traditional monophyletic view of the origin of vertebrate retroviruses, the Retroviridae class I is a molecular fossil, preserving features that were probably predominant among Ty3/Gypsy ancestors predating the split of plants, fungi and animals. In contrast, classes II and III maintain other phenotypes that emerged more recently during Ty3/Gypsy evolution.\n\nCONCLUSION: The 3 Retroviridae classes I, II and III exhibit phenotypic differences that delineate a network never before reported between Ty3/Gypsy and Retroviridae LTR retroelements. This new scenario reveals how the diversity of vertebrate retroviruses is polyphyletically recurrent into the Ty3/Gypsy evolution, i.e. older than previously thought. The simplest hypothesis to explain this finding is that classes I, II and III trace back to at least 3 Ty3/Gypsy ancestors that emerged at different evolutionary times prior to protostomes-deuterostomes divergence. We have called this \"the three kings hypothesis\" concerning the origin of vertebrate retroviruses.", "author" : [ { "dropping-particle" : "", "family" : "Llorens", "given" : "Carlos", "non-dropping-particle" : "", "parse-names" : false, "suffix" : "" }, { "dropping-particle" : "", "family" : "Fares", "given" : "Mario a", "non-dropping-particle" : "", "parse-names" : false, "suffix" : "" }, { "dropping-particle" : "", "family" : "Moya", "given" : "Andres", "non-dropping-particle" : "", "parse-names" : false, "suffix" : "" } ], "container-title" : "BMC evolutionary biology", "id" : "ITEM-1", "issued" : { "date-parts" : [ [ "2008", "1" ] ] }, "page" : "276", "title" : "Relationships of gag-pol diversity between Ty3/Gypsy and Retroviridae LTR retroelements and the three kings hypothesis.", "type" : "article-journal", "volume" : "8" }, "uris" : [ "http://www.mendeley.com/documents/?uuid=af1cfad9-42be-42f2-ba7d-c228b1845aa4" ] }, { "id" : "ITEM-2", "itemData" : { "abstract" : "Background: Long terminal repeats (LTRs, consisting of U3-R-U5 portions) are important elements of retroviruses and related retrotransposons. They are difficult to analyse due to their variability. The aim was to obtain a more comprehensive view of structure, diversity and phylogeny of LTRs than hitherto possible. Results: Hidden Markov models (HMM) were created for 11 clades of LTRs belonging to Retroviridae (class III retroviruses), animal Metaviridae (Gypsy/Ty3) elements and plant Pseudoviridae (Copia/Ty1) elements, complementing our work with Orthoretrovirus HMMs. The great variation in LTR length of plant Metaviridae and the few divergent animal Pseudoviridae prevented building HMMs from both of these groups. Animal Metaviridae LTRs had the same conserved motifs as retroviral LTRs, confirming that the two groups are closely related. The conserved motifs were the short inverted repeats (SIRs), integrase recognition signals (5 \u0301 TGTTRNR. . .YNYAACA 3 \u0301); the polyadenylation signal or AATAAA motif; a GT-rich stretch downstream of the polyadenylation signal; and a less conserved AT-rich stretch corresponding to the core promoter element, the TATA box. Plant Pseudoviridae LTRs differed slightly in having a conserved TATA-box, TATATA, but no conserved polyadenylation signal, plus a much shorter R region. The sensitivity of the HMMs for detection in genomic sequences was around 50% for most models, at a relatively high specificity, suitable for genome screening. The HMMs yielded consensus sequences, which were aligned by creating an HMM model (a \u2018Superviterbi\u2019 alignment). This yielded a phylogenetic tree that was compared with a Pol-based tree. Both LTR and Pol trees supported monophyly of retroviruses. In both, Pseudoviridae was ancestral to all other LTR retrotransposons. However, the LTR trees showed the chromovirus portion of Metaviridae clustering together with Pseudoviridae, dividing Metaviridae into two portions with distinct phylogeny. Conclusion: The HMMs clearly demonstrated a unitary conserved structure of LTRs, supporting that they arose once during evolution. We attempted to follow the evolution of LTRs by tracing their functional foundations, that is, acquisition of RNAse H, a combined promoter/ polyadenylation site, integrase, hairpin priming and the primer binding site (PBS). Available information did not support a simple evolutionary chain of events.", "author" : [ { "dropping-particle" : "", "family" : "Benachenhou", "given" : "Farid", "non-dropping-particle" : "", "parse-names" : false, "suffix" : "" }, { "dropping-particle" : "", "family" : "Sperber", "given" : "G\u00f6ran", "non-dropping-particle" : "", "parse-names" : false, "suffix" : "" }, { "dropping-particle" : "", "family" : "Bongcam-Rudloff", "given" : "Erik", "non-dropping-particle" : "", "parse-names" : false, "suffix" : "" }, { "dropping-particle" : "", "family" : "Andersson", "given" : "G\u00f6ran", "non-dropping-particle" : "", "parse-names" : false, "suffix" : "" }, { "dropping-particle" : "", "family" : "Boeke", "given" : "Jef", "non-dropping-particle" : "", "parse-names" : false, "suffix" : "" }, { "dropping-particle" : "", "family" : "Blomberg", "given" : "Jonas", "non-dropping-particle" : "", "parse-names" : false, "suffix" : "" } ], "container-title" : "Mobile DNA", "id" : "ITEM-2", "issue" : "5", "issued" : { "date-parts" : [ [ "2013" ] ] }, "note" : "LTRs are difficult to analyse due to their variability.\n\n\nLTR retrotransposons includes retroviruses as well as three other groups:\n1) Pseudoviridae - Copia/Ty1 - plants/fungi/metazoans\n2) Metaviridae - Gypsy/Ty3 - plants/fungi/metazoans\n3) Semotivirus - Bel/Pao - exclusively metazoans\n\n\nTraditionally the relatedness of LTR retortransposons has been studied using the RT domain of pol as it is the most conserved retroelement domain (but not conserved once it becomes endogenous surely)\n\n\nCommon LTR structure was recently found - two unique regions (U5 and U3) and a repetitive (R) region. R and U5 are more conserved, U3 may be more divergent due to application in tissue specificity. \n\n\nAnalysis in this paper could not look at all types of LTR - LTR length is noted as a disruptive factor. As is highly variable sequence.\n\n\nTheir work would suggest that the gypsy/ty3 elements were nested within the retroviruses clade.", "title" : "Conserved structure and inferred evolutionary history of long terminal repeats (LTRs)", "type" : "article-journal", "volume" : "4" }, "uris" : [ "http://www.mendeley.com/documents/?uuid=97cc0e29-2ea9-4133-bab8-bc9c79573e06" ] } ], "mendeley" : { "formattedCitation" : "(Llorens et al. 2008; Benachenhou et al. 2013)", "plainTextFormattedCitation" : "(Llorens et al. 2008; Benachenhou et al. 2013)", "previouslyFormattedCitation" : "(Llorens et al. 2008; Benachenhou et al. 2013)" }, "properties" : { "noteIndex" : 0 }, "schema" : "https://github.com/citation-style-language/schema/raw/master/csl-citation.json" }</w:instrText>
      </w:r>
      <w:r>
        <w:fldChar w:fldCharType="separate"/>
      </w:r>
      <w:r w:rsidRPr="00AF74B2">
        <w:rPr>
          <w:noProof/>
        </w:rPr>
        <w:t>(Llorens et al. 2008; Benachenhou et al. 2013)</w:t>
      </w:r>
      <w:r>
        <w:fldChar w:fldCharType="end"/>
      </w:r>
      <w:r w:rsidR="001E4FBE">
        <w:t>. T</w:t>
      </w:r>
      <w:r w:rsidR="007832C9">
        <w:t xml:space="preserve">he defining feature of all elements in this group is the presence of an </w:t>
      </w:r>
      <w:r w:rsidR="007832C9">
        <w:rPr>
          <w:i/>
        </w:rPr>
        <w:t>env</w:t>
      </w:r>
      <w:r w:rsidR="007832C9">
        <w:t xml:space="preserve"> gene. This enables retroviruses to replicate in a host cell, exit the cell, and then fuse with a target cell and integrate into its genome, propagating horizontally. This has led to examples of cross-species niche expansion, such as the ongoing Koala retrovirus (KoRV) infection which </w:t>
      </w:r>
      <w:r w:rsidR="007832C9">
        <w:lastRenderedPageBreak/>
        <w:t xml:space="preserve">originated from a gibbon gammaretrovirus </w:t>
      </w:r>
      <w:r w:rsidR="007832C9">
        <w:fldChar w:fldCharType="begin" w:fldLock="1"/>
      </w:r>
      <w:r w:rsidR="007832C9">
        <w:instrText>ADDIN CSL_CITATION { "citationItems" : [ { "id" : "ITEM-1", "itemData" : { "DOI" : "10.1038/nature04841", "ISSN" : "1476-4687", "PMID" : "16823453", "abstract" : "Endogenous retroviruses are a common ancestral feature of mammalian genomes with most having been inactivated over time through mutation and deletion. A group of more intact endogenous retroviruses are considered to have entered the genomes of some species more recently, through infection by exogenous viruses, but this event has never been directly proved. We have previously reported koala retrovirus (KoRV) to be a functional virus that is associated with neoplasia. Here we show that KoRV also shows features of a recently inserted endogenous retrovirus that is vertically transmitted. The finding that some isolated koala populations have not yet incorporated KoRV into their genomes, combined with its high level of activity and variability in individual koalas, suggests that KoRV is a virus in transition between an exogenous and endogenous element. This ongoing dynamic interaction with a wild species provides an exciting opportunity to study the process and consequences of retroviral endogenization in action, and is an attractive model for studying the evolutionary event in which a retrovirus invades a mammalian genome.", "author" : [ { "dropping-particle" : "", "family" : "Tarlinton", "given" : "Rachael E", "non-dropping-particle" : "", "parse-names" : false, "suffix" : "" }, { "dropping-particle" : "", "family" : "Meers", "given" : "Joanne", "non-dropping-particle" : "", "parse-names" : false, "suffix" : "" }, { "dropping-particle" : "", "family" : "Young", "given" : "Paul R", "non-dropping-particle" : "", "parse-names" : false, "suffix" : "" } ], "container-title" : "Nature", "id" : "ITEM-1", "issue" : "7098", "issued" : { "date-parts" : [ [ "2006", "7", "6" ] ] }, "note" : "Report evidence for the ongoing endogenisation of KoRV, in the stages before it reaches population fixation. Results reasoned by the differing copy numbers between individuals and the completeness of the sequence - to the point where virus could be produced from the element in culture. Also have found a location correlated prevalence, suggesting initial incorporation in the NE populations, and then gradually spreading S and SW where fixation will eventually occur if all populations are interbreeding.", "page" : "79-81", "title" : "Retroviral invasion of the koala genome.", "type" : "article-journal", "volume" : "442" }, "uris" : [ "http://www.mendeley.com/documents/?uuid=80d0a6f2-e4f6-445b-83f2-ddc132569df4" ] } ], "mendeley" : { "formattedCitation" : "(Tarlinton et al. 2006)", "plainTextFormattedCitation" : "(Tarlinton et al. 2006)", "previouslyFormattedCitation" : "(Tarlinton et al. 2006)" }, "properties" : { "noteIndex" : 0 }, "schema" : "https://github.com/citation-style-language/schema/raw/master/csl-citation.json" }</w:instrText>
      </w:r>
      <w:r w:rsidR="007832C9">
        <w:fldChar w:fldCharType="separate"/>
      </w:r>
      <w:r w:rsidR="007832C9" w:rsidRPr="007832C9">
        <w:rPr>
          <w:noProof/>
        </w:rPr>
        <w:t>(Tarlinton et al. 2006)</w:t>
      </w:r>
      <w:r w:rsidR="007832C9">
        <w:fldChar w:fldCharType="end"/>
      </w:r>
      <w:r w:rsidR="00107648">
        <w:t>, or the mammalian gammaretrovirus REV (reticuloendotheliosis virus) which</w:t>
      </w:r>
      <w:r w:rsidR="001E4FBE">
        <w:t xml:space="preserve"> now</w:t>
      </w:r>
      <w:r w:rsidR="00107648">
        <w:t xml:space="preserve"> infects</w:t>
      </w:r>
      <w:r w:rsidR="00300060">
        <w:t xml:space="preserve"> </w:t>
      </w:r>
      <w:r w:rsidR="00107648">
        <w:t xml:space="preserve">chickens and turkeys </w:t>
      </w:r>
      <w:r w:rsidR="00107648">
        <w:fldChar w:fldCharType="begin" w:fldLock="1"/>
      </w:r>
      <w:r w:rsidR="008D6BA6">
        <w:instrText>ADDIN CSL_CITATION { "citationItems" : [ { "id" : "ITEM-1", "itemData" : { "ISSN" : "0032-5791", "PMID" : "9706091", "abstract" : "Three species of avian retrovirus cause disease in poultry: the avian leukosis/sarcoma virus (ALSV), reticuloendotheliosis virus (REV), and lymphoproliferative disease virus (LPDV) of turkeys. The ALSV can be classified as slowly transforming viruses, which lack a viral oncogene, and acutely transforming viruses, which possess a viral oncogene. Slowly transforming viruses induce late onset leukoses of the B cell lymphoid, erythroid, and myeloid cell lineages, and other tumors, by viral promoter insertion into the genome of a host cell and activation of a cellular protooncogene. The various acutely transforming leukemia and sarcoma viruses induce leukotic or other tumors rapidly and carry one or anther (sometimes two) viral oncogenes, of which some 15 have been identified. The ALSV fall into six envelope subgroups, A through E, and the recently recognized J subgroup, which induces myeloid leukosis. With the exception of Subgroup E viruses, these viruses spread vertically and horizontally as infectious virions, and are termed exogenous viruses. Subgroup E viruses are usually spread genetically as DNA proviruses (often defective) in host germ cell genome, and are termed endogenous viruses. Several other families of endogenous viruses also exist, one of which, endogenous avian retrovirus (EAV), is related to Subgroup J ALV. Exogenous viruses, and sometimes endogenous viruses, can have detrimental effects on commercially important production traits. Exogenous viruses are currently controlled by virus eradication schemes. Reticuloendotheliosis virus, which lacks a viral oncogene, causes chronic B cell and T-cell lymphomas in chickens, and also chronic lymphomas in turkeys and other species of birds. An acutely transforming variant of REV, Strain T, carries a viral oncogene, and induces reticuloendotheliosis within a few days. In chickens and turkeys, REV spreads vertically and horizontally. No commercial control schemes are operated. In turkeys, LPDV infection has occurred in several countries, where it caused a lymphoproliferative disease of uncertain nature.", "author" : [ { "dropping-particle" : "", "family" : "Payne", "given" : "L N", "non-dropping-particle" : "", "parse-names" : false, "suffix" : "" } ], "container-title" : "Poultry science", "id" : "ITEM-1", "issue" : "8", "issued" : { "date-parts" : [ [ "1998", "8" ] ] }, "note" : "General information of diseases caused by retroviruses. States that ALV subgroups are divided by envelope properties \u2013 nucl seq of the env gene and aa seq of the SU (gp85) protein \u2013 defines the receptor needed for mediated endocytosis. \nALV-E loci do not induce tumours due to weak promoter enhancement by the LTRs.", "page" : "1204-12", "title" : "Retrovirus-induced disease in poultry.", "type" : "article-journal", "volume" : "77" }, "uris" : [ "http://www.mendeley.com/documents/?uuid=dbcb9815-f64c-4637-8b5e-be89346c2589" ] } ], "mendeley" : { "formattedCitation" : "(Payne 1998)", "plainTextFormattedCitation" : "(Payne 1998)", "previouslyFormattedCitation" : "(Payne 1998)" }, "properties" : { "noteIndex" : 0 }, "schema" : "https://github.com/citation-style-language/schema/raw/master/csl-citation.json" }</w:instrText>
      </w:r>
      <w:r w:rsidR="00107648">
        <w:fldChar w:fldCharType="separate"/>
      </w:r>
      <w:r w:rsidR="00107648" w:rsidRPr="00107648">
        <w:rPr>
          <w:noProof/>
        </w:rPr>
        <w:t>(Payne 1998)</w:t>
      </w:r>
      <w:r w:rsidR="00107648">
        <w:fldChar w:fldCharType="end"/>
      </w:r>
      <w:r w:rsidR="007832C9">
        <w:t xml:space="preserve">. </w:t>
      </w:r>
    </w:p>
    <w:p w14:paraId="026D5FBE" w14:textId="4499DB94" w:rsidR="007465FF" w:rsidRDefault="007832C9" w:rsidP="00391005">
      <w:pPr>
        <w:pStyle w:val="ListParagraph"/>
      </w:pPr>
      <w:r>
        <w:t>Importantly, as retroviruses still integrate into the host genome, if integration occurs within the germline the retrovirus sequence will become part of the</w:t>
      </w:r>
      <w:r w:rsidR="00107648">
        <w:t xml:space="preserve"> inherited</w:t>
      </w:r>
      <w:r>
        <w:t xml:space="preserve"> genome, and have an intracellular lifecycle functionally indistinguishable from other LTR retrotransposons </w:t>
      </w:r>
      <w:r w:rsidR="007465FF">
        <w:fldChar w:fldCharType="begin" w:fldLock="1"/>
      </w:r>
      <w:r w:rsidR="00C94DBA">
        <w:instrText>ADDIN CSL_CITATION { "citationItems" : [ { "id" : "ITEM-1", "itemData" : { "DOI" : "10.1073/pnas.1200913109", "ISSN" : "1091-6490", "PMID" : "22529376", "abstract" : "Endogenous retroviruses (ERVs) differ from typical retroviruses in being inherited through the host germline and therefore are a unique combination of pathogen and selfish genetic element. Some ERV lineages proliferate by infecting germline cells, as do typical retroviruses, whereas others lack the env gene required for virions to enter cells and thus behave like retrotransposons. We wished to know what factors determined the relative abundance of different ERV lineages, so we analyzed ERV loci recovered from 38 mammal genomes by in silico screening. By modeling the relationship between proliferation and replication mechanism in detail within one group, the intracisternal A-type particles (IAPs), and performing simple correlations across all ERV lineages, we show that when ERVs lose the env gene their proliferation within that genome is boosted by a factor of \u223c30. We also show that ERV abundance follows the Pareto principle or 20/80 rule, with \u223c20% of lineages containing 80% of the loci. This rule is observed in many biological systems, including infectious disease epidemics, where commonly \u223c20% of the infected individuals are responsible for 80% of onward infection. We thus borrow simple epidemiological and ecological models and show that retrotransposition and loss of env is the trait that leads endogenous retroviruses to becoming genomic superspreaders that take over a significant proportion of their host's genome.", "author" : [ { "dropping-particle" : "", "family" : "Magiorkinis", "given" : "Gkikas", "non-dropping-particle" : "", "parse-names" : false, "suffix" : "" }, { "dropping-particle" : "", "family" : "Gifford", "given" : "Robert J", "non-dropping-particle" : "", "parse-names" : false, "suffix" : "" }, { "dropping-particle" : "", "family" : "Katzourakis", "given" : "Aris", "non-dropping-particle" : "", "parse-names" : false, "suffix" : "" }, { "dropping-particle" : "", "family" : "Ranter", "given" : "Joris", "non-dropping-particle" : "De", "parse-names" : false, "suffix" : "" }, { "dropping-particle" : "", "family" : "Belshaw", "given" : "Robert", "non-dropping-particle" : "", "parse-names" : false, "suffix" : "" } ], "container-title" : "Proceedings of the National Academy of Sciences of the United States of America", "id" : "ITEM-1", "issue" : "19", "issued" : { "date-parts" : [ [ "2012", "5", "8" ] ] }, "note" : "Authors show that when ERVs lose their env gene (limiting their presence to just that cell - looking at 38 mammal genomes) their proliferation within the genome increases by a factor of 30. Alos show that ERV abundance follows the 'Pareto principle' of 20/80, where 20% of lineages account for 80% of the loci - this is a similar phenomonen as seen in disease models where 20% of individuals infect 80% of the onward infection. This rule seems to apply sequentially through families as well (20% of families account for 80% of loci, and then 20% of the family members account for 80% of the member loci etc). Suggest therefore that loss of env allows ERVs to become genomic superspreaders...\n\n\n\nBUT - they say that when a virus has the ability to infect other cells its transposition potential is reduced within that cell. Is it really a fair comparison? The abstract and title are suggestive of the loss of the env gene allowing the element to increase spreading ability. The mode has changed...so is it a fair comparison? They also only look at certain types, and results will be confounded by copy number, prevalence and original site of insertion.\n\n\n\nHowever, the authors report a trait relationship - those that have lost the majority of the env gene will spread more than those that have only lost a portion - this will ultimately depend on what has been lost I guess. If it can still perform the function missing certain areas then this is not so weird. Unsurprisingly they report that the change is unidirectional - although there would be the possibility of recombination back with a more complete sequence - although, as stated below, this does appear to be rare in ERVs.\n\n\nWhen ERVs are replication is solely intracellular they are FUNCTIONALLY INDISTINGUISHABLE from LTR retrotransposons. \nComplementation of the env gene in env-defective ERVs does not seem common - even physically linked loci of the same family do not appear to exhibit this effect. In invertebrates there are multiple examples of this - Malik et al (2000)\n\n\nenv degradation is not linked to just locus age: other genes are not so extensively degraded (but then selection isn't on the env as much if it can still alter physiology [even if it is local] and replicate - the selection is on the replication stage hence the high rt conservation). Data suggests that env integrity is negatively associated with expansion (P&amp;lt;0.01), but expansion is not correlated with the other genes. \n\n\nAuthors point out at the end that env degradation and loss appears to be a consequence of retrotransposition, rather than a cause - despite their suggestive wording at the start.", "page" : "7385-90", "title" : "Env-less endogenous retroviruses are genomic superspreaders.", "type" : "article-journal", "volume" : "109" }, "uris" : [ "http://www.mendeley.com/documents/?uuid=98e08121-a169-4d61-87b3-1f08c112a636" ] } ], "mendeley" : { "formattedCitation" : "(Magiorkinis et al. 2012)", "plainTextFormattedCitation" : "(Magiorkinis et al. 2012)", "previouslyFormattedCitation" : "(Magiorkinis et al. 2012)" }, "properties" : { "noteIndex" : 0 }, "schema" : "https://github.com/citation-style-language/schema/raw/master/csl-citation.json" }</w:instrText>
      </w:r>
      <w:r w:rsidR="007465FF">
        <w:fldChar w:fldCharType="separate"/>
      </w:r>
      <w:r w:rsidR="007465FF" w:rsidRPr="007465FF">
        <w:rPr>
          <w:noProof/>
        </w:rPr>
        <w:t>(Magiorkinis et al. 2012)</w:t>
      </w:r>
      <w:r w:rsidR="007465FF">
        <w:fldChar w:fldCharType="end"/>
      </w:r>
      <w:r>
        <w:t xml:space="preserve">. These endogenous retroviruses (ERVs) are very common across vertebrates, </w:t>
      </w:r>
      <w:r w:rsidR="007465FF">
        <w:t>although this ‘fossil record’ of retroviral integrations is very uneven. Endogenous lentiviruses were first identified in 2007 in the European rabbit (</w:t>
      </w:r>
      <w:r w:rsidR="007465FF">
        <w:rPr>
          <w:i/>
        </w:rPr>
        <w:t>Oryctolagus cuniculus</w:t>
      </w:r>
      <w:r w:rsidR="007465FF">
        <w:t xml:space="preserve">) and have since been identified in two lemur species </w:t>
      </w:r>
      <w:r w:rsidR="007465FF">
        <w:fldChar w:fldCharType="begin" w:fldLock="1"/>
      </w:r>
      <w:r w:rsidR="007465FF">
        <w:instrText>ADDIN CSL_CITATION { "citationItems" : [ { "id" : "ITEM-1", "itemData" : { "DOI" : "10.1073/pnas.0700471104", "ISSN" : "0027-8424", "PMID" : "17384150", "abstract" : "The lentiviruses are associated with a wide range of chronic diseases in mammals. These include immunodeficiencies (such as HIV/AIDS in humans), malignancies, and lymphatic and neurological disorders in primates, felids, and a variety of wild and domesticated ungulates. Evolutionary analyses of the genomic sequences of modern-day lentiviruses have suggested a relatively recent date for their emergence, but the failure to identify any endogenous, vertically transmitted examples has meant that their longer term evolutionary history and origin remain unknown. Here we report the discovery and characterization of retroviral sequences belonging to a new lentiviral subgroup from the European rabbit (Oryctolagus cuniculus). These viruses, the first endogenous examples described, are &gt;7 million years old and thus provide the first evidence for an ancient origin of the lentiviruses. Despite being ancient, this subgroup contains many of the features found in present-day lentiviruses, such as the presence of tat and rev genes, thus also indicating an ancient origin for the complex regulation of lentivirus gene expression. Although the virus we describe is defective, reconstruction of an infectious progenitor could provide novel insights into lentivirus biology and host interactions.", "author" : [ { "dropping-particle" : "", "family" : "Katzourakis", "given" : "Aris", "non-dropping-particle" : "", "parse-names" : false, "suffix" : "" }, { "dropping-particle" : "", "family" : "Tristem", "given" : "Michael", "non-dropping-particle" : "", "parse-names" : false, "suffix" : "" }, { "dropping-particle" : "", "family" : "Pybus", "given" : "Oliver G", "non-dropping-particle" : "", "parse-names" : false, "suffix" : "" }, { "dropping-particle" : "", "family" : "Gifford", "given" : "Robert J", "non-dropping-particle" : "", "parse-names" : false, "suffix" : "" } ], "container-title" : "Proceedings of the National Academy of Sciences of the United States of America", "id" : "ITEM-1", "issue" : "15", "issued" : { "date-parts" : [ [ "2007", "4", "10" ] ] }, "page" : "6261-5", "title" : "Discovery and analysis of the first endogenous lentivirus.", "type" : "article-journal", "volume" : "104" }, "uris" : [ "http://www.mendeley.com/documents/?uuid=5345a3ce-f3af-431c-a1d8-43cb7a5531f5" ] }, { "id" : "ITEM-2", "itemData" : { "DOI" : "10.1371/journal.pgen.1000425", "ISSN" : "1553-7404", "PMID" : "19300488", "abstract" : "Retroviruses normally infect the somatic cells of their host and are transmitted horizontally, i.e., in an exogenous way. Occasionally, however, some retroviruses can also infect and integrate into the genome of germ cells, which may allow for their vertical inheritance and fixation in a given species; a process known as endogenization. Lentiviruses, a group of mammalian retroviruses that includes HIV, are known to infect primates, ruminants, horses, and cats. Unlike many other retroviruses, these viruses have not been demonstrably successful at germline infiltration. Here, we report on the discovery of endogenous lentiviral insertions in seven species of Malagasy lemurs from two different genera -- Cheirogaleus and Microcebus. Combining molecular clock analyses and cross-species screening of orthologous insertions, we show that the presence of this endogenous lentivirus in six species of Microcebus is the result of one endogenization event that occurred about 4.2 million years ago. In addition, we demonstrate that this lentivirus independently infiltrated the germline of Cheirogaleus and that the two endogenization events occurred quasi-simultaneously. Using multiple proviral copies, we derive and characterize an apparently full length and intact consensus for this lentivirus. These results provide evidence that lentiviruses have repeatedly infiltrated the germline of prosimian species and that primates have been exposed to lentiviruses for a much longer time than what can be inferred based on sequence comparison of circulating lentiviruses. The study sets the stage for an unprecedented opportunity to reconstruct an ancestral primate lentivirus and thereby advance our knowledge of host-virus interactions.", "author" : [ { "dropping-particle" : "", "family" : "Gilbert", "given" : "Cl\u00e9ment", "non-dropping-particle" : "", "parse-names" : false, "suffix" : "" }, { "dropping-particle" : "", "family" : "Maxfield", "given" : "David G", "non-dropping-particle" : "", "parse-names" : false, "suffix" : "" }, { "dropping-particle" : "", "family" : "Goodman", "given" : "Steven M", "non-dropping-particle" : "", "parse-names" : false, "suffix" : "" }, { "dropping-particle" : "", "family" : "Feschotte", "given" : "C\u00e9dric", "non-dropping-particle" : "", "parse-names" : false, "suffix" : "" } ], "container-title" : "PLoS genetics", "id" : "ITEM-2", "issue" : "3", "issued" : { "date-parts" : [ [ "2009", "3" ] ] }, "page" : "e1000425", "title" : "Parallel germline infiltration of a lentivirus in two Malagasy lemurs.", "type" : "article-journal", "volume" : "5" }, "uris" : [ "http://www.mendeley.com/documents/?uuid=3d5ce3a1-fbae-49b9-9e77-d6bb0b2ab120" ] } ], "mendeley" : { "formattedCitation" : "(Katzourakis et al. 2007; Gilbert et al. 2009)", "plainTextFormattedCitation" : "(Katzourakis et al. 2007; Gilbert et al. 2009)", "previouslyFormattedCitation" : "(Katzourakis et al. 2007; Gilbert et al. 2009)" }, "properties" : { "noteIndex" : 0 }, "schema" : "https://github.com/citation-style-language/schema/raw/master/csl-citation.json" }</w:instrText>
      </w:r>
      <w:r w:rsidR="007465FF">
        <w:fldChar w:fldCharType="separate"/>
      </w:r>
      <w:r w:rsidR="007465FF" w:rsidRPr="007832C9">
        <w:rPr>
          <w:noProof/>
        </w:rPr>
        <w:t>(Katzourakis et al. 2007; Gilbert et al. 2009)</w:t>
      </w:r>
      <w:r w:rsidR="007465FF">
        <w:fldChar w:fldCharType="end"/>
      </w:r>
      <w:r w:rsidR="007465FF">
        <w:t>, and an endogenous deltaretrovirus was discovered for the first time earlier this year in the Natal long fingered bat (</w:t>
      </w:r>
      <w:r w:rsidR="007465FF">
        <w:rPr>
          <w:i/>
        </w:rPr>
        <w:t>Miniopterus natalensis</w:t>
      </w:r>
      <w:r w:rsidR="007465FF">
        <w:t xml:space="preserve">) </w:t>
      </w:r>
      <w:r w:rsidR="007465FF">
        <w:fldChar w:fldCharType="begin" w:fldLock="1"/>
      </w:r>
      <w:r w:rsidR="007465FF">
        <w:instrText>ADDIN CSL_CITATION { "citationItems" : [ { "id" : "ITEM-1", "itemData" : { "DOI" : "10.1073/pnas.1621224114", "ISSN" : "0027-8424", "PMID" : "28280099", "abstract" : "Retroviruses can create endogenous forms on infiltration into the germline cells of their hosts. These forms are then vertically transmitted and can be considered as genetic fossils of ancient viruses. All retrovirus genera, with the exception of deltaretroviruses, have had their representation identified in the host genome as a virus fossil record. Here we describe an endogenous Deltaretrovirus, identified in the germline of long-fingered bats (Miniopteridae). A single, heavily deleted copy of this retrovirus has been found in the genome of miniopterid species, but not in the genomes of the phylogenetically closest bat families, Vespertilionidae and Cistugonidae. Therefore, the endogenization occurred in a time interval between 20 and 45 million years ago. This discovery closes the last major gap in the retroviral fossil record and provides important insights into the history of deltaretroviruses in mammals.", "author" : [ { "dropping-particle" : "", "family" : "Farka\u0161ov\u00e1", "given" : "Helena", "non-dropping-particle" : "", "parse-names" : false, "suffix" : "" }, { "dropping-particle" : "", "family" : "Hron", "given" : "Tom\u00e1\u0161", "non-dropping-particle" : "", "parse-names" : false, "suffix" : "" }, { "dropping-particle" : "", "family" : "Pa\u010des", "given" : "Jan", "non-dropping-particle" : "", "parse-names" : false, "suffix" : "" }, { "dropping-particle" : "", "family" : "Hulva", "given" : "Pavel", "non-dropping-particle" : "", "parse-names" : false, "suffix" : "" }, { "dropping-particle" : "", "family" : "Benda", "given" : "Petr", "non-dropping-particle" : "", "parse-names" : false, "suffix" : "" }, { "dropping-particle" : "", "family" : "Gifford", "given" : "Robert James", "non-dropping-particle" : "", "parse-names" : false, "suffix" : "" }, { "dropping-particle" : "", "family" : "Elleder", "given" : "Daniel", "non-dropping-particle" : "", "parse-names" : false, "suffix" : "" } ], "container-title" : "Proceedings of the National Academy of Sciences", "id" : "ITEM-1", "issue" : "12", "issued" : { "date-parts" : [ [ "2017" ] ] }, "page" : "3145-3150", "title" : "Discovery of an endogenous Deltaretrovirus in the genome of long-fingered bats (Chiroptera: Miniopteridae)", "type" : "article-journal", "volume" : "114" }, "uris" : [ "http://www.mendeley.com/documents/?uuid=41d486b7-2657-4f1f-a89b-c824c10a9117" ] } ], "mendeley" : { "formattedCitation" : "(Farka\u0161ov\u00e1 et al. 2017)", "plainTextFormattedCitation" : "(Farka\u0161ov\u00e1 et al. 2017)", "previouslyFormattedCitation" : "(Farka\u0161ov\u00e1 et al. 2017)" }, "properties" : { "noteIndex" : 0 }, "schema" : "https://github.com/citation-style-language/schema/raw/master/csl-citation.json" }</w:instrText>
      </w:r>
      <w:r w:rsidR="007465FF">
        <w:fldChar w:fldCharType="separate"/>
      </w:r>
      <w:r w:rsidR="007465FF" w:rsidRPr="007465FF">
        <w:rPr>
          <w:noProof/>
        </w:rPr>
        <w:t>(Farkašová et al. 2017)</w:t>
      </w:r>
      <w:r w:rsidR="007465FF">
        <w:fldChar w:fldCharType="end"/>
      </w:r>
      <w:r w:rsidR="007465FF">
        <w:t>.</w:t>
      </w:r>
      <w:r w:rsidR="000B2269">
        <w:t xml:space="preserve"> Limited identification </w:t>
      </w:r>
      <w:r w:rsidR="001E4FBE">
        <w:t xml:space="preserve">of some groups </w:t>
      </w:r>
      <w:r w:rsidR="000B2269">
        <w:t>is due to a combination of retrovirus propensity for infecting germline cells,</w:t>
      </w:r>
      <w:r w:rsidR="00F3331E">
        <w:t xml:space="preserve"> the likelihood of recent</w:t>
      </w:r>
      <w:r w:rsidR="000B2269">
        <w:t xml:space="preserve"> infection (enabling identification)</w:t>
      </w:r>
      <w:r w:rsidR="001E4FBE">
        <w:t>,</w:t>
      </w:r>
      <w:r w:rsidR="000B2269">
        <w:t xml:space="preserve"> and the analysis of appropriate genomes. A limited number of different endogenous alpharetroviruses have been described as they are limited to avian genomes having evolved from avian betaretroviruses </w:t>
      </w:r>
      <w:r w:rsidR="000B2269">
        <w:fldChar w:fldCharType="begin" w:fldLock="1"/>
      </w:r>
      <w:r w:rsidR="00B4280F">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rsidR="000B2269">
        <w:fldChar w:fldCharType="separate"/>
      </w:r>
      <w:r w:rsidR="000B2269" w:rsidRPr="000B2269">
        <w:rPr>
          <w:noProof/>
        </w:rPr>
        <w:t>(Bolisetty et al. 2012)</w:t>
      </w:r>
      <w:r w:rsidR="000B2269">
        <w:fldChar w:fldCharType="end"/>
      </w:r>
      <w:r w:rsidR="000B2269">
        <w:t xml:space="preserve">. </w:t>
      </w:r>
      <w:r w:rsidR="00B4280F">
        <w:t>In addition, endogenization events are rare, with most ERV genomic copy number variants (CNVs) due to intracellular retrotransposition following the initial</w:t>
      </w:r>
      <w:r w:rsidR="001E4FBE">
        <w:t xml:space="preserve"> integration</w:t>
      </w:r>
      <w:r w:rsidR="00B4280F">
        <w:t xml:space="preserve"> event </w:t>
      </w:r>
      <w:r w:rsidR="00B4280F">
        <w:fldChar w:fldCharType="begin" w:fldLock="1"/>
      </w:r>
      <w:r w:rsidR="00A84D6A">
        <w:instrText>ADDIN CSL_CITATION { "citationItems" : [ { "id" : "ITEM-1", "itemData" : { "ISSN" : "0959-437X", "PMID" : "11088016", "abstract" : "The human genome is rife with the proviral remains of many ancient retroviruses. The past year has seen significant progress in understanding the structure, distribution and potential function of many of these elements. Although hypotheses concerning the potential effects of these elements are common, however, incisive experiments to test any functions remain much less so.", "author" : [ { "dropping-particle" : "", "family" : "Bock", "given" : "M", "non-dropping-particle" : "", "parse-names" : false, "suffix" : "" }, { "dropping-particle" : "", "family" : "Stoye", "given" : "J P", "non-dropping-particle" : "", "parse-names" : false, "suffix" : "" } ], "container-title" : "Current opinion in genetics &amp; development", "id" : "ITEM-1", "issue" : "6", "issued" : { "date-parts" : [ [ "2000", "12" ] ] }, "note" : "Read - generally not that useful. \n\n        \nPhylogenetic analysis:\n- random and stable nature of integration means that a provirus locus at any one site found in two or more related speies is indicative of common ancestry", "page" : "651-5", "title" : "Endogenous retroviruses and the human germline.", "type" : "article-journal", "volume" : "10" }, "uris" : [ "http://www.mendeley.com/documents/?uuid=3256be8f-ce36-4895-a594-6a328052de00" ] }, { "id" : "ITEM-2", "itemData" : { "DOI" : "10.1016/j.tim.2005.08.004", "ISSN" : "0966-842X", "PMID" : "16109487", "abstract" : "Endogenous retroviruses (ERVs) are vertically transmitted intragenomic elements derived from integrated retroviruses. ERVs can proliferate within the genome of their host until they either acquire inactivating mutations or are lost by recombinational deletion. We present a model that unifies current knowledge of ERV biology into a single evolutionary framework. The model predicts the possible long-term outcomes of retroviral germline infection and can account for the variable patterns of observed ERV genetic diversity. We hope the model will provide a useful framework for understanding ERV evolution, enabling the testing of evolutionary hypotheses and the estimation of parameters governing ERV proliferation.", "author" : [ { "dropping-particle" : "", "family" : "Katzourakis", "given" : "Aris", "non-dropping-particle" : "", "parse-names" : false, "suffix" : "" }, { "dropping-particle" : "", "family" : "Rambaut", "given" : "Andrew", "non-dropping-particle" : "", "parse-names" : false, "suffix" : "" }, { "dropping-particle" : "", "family" : "Pybus", "given" : "Oliver G", "non-dropping-particle" : "", "parse-names" : false, "suffix" : "" } ], "container-title" : "Trends in microbiology", "id" : "ITEM-2", "issue" : "10", "issued" : { "date-parts" : [ [ "2005", "10" ] ] }, "note" : "Size and shape of phylogenies are a result of the evolutionary processes involved. Phylogenies can then be used to propose ideas on the evolutionary dynamics.\n\n        \nERV proliferation:\n- intracellular retrotransposition by cis (virus supplies all necessary proteins for replication) or trans (defective viruses are complemented by proteins from other viral elements)\n- env-capable elements may form exogenous particles and re-infect other germ line cells\n\n        \nIt is possible to distinguish between these by searching for purifying selection across the viral ORFs. Reinfection requires all three ORFs, retrotransposition in cis requires gag and pol, retrotransposition in trans requires a complete promoter in the LTR and other motifs for viral packaging and expression (but does not require any functional viral ORFs). \n\n        \nMajority of HERVs appear to have proliferated by reinfection, but some have retrotransposed and these are of greater copy number. \n85% of HERV sequences are solo LTRs.\n\n        \nDeterministic modelling of ERV phylogenies is important for understanding the long term fates of lineages. In the extreme either a family will indefinitely increase in size (but this will elicit strong selection for host response) or all members will become inactive and gradually degrade, effectively removing themselves from the genome through time. This latter option means that observable large genome families now may by evolutionary dead ends already marked for extinction. Rescue mutations are very rare.\n\n        \nStcohastic modelling is much more important for short term phylogenies and when the number of ERV elements in a family is particularly small. Lineage probability events such as those described are similar to methods used when trying to predict speciation/extinction rates in macro-evolutionary studies. \n\n        \nHost defence mechanisms: \nCell entry - receptor gene mutations, competitive inhibitors of viral entry through receptors\nPost entry - methylation, host-encoded inhibitors (interact with viral capsid before genome integration), post-entry restriction factors (some of these are ERV derived)\n\n        \n\n      ", "page" : "463-8", "title" : "The evolutionary dynamics of endogenous retroviruses.", "type" : "article-journal", "volume" : "13" }, "uris" : [ "http://www.mendeley.com/documents/?uuid=87cfb5a3-e18f-4744-9cae-5c28b489dfe8" ] } ], "mendeley" : { "formattedCitation" : "(Bock &amp; Stoye 2000; Katzourakis et al. 2005)", "plainTextFormattedCitation" : "(Bock &amp; Stoye 2000; Katzourakis et al. 2005)", "previouslyFormattedCitation" : "(Bock &amp; Stoye 2000; Katzourakis et al. 2005)" }, "properties" : { "noteIndex" : 0 }, "schema" : "https://github.com/citation-style-language/schema/raw/master/csl-citation.json" }</w:instrText>
      </w:r>
      <w:r w:rsidR="00B4280F">
        <w:fldChar w:fldCharType="separate"/>
      </w:r>
      <w:r w:rsidR="00B4280F" w:rsidRPr="00B4280F">
        <w:rPr>
          <w:noProof/>
        </w:rPr>
        <w:t>(Bock &amp; Stoye 2000; Katzourakis et al. 2005)</w:t>
      </w:r>
      <w:r w:rsidR="00B4280F">
        <w:fldChar w:fldCharType="end"/>
      </w:r>
      <w:r w:rsidR="00B4280F">
        <w:t>. Consequently, if novel ERVs are either degraded on arrival</w:t>
      </w:r>
      <w:r w:rsidR="001E4FBE">
        <w:t>,</w:t>
      </w:r>
      <w:r w:rsidR="00B4280F">
        <w:t xml:space="preserve"> or before retrotransposition occurs</w:t>
      </w:r>
      <w:r w:rsidR="001E4FBE">
        <w:t>,</w:t>
      </w:r>
      <w:r w:rsidR="00B4280F">
        <w:t xml:space="preserve"> they are unlikely to be well represented in a genome.</w:t>
      </w:r>
    </w:p>
    <w:p w14:paraId="41481CF6" w14:textId="5C3D2EEF" w:rsidR="00532C38" w:rsidRDefault="00A84D6A" w:rsidP="00391005">
      <w:pPr>
        <w:pStyle w:val="ListParagraph"/>
      </w:pPr>
      <w:r>
        <w:t>As most LTR retrotransposons are solely intracellular elements, ERVs pose unique challenges for host cells. Novel infections without vertical inheritance enable exogenous retroviruses to evolve at rates up to six orders of magnitude faster than in vertebrate genomes, as well as horizontally introduce novel accessory genes (including detrimental oncogenes or beneficial additio</w:t>
      </w:r>
      <w:r w:rsidR="00300060">
        <w:t>ns) from other vertebrate hosts and</w:t>
      </w:r>
      <w:r>
        <w:t xml:space="preserve"> their parasites, or other viruses. Persistent infection also means that there are young, structurally intact genomic integrations, in locations potentially detrimental to the host</w:t>
      </w:r>
      <w:r w:rsidR="00107648">
        <w:t>,</w:t>
      </w:r>
      <w:r>
        <w:t xml:space="preserve"> as there has been insufficient t</w:t>
      </w:r>
      <w:r w:rsidR="0060401E">
        <w:t xml:space="preserve">ime for removal by selection, </w:t>
      </w:r>
      <w:r>
        <w:t>epigenetic silencing</w:t>
      </w:r>
      <w:r w:rsidR="0060401E">
        <w:t xml:space="preserve"> or natural decay</w:t>
      </w:r>
      <w:r>
        <w:t xml:space="preserve"> </w:t>
      </w:r>
      <w:r>
        <w:fldChar w:fldCharType="begin" w:fldLock="1"/>
      </w:r>
      <w:r w:rsidR="00300060">
        <w:instrText>ADDIN CSL_CITATION { "citationItems" : [ { "id" : "ITEM-1", "itemData" : { "author" : [ { "dropping-particle" : "", "family" : "Doolittle", "given" : "RF", "non-dropping-particle" : "", "parse-names" : false, "suffix" : "" }, { "dropping-particle" : "", "family" : "Feng", "given" : "DF", "non-dropping-particle" : "", "parse-names" : false, "suffix" : "" } ], "container-title" : "Quarterly Review of \u2026", "id" : "ITEM-1", "issue" : "1", "issued" : { "date-parts" : [ [ "1989" ] ] }, "page" : "1-30", "title" : "Origins and evolutionary relationships of retroviruses", "type" : "article-journal", "volume" : "64" }, "uris" : [ "http://www.mendeley.com/documents/?uuid=a84cf49f-9791-477a-802a-9569d172cbee" ] }, { "id" : "ITEM-2", "itemData" : { "ISSN" : "0960-9822", "PMID" : "11719237", "abstract" : "Embedded in the genomes of all vertebrates are the proviral remnants of previous retroviral infections. Although the overwhelming majority has suffered inactivating mutations, current research suggests that members of one family of human retroelements may still be capable of movement.", "author" : [ { "dropping-particle" : "", "family" : "Stoye", "given" : "J P", "non-dropping-particle" : "", "parse-names" : false, "suffix" : "" } ], "container-title" : "Current biology : CB", "id" : "ITEM-2", "issue" : "22", "issued" : { "date-parts" : [ [ "2001", "11", "13" ] ] }, "note" : "Most species have a few proviruses with replicative potential - a handful of these are associated with spontaneous tumour growth. Humans are believed to be an exception, with no active proviruses. \n\n        \nEach ERV group (a group being defined as an insertion sequence and its &amp;#039;progeny&amp;#039;) undergoes amplification independently - full length proviruses are 10-100x less frequent than solo LTRs. \n\n        \nHERVs include:\ntype 1 - gammaretroviruses\ntype 2 - betaretroviruses\ntype 3 - spuma retroviruses\n\n        \nERVs show a &amp;#039;significant tendency&amp;#039; to recombine:\n- homologous recombination between LTRs resulting in solo LTRs\n- recombination between two different proviruses leading to deletions or substantial rearrangements of cellular host DNA\n- recombination between the 3&amp;#039; and 5&amp;#039; LTRs of allelic proviruses resulting in tandemly duplicated provirus\n- gene conversion events\n\n        \nThere is no mechanism for the precise excision of a provirus. ", "page" : "R914-6", "title" : "Endogenous retroviruses: still active after all these years?", "type" : "article-journal", "volume" : "11" }, "uris" : [ "http://www.mendeley.com/documents/?uuid=e77bc578-d4dc-4f02-a2ab-60ae67d49bf7" ] }, { "id" : "ITEM-3", "itemData" : { "DOI" : "10.1016/j.gene.2006.07.032", "ISSN" : "0378-1119", "PMID" : "16987613", "abstract" : "It has been hypothesized that phenotypic variation in mammals could in part be due to incomplete and variable silencing of retrotransposons in somatic cells. This theory is based on the fact that some recent endogenous retroviral (ERV) insertions in the mouse exert variable effects on genes in isogenic animals, depending on the variable state of ERV methylation. In this article, we review the evidence for this and related phenomena and suggest that such stochastic epigenetic silencing is restricted to very recent insertions. We also present a model to explain the acquisition of a more stable epigenetic state for transposable element insertions through time.", "author" : [ { "dropping-particle" : "", "family" : "Reiss", "given" : "Daphne", "non-dropping-particle" : "", "parse-names" : false, "suffix" : "" }, { "dropping-particle" : "", "family" : "Mager", "given" : "Dixie L", "non-dropping-particle" : "", "parse-names" : false, "suffix" : "" } ], "container-title" : "Gene", "id" : "ITEM-3", "issue" : "1-2", "issued" : { "date-parts" : [ [ "2007", "4", "1" ] ] }, "note" : "Mice studies - ERVs near genes or in introns can have very variable impacts on phenotype depending on the methylation status of the insert. Similar correlations seen with Arabidopsis and in human. \n\n        \nAlleles with variable expressivity as a result of their epigenetic state are called metastable eipalleles. Establishment of the epigenetic state is stochastic and derived during early development. These have mainly been described in plants, but also in other models. \n\n        \nTEs are silenced by DNA methylation and other epigenetic modifications such as histone modification. Potential for epigenetic state of TEs to be very labile (liable to change / easily altered) - how is it stochastic? Huge numbers of TEs in mammalian genomes - &amp;quot;nearly all genes have such sequences in their introns or immediate vicinity&amp;quot;.\n\n        \nTE hypervariable epigenetic state seen only with recent insertions. Older insertions appear to have steady epigenetic state.\n\n        \nPotential that stochasticity in new insertions is due to conflicting cis and trans forces. It has been shown that epigenetic stability is a multi step process - it takes time to develop stability. This time is dependent on population dynamics (such as Ne), time since insertion, the length of the insert, location in reference to genes, selective disadvantage/other, etc etc. Selection will act both on the DNA and on the epigenetic state.\n\n        \n\n      ", "page" : "130-5", "title" : "Stochastic epigenetic silencing of retrotransposons: does stability come with age?", "type" : "article-journal", "volume" : "390" }, "uris" : [ "http://www.mendeley.com/documents/?uuid=abb3594e-f04a-40ba-a7e7-ae291b6bdfc0" ] }, { "id" : "ITEM-4", "itemData" : { "DOI" : "10.1016/j.bbagrm.2011.04.001", "ISSN" : "0006-3002", "PMID" : "21514406", "abstract" : "Despite their abundance in the genome, transposable elements (TEs) and their derivatives are major targets of epigenetic silencing mechanisms, which restrain TE mobility at different stages of the life cycle. DNA methylation, post-translational modification of histone tails and small RNA-based pathways contribute to maintain TE silencing; however, some of these epigenetic marks are tightly interwoven and this complicates the delineation of the exact contribution of each in TE silencing. Recent studies have confirmed that host genomes have evolved versatility in the use of these mechanisms to individualize silencing of particular TEs. These studies also revealed that silencing of TEs is much more dynamic than had been previously thought and can be reversed on the genomic scale in particular cell types or under special environmental conditions. This article is part of a Special Issue entitled \"Epigenetic control of cellular and developmental processes in plants\".", "author" : [ { "dropping-particle" : "", "family" : "Rigal", "given" : "M\u00e9lanie", "non-dropping-particle" : "", "parse-names" : false, "suffix" : "" }, { "dropping-particle" : "", "family" : "Mathieu", "given" : "Olivier", "non-dropping-particle" : "", "parse-names" : false, "suffix" : "" } ], "container-title" : "Biochimica et biophysica acta", "id" : "ITEM-4", "issue" : "8", "issued" : { "date-parts" : [ [ "2011", "8" ] ] }, "page" : "452-8", "publisher" : "Elsevier B.V.", "title" : "A \"mille-feuille\" of silencing: epigenetic control of transposable elements.", "type" : "article-journal", "volume" : "1809" }, "uris" : [ "http://www.mendeley.com/documents/?uuid=fdfd1846-b984-4f12-9110-430b1b66151b" ] }, { "id" : "ITEM-5", "itemData" : { "DOI" : "10.1098/rstb.2012.0505", "author" : [ { "dropping-particle" : "", "family" : "Kanda", "given" : "RK", "non-dropping-particle" : "", "parse-names" : false, "suffix" : "" }, { "dropping-particle" : "", "family" : "Tristem", "given" : "M", "non-dropping-particle" : "", "parse-names" : false, "suffix" : "" }, { "dropping-particle" : "", "family" : "Coulson", "given" : "T", "non-dropping-particle" : "", "parse-names" : false, "suffix" : "" } ], "container-title" : "\u2026 of the Royal \u2026", "id" : "ITEM-5", "issue" : "1626", "issued" : { "date-parts" : [ [ "2013" ] ] }, "title" : "Exploring the effects of immunity and life history on the dynamics of an endogenous retrovirus", "type" : "article-journal", "volume" : "368" }, "uris" : [ "http://www.mendeley.com/documents/?uuid=1fc758c0-f173-4fe2-a22c-ba9c5c9ba6ce" ] } ], "mendeley" : { "formattedCitation" : "(Doolittle &amp; Feng 1989; Stoye 2001; Reiss &amp; Mager 2007; Rigal &amp; Mathieu 2011; Kanda et al. 2013)", "plainTextFormattedCitation" : "(Doolittle &amp; Feng 1989; Stoye 2001; Reiss &amp; Mager 2007; Rigal &amp; Mathieu 2011; Kanda et al. 2013)", "previouslyFormattedCitation" : "(Doolittle &amp; Feng 1989; Stoye 2001; Reiss &amp; Mager 2007; Rigal &amp; Mathieu 2011; Kanda et al. 2013)" }, "properties" : { "noteIndex" : 0 }, "schema" : "https://github.com/citation-style-language/schema/raw/master/csl-citation.json" }</w:instrText>
      </w:r>
      <w:r>
        <w:fldChar w:fldCharType="separate"/>
      </w:r>
      <w:r w:rsidRPr="00A84D6A">
        <w:rPr>
          <w:noProof/>
        </w:rPr>
        <w:t>(Doolittle &amp; Feng 1989; Stoye 2001; Reiss &amp; Mager 2007; Rigal &amp; Mathieu 2011; Kanda et al. 2013)</w:t>
      </w:r>
      <w:r>
        <w:fldChar w:fldCharType="end"/>
      </w:r>
      <w:r>
        <w:t>.</w:t>
      </w:r>
      <w:r w:rsidR="00300060">
        <w:t xml:space="preserve"> </w:t>
      </w:r>
    </w:p>
    <w:p w14:paraId="7D4EEB7F" w14:textId="6D4F2B54" w:rsidR="001369C1" w:rsidRDefault="00300060" w:rsidP="00391005">
      <w:pPr>
        <w:pStyle w:val="ListParagraph"/>
      </w:pPr>
      <w:r>
        <w:lastRenderedPageBreak/>
        <w:t xml:space="preserve">In many cases, vertebrate ERVs do not correspond to current exogenous retroviral infections, but rather represent a record of historical infections and </w:t>
      </w:r>
      <w:r w:rsidR="00107648">
        <w:t xml:space="preserve">provide </w:t>
      </w:r>
      <w:r>
        <w:t xml:space="preserve">an answer to how viruses which evolve so quickly could have been around for so many millions of years </w:t>
      </w:r>
      <w:r>
        <w:fldChar w:fldCharType="begin" w:fldLock="1"/>
      </w:r>
      <w:r w:rsidR="00107648">
        <w:instrText>ADDIN CSL_CITATION { "citationItems" : [ { "id" : "ITEM-1", "itemData" : { "author" : [ { "dropping-particle" : "", "family" : "Doolittle", "given" : "RF", "non-dropping-particle" : "", "parse-names" : false, "suffix" : "" }, { "dropping-particle" : "", "family" : "Feng", "given" : "DF", "non-dropping-particle" : "", "parse-names" : false, "suffix" : "" } ], "container-title" : "Quarterly Review of \u2026", "id" : "ITEM-1", "issue" : "1", "issued" : { "date-parts" : [ [ "1989" ] ] }, "page" : "1-30", "title" : "Origins and evolutionary relationships of retroviruses", "type" : "article-journal", "volume" : "64" }, "uris" : [ "http://www.mendeley.com/documents/?uuid=a84cf49f-9791-477a-802a-9569d172cbee" ] } ], "mendeley" : { "formattedCitation" : "(Doolittle &amp; Feng 1989)", "plainTextFormattedCitation" : "(Doolittle &amp; Feng 1989)", "previouslyFormattedCitation" : "(Doolittle &amp; Feng 1989)" }, "properties" : { "noteIndex" : 0 }, "schema" : "https://github.com/citation-style-language/schema/raw/master/csl-citation.json" }</w:instrText>
      </w:r>
      <w:r>
        <w:fldChar w:fldCharType="separate"/>
      </w:r>
      <w:r w:rsidRPr="00300060">
        <w:rPr>
          <w:noProof/>
        </w:rPr>
        <w:t>(Doolittle &amp; Feng 1989)</w:t>
      </w:r>
      <w:r>
        <w:fldChar w:fldCharType="end"/>
      </w:r>
      <w:r>
        <w:t>. Some ERVs re-emerge from the genome, likely through recombination with unrelated viruses, to pose novel exogenous threats</w:t>
      </w:r>
      <w:r w:rsidR="00107648">
        <w:t>, such as Avian Leukosis Virus subgroup J in chickens</w:t>
      </w:r>
      <w:r>
        <w:t xml:space="preserve"> </w:t>
      </w:r>
      <w:r>
        <w:fldChar w:fldCharType="begin" w:fldLock="1"/>
      </w:r>
      <w:r>
        <w:instrText>ADDIN CSL_CITATION { "citationItems" : [ { "id" : "ITEM-1", "itemData" : { "author" : [ { "dropping-particle" : "", "family" : "Doolittle", "given" : "RF", "non-dropping-particle" : "", "parse-names" : false, "suffix" : "" }, { "dropping-particle" : "", "family" : "Feng", "given" : "DF", "non-dropping-particle" : "", "parse-names" : false, "suffix" : "" } ], "container-title" : "Quarterly Review of \u2026", "id" : "ITEM-1", "issue" : "1", "issued" : { "date-parts" : [ [ "1989" ] ] }, "page" : "1-30", "title" : "Origins and evolutionary relationships of retroviruses", "type" : "article-journal", "volume" : "64" }, "uris" : [ "http://www.mendeley.com/documents/?uuid=a84cf49f-9791-477a-802a-9569d172cbee" ] }, { "id" : "ITEM-2", "itemData" : { "DOI" : "10.1053/rvsc.1998.0283", "ISSN" : "0034-5288", "PMID" : "10502478", "abstract" : "A strain of avian leukosis virus (ALV) belonging to a new envelope subgroup J was isolated in the UK in 1988 from meat-type chickens. The disease caused by the members of this subgroup has since spread very rapidly worldwide and has become one of the major problems facing the broiler meat industry. Molecular characterisation of HPRS -103, the prototype of subgroup J, has shown that it has a structure of a typical ALV with gag, pol and env genes. However the env gene was distinct from that of other ALV s and was closely related to that of novel endogenous retroviral elements designated EAV - HP. As other regions of the genome were closely related to ALV s, it is believed that ALV-J has evolved by recombination with the env sequences of EAV - HP. ALV-J has a tropism for myeloid cells, a feature that may be associated with its ability to induce myeloid leukosis. Recent data show that ALV -J isolates evolve rapidly resulting in sequence changes within the variable regions of the env gene leading to antigenic variation. Eradication programmes established for other subgroups are proving to be effective in eradicating ALV-J from infected flocks.", "author" : [ { "dropping-particle" : "", "family" : "Venugopal", "given" : "K", "non-dropping-particle" : "", "parse-names" : false, "suffix" : "" } ], "container-title" : "Research in veterinary science", "id" : "ITEM-2", "issue" : "2", "issued" : { "date-parts" : [ [ "1999", "10" ] ] }, "page" : "113-9", "title" : "Avian leukosis virus subgroup J: a rapidly evolving group of oncogenic retroviruses.", "type" : "article-journal", "volume" : "67" }, "uris" : [ "http://www.mendeley.com/documents/?uuid=2dacf328-8159-4df1-ae9f-9519533c3ee0" ] }, { "id" : "ITEM-3", "itemData" : { "DOI" : "10.1016/j.tim.2005.08.004", "ISSN" : "0966-842X", "PMID" : "16109487", "abstract" : "Endogenous retroviruses (ERVs) are vertically transmitted intragenomic elements derived from integrated retroviruses. ERVs can proliferate within the genome of their host until they either acquire inactivating mutations or are lost by recombinational deletion. We present a model that unifies current knowledge of ERV biology into a single evolutionary framework. The model predicts the possible long-term outcomes of retroviral germline infection and can account for the variable patterns of observed ERV genetic diversity. We hope the model will provide a useful framework for understanding ERV evolution, enabling the testing of evolutionary hypotheses and the estimation of parameters governing ERV proliferation.", "author" : [ { "dropping-particle" : "", "family" : "Katzourakis", "given" : "Aris", "non-dropping-particle" : "", "parse-names" : false, "suffix" : "" }, { "dropping-particle" : "", "family" : "Rambaut", "given" : "Andrew", "non-dropping-particle" : "", "parse-names" : false, "suffix" : "" }, { "dropping-particle" : "", "family" : "Pybus", "given" : "Oliver G", "non-dropping-particle" : "", "parse-names" : false, "suffix" : "" } ], "container-title" : "Trends in microbiology", "id" : "ITEM-3", "issue" : "10", "issued" : { "date-parts" : [ [ "2005", "10" ] ] }, "note" : "Size and shape of phylogenies are a result of the evolutionary processes involved. Phylogenies can then be used to propose ideas on the evolutionary dynamics.\n\n        \nERV proliferation:\n- intracellular retrotransposition by cis (virus supplies all necessary proteins for replication) or trans (defective viruses are complemented by proteins from other viral elements)\n- env-capable elements may form exogenous particles and re-infect other germ line cells\n\n        \nIt is possible to distinguish between these by searching for purifying selection across the viral ORFs. Reinfection requires all three ORFs, retrotransposition in cis requires gag and pol, retrotransposition in trans requires a complete promoter in the LTR and other motifs for viral packaging and expression (but does not require any functional viral ORFs). \n\n        \nMajority of HERVs appear to have proliferated by reinfection, but some have retrotransposed and these are of greater copy number. \n85% of HERV sequences are solo LTRs.\n\n        \nDeterministic modelling of ERV phylogenies is important for understanding the long term fates of lineages. In the extreme either a family will indefinitely increase in size (but this will elicit strong selection for host response) or all members will become inactive and gradually degrade, effectively removing themselves from the genome through time. This latter option means that observable large genome families now may by evolutionary dead ends already marked for extinction. Rescue mutations are very rare.\n\n        \nStcohastic modelling is much more important for short term phylogenies and when the number of ERV elements in a family is particularly small. Lineage probability events such as those described are similar to methods used when trying to predict speciation/extinction rates in macro-evolutionary studies. \n\n        \nHost defence mechanisms: \nCell entry - receptor gene mutations, competitive inhibitors of viral entry through receptors\nPost entry - methylation, host-encoded inhibitors (interact with viral capsid before genome integration), post-entry restriction factors (some of these are ERV derived)\n\n        \n\n      ", "page" : "463-8", "title" : "The evolutionary dynamics of endogenous retroviruses.", "type" : "article-journal", "volume" : "13" }, "uris" : [ "http://www.mendeley.com/documents/?uuid=87cfb5a3-e18f-4744-9cae-5c28b489dfe8" ] }, { "id" : "ITEM-4", "itemData" : { "DOI" : "10.1098/rstb.2012.0505", "author" : [ { "dropping-particle" : "", "family" : "Kanda", "given" : "RK", "non-dropping-particle" : "", "parse-names" : false, "suffix" : "" }, { "dropping-particle" : "", "family" : "Tristem", "given" : "M", "non-dropping-particle" : "", "parse-names" : false, "suffix" : "" }, { "dropping-particle" : "", "family" : "Coulson", "given" : "T", "non-dropping-particle" : "", "parse-names" : false, "suffix" : "" } ], "container-title" : "\u2026 of the Royal \u2026", "id" : "ITEM-4", "issue" : "1626", "issued" : { "date-parts" : [ [ "2013" ] ] }, "title" : "Exploring the effects of immunity and life history on the dynamics of an endogenous retrovirus", "type" : "article-journal", "volume" : "368" }, "uris" : [ "http://www.mendeley.com/documents/?uuid=1fc758c0-f173-4fe2-a22c-ba9c5c9ba6ce" ] } ], "mendeley" : { "formattedCitation" : "(Doolittle &amp; Feng 1989; Venugopal 1999; Katzourakis et al. 2005; Kanda et al. 2013)", "plainTextFormattedCitation" : "(Doolittle &amp; Feng 1989; Venugopal 1999; Katzourakis et al. 2005; Kanda et al. 2013)", "previouslyFormattedCitation" : "(Doolittle &amp; Feng 1989; Venugopal 1999; Katzourakis et al. 2005; Kanda et al. 2013)" }, "properties" : { "noteIndex" : 0 }, "schema" : "https://github.com/citation-style-language/schema/raw/master/csl-citation.json" }</w:instrText>
      </w:r>
      <w:r>
        <w:fldChar w:fldCharType="separate"/>
      </w:r>
      <w:r w:rsidRPr="00300060">
        <w:rPr>
          <w:noProof/>
        </w:rPr>
        <w:t>(Doolittle &amp; Feng 1989; Venugopal 1999; Katzourakis et al. 2005; Kanda et al. 2013)</w:t>
      </w:r>
      <w:r>
        <w:fldChar w:fldCharType="end"/>
      </w:r>
      <w:r>
        <w:t>.</w:t>
      </w:r>
      <w:r w:rsidR="00532C38">
        <w:t xml:space="preserve"> </w:t>
      </w:r>
    </w:p>
    <w:p w14:paraId="32CE76BA" w14:textId="577A3593" w:rsidR="000C520D" w:rsidRDefault="000C520D" w:rsidP="00391005">
      <w:pPr>
        <w:pStyle w:val="ListParagraph"/>
      </w:pPr>
    </w:p>
    <w:p w14:paraId="35AD8594" w14:textId="65D4FF96" w:rsidR="000C520D" w:rsidRDefault="00AC0AE6" w:rsidP="00141710">
      <w:pPr>
        <w:pStyle w:val="Heading3"/>
      </w:pPr>
      <w:bookmarkStart w:id="45" w:name="_Ref484341474"/>
      <w:bookmarkStart w:id="46" w:name="_Toc485721562"/>
      <w:bookmarkStart w:id="47" w:name="_Toc486787142"/>
      <w:bookmarkStart w:id="48" w:name="_Toc486787290"/>
      <w:r>
        <w:t>Genomic and p</w:t>
      </w:r>
      <w:r w:rsidR="00141710">
        <w:t>hysiological impacts of LTR retrotransposons</w:t>
      </w:r>
      <w:bookmarkEnd w:id="45"/>
      <w:bookmarkEnd w:id="46"/>
      <w:bookmarkEnd w:id="47"/>
      <w:bookmarkEnd w:id="48"/>
    </w:p>
    <w:p w14:paraId="3A121EFC" w14:textId="3184B56D" w:rsidR="002B23F8" w:rsidRDefault="00E34813" w:rsidP="00391005">
      <w:pPr>
        <w:pStyle w:val="ListParagraph"/>
      </w:pPr>
      <w:r>
        <w:t xml:space="preserve">The co-option and maintenance of LTR retrotransposon-derived elements is rare, particularly over large evolutionary timescales. Highly deleterious integrations will either be removed from a population, or be rapidly targeted for epigenetic silencing and will eventually degrade. Any maintained insertion must either be selectively advantageous and its further replication controlled, or in a genomic location where maintenance is possible, such as in poorly recombining regions or </w:t>
      </w:r>
      <w:r w:rsidR="005F42F9">
        <w:t xml:space="preserve">regions </w:t>
      </w:r>
      <w:r>
        <w:t>in</w:t>
      </w:r>
      <w:r w:rsidR="0072576C">
        <w:t xml:space="preserve"> linkage with</w:t>
      </w:r>
      <w:r w:rsidR="005F42F9">
        <w:t xml:space="preserve"> genes</w:t>
      </w:r>
      <w:r>
        <w:t xml:space="preserve"> under selection</w:t>
      </w:r>
      <w:r w:rsidR="000C083C">
        <w:t xml:space="preserve"> </w:t>
      </w:r>
      <w:r w:rsidR="000C083C">
        <w:fldChar w:fldCharType="begin" w:fldLock="1"/>
      </w:r>
      <w:r w:rsidR="00C94DBA">
        <w:instrText>ADDIN CSL_CITATION { "citationItems" : [ { "id" : "ITEM-1", "itemData" : { "DOI" : "10.1007/s00018-009-0107-2", "ISSN" : "1420-9071", "PMID" : "19649766", "abstract" : "Retroelements comprise a considerable fraction of eukaryotic genomes. Since their initial discovery by Barbara McClintock in maize DNA, retroelements have been found in genomes of almost all organisms. First considered as a \"junk DNA\" or genomic parasites, they were shown to influence genome functioning and to promote genetic innovations. For this reason, they were suggested as an important creative force in the genome evolution and adaptation of an organism to altered environmental conditions. In this review, we summarize the up-to-date knowledge of different ways of retroelement involvement in structural and functional evolution of genes and genomes, as well as the mechanisms generated by cells to control their retrotransposition.", "author" : [ { "dropping-particle" : "", "family" : "Gogvadze", "given" : "Elena", "non-dropping-particle" : "", "parse-names" : false, "suffix" : "" }, { "dropping-particle" : "", "family" : "Buzdin", "given" : "Anton", "non-dropping-particle" : "", "parse-names" : false, "suffix" : "" } ], "container-title" : "Cellular and molecular life sciences : CMLS", "id" : "ITEM-1", "issue" : "23", "issued" : { "date-parts" : [ [ "2009", "12" ] ] }, "page" : "3727-42", "title" : "Retroelements and their impact on genome evolution and functioning.", "type" : "article-journal", "volume" : "66" }, "uris" : [ "http://www.mendeley.com/documents/?uuid=dddbae87-d186-44ad-9c5b-d63f97f0c71b" ] }, { "id" : "ITEM-2",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"ITEM-2",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"id" : "ITEM-3", "itemData" : { "author" : [ { "dropping-particle" : "", "family" : "Magiorkinis", "given" : "Gkikas", "non-dropping-particle" : "", "parse-names" : false, "suffix" : "" }, { "dropping-particle" : "", "family" : "Belshaw", "given" : "Robert", "non-dropping-particle" : "", "parse-names" : false, "suffix" : "" }, { "dropping-particle" : "", "family" : "Katzourakis", "given" : "Aris", "non-dropping-particle" : "", "parse-names" : false, "suffix" : "" } ], "container-title" : "\u2026 of the Royal \u2026", "id" : "ITEM-3", "issued" : { "date-parts" : [ [ "2013" ] ] }, "page" : "20120504", "title" : "'There and back again': revisiting the pathophysiological roles of human endogenous retroviruses in the post-genomic era", "type" : "article-journal", "volume" : "368" }, "uris" : [ "http://www.mendeley.com/documents/?uuid=8c853314-2c48-4c93-978b-bc8e3409a3b3" ] } ], "mendeley" : { "formattedCitation" : "(Gogvadze &amp; Buzdin 2009; Stoye 2012; Magiorkinis et al. 2013)", "plainTextFormattedCitation" : "(Gogvadze &amp; Buzdin 2009; Stoye 2012; Magiorkinis et al. 2013)", "previouslyFormattedCitation" : "(Gogvadze &amp; Buzdin 2009; Stoye 2012; Magiorkinis et al. 2013)" }, "properties" : { "noteIndex" : 0 }, "schema" : "https://github.com/citation-style-language/schema/raw/master/csl-citation.json" }</w:instrText>
      </w:r>
      <w:r w:rsidR="000C083C">
        <w:fldChar w:fldCharType="separate"/>
      </w:r>
      <w:r w:rsidR="000C083C" w:rsidRPr="000C083C">
        <w:rPr>
          <w:noProof/>
        </w:rPr>
        <w:t>(Gogvadze &amp; Buzdin 2009; Stoye 2012; Magiorkinis et al. 2013)</w:t>
      </w:r>
      <w:r w:rsidR="000C083C">
        <w:fldChar w:fldCharType="end"/>
      </w:r>
      <w:r w:rsidR="000C083C">
        <w:t xml:space="preserve">. </w:t>
      </w:r>
      <w:r>
        <w:t>Novel LTR retrotransposon</w:t>
      </w:r>
      <w:r w:rsidR="000C083C">
        <w:t xml:space="preserve"> integrations can elicit</w:t>
      </w:r>
      <w:r>
        <w:t xml:space="preserve"> a wide range of impacts, some of which are relevant for disease or productivity traits. </w:t>
      </w:r>
      <w:r w:rsidR="00D46203">
        <w:t>Depending on the host speci</w:t>
      </w:r>
      <w:r w:rsidR="005F42F9">
        <w:t>es, t</w:t>
      </w:r>
      <w:r w:rsidR="00D46203">
        <w:t>he LTR retrotransposons which have most recurrent impact will differ due to lineage specificity and individual element intactness</w:t>
      </w:r>
      <w:r w:rsidR="002B23F8">
        <w:t xml:space="preserve">. </w:t>
      </w:r>
    </w:p>
    <w:p w14:paraId="2D3741B2" w14:textId="30EBDB6C" w:rsidR="00AC0AE6" w:rsidRDefault="00AC0AE6" w:rsidP="00391005">
      <w:pPr>
        <w:pStyle w:val="ListParagraph"/>
      </w:pPr>
    </w:p>
    <w:p w14:paraId="4B1BEC35" w14:textId="25735CCF" w:rsidR="00AC0AE6" w:rsidRDefault="00AC0AE6" w:rsidP="00AC0AE6">
      <w:pPr>
        <w:pStyle w:val="Heading4"/>
      </w:pPr>
      <w:r>
        <w:t>Impact on genome stability</w:t>
      </w:r>
      <w:r w:rsidR="00E93973">
        <w:t xml:space="preserve"> and host gene functionality</w:t>
      </w:r>
    </w:p>
    <w:p w14:paraId="10797A5D" w14:textId="2F502BBB" w:rsidR="007F3D6C" w:rsidRDefault="00DA5D76" w:rsidP="00391005">
      <w:pPr>
        <w:pStyle w:val="ListParagraph"/>
      </w:pPr>
      <w:r>
        <w:t>LTR retrotransposons can comprise large proportions of the genome, and in some species</w:t>
      </w:r>
      <w:r w:rsidR="0060401E">
        <w:t xml:space="preserve"> (such as plethodontid salamanders)</w:t>
      </w:r>
      <w:r>
        <w:t xml:space="preserve"> individual elements </w:t>
      </w:r>
      <w:r w:rsidR="00C94DBA">
        <w:t xml:space="preserve">exist in over a million copies </w:t>
      </w:r>
      <w:r w:rsidR="00E5192E">
        <w:fldChar w:fldCharType="begin" w:fldLock="1"/>
      </w:r>
      <w:r w:rsidR="00E5192E">
        <w:instrText>ADDIN CSL_CITATION { "citationItems" : [ { "id" : "ITEM-1", "itemData" : { "ISSN" : "1465-6914", "PMID" : "12372141", "abstract" : "BACKGROUND: Long terminal repeat (LTR) retrotransposons constitute a major fraction of the genomes of higher plants. For example, retrotransposons comprise more than 50% of the maize genome and more than 90% of the wheat genome. LTR retrotransposons are believed to have contributed significantly to the evolution of genome structure and function. The genome sequencing of selected experimental and agriculturally important species is providing an unprecedented opportunity to view the patterns of variation existing among the entire complement of retrotransposons in complete genomes.\n\nRESULTS: Using a new data-mining program, LTR_STRUC, (LTR retrotransposon structure program), we have mined the GenBank rice (Oryza sativa) database as well as the more extensive (259 Mb) Monsanto rice dataset for LTR retrotransposons. Almost two-thirds (37) of the 59 families identified consist of copia-like elements, but gypsy-like elements outnumber copia-like elements by a ratio of approximately 2:1. At least 17% of the rice genome consists of LTR retrotransposons. In addition to the ubiquitous gypsy- and copia-like classes of LTR retrotransposons, the rice genome contains at least two novel families of unusually small, non-coding (non-autonomous) LTR retrotransposons.\n\nCONCLUSIONS: Each of the major clades of rice LTR retrotransposons is more closely related to elements present in other species than to the other clades of rice elements, suggesting that horizontal transfer may have occurred over the evolutionary history of rice LTR retrotransposons. Like LTR retrotransposons in other species with relatively small genomes, many rice LTR retrotransposons are relatively young, indicating a high rate of turnover.", "author" : [ { "dropping-particle" : "", "family" : "McCarthy", "given" : "Eugene M", "non-dropping-particle" : "", "parse-names" : false, "suffix" : "" }, { "dropping-particle" : "", "family" : "Liu", "given" : "Jingdong", "non-dropping-particle" : "", "parse-names" : false, "suffix" : "" }, { "dropping-particle" : "", "family" : "Lizhi", "given" : "Gao", "non-dropping-particle" : "", "parse-names" : false, "suffix" : "" }, { "dropping-particle" : "", "family" : "McDonald", "given" : "John F", "non-dropping-particle" : "", "parse-names" : false, "suffix" : "" } ], "container-title" : "Genome biology", "id" : "ITEM-1", "issue" : "10", "issued" : { "date-parts" : [ [ "2002", "9", "13" ] ] }, "note" : "Read. Annotated in the methods review.", "page" : "RESEARCH0053", "title" : "Long terminal repeat retrotransposons of Oryza sativa.", "type" : "article-journal", "volume" : "3" }, "uris" : [ "http://www.mendeley.com/documents/?uuid=da71847e-920b-4579-b704-28a6e9b9635a" ] }, { "id" : "ITEM-2", "itemData" : { "DOI" : "10.1093/nar/gkl780", "ISBN" : "1362-4962 (Electronic)", "ISSN" : "03051048", "PMID" : "17071960", "abstract" : "Long terminal repeat (LTR)-retrotransposons comprise a significant portion of the rice genome. Their complete characterization is thus necessary if the sequenced genome is to be annotated correctly. In addition, because LTR-retrotransposons can influence the expression of neighboring genes, the complete identification of these elements in the rice genome is essential in order to study their putative functional interactions with the plant genes. The aims of the database are to (i) Assemble a comprehensive dataset of LTR-retrotransposons that includes not only abundant elements, but also low copy number elements. (ii) Provide an interface to efficiently access the resources stored in the database. This interface should also allow the community to annotate these elements. (iii) Provide a means for identifying LTR-retrotransposons inserted near genes. Here we present the results, where 242 complete LTR-retrotransposons have been structurally and functionally annotated. A web interface to the database has been made available (http://www.retroryza.org/), through which the user can annotate a sequence or search for LTR-retrotransposons in the neighborhood of a gene of interest.", "author" : [ { "dropping-particle" : "", "family" : "Chaparro", "given" : "Cristian", "non-dropping-particle" : "", "parse-names" : false, "suffix" : "" }, { "dropping-particle" : "", "family" : "Guyot", "given" : "Romain", "non-dropping-particle" : "", "parse-names" : false, "suffix" : "" }, { "dropping-particle" : "", "family" : "Zuccolo", "given" : "Andrea", "non-dropping-particle" : "", "parse-names" : false, "suffix" : "" }, { "dropping-particle" : "", "family" : "Pi\u00e9gu", "given" : "Beno\u00eet", "non-dropping-particle" : "", "parse-names" : false, "suffix" : "" }, { "dropping-particle" : "", "family" : "Panaud", "given" : "Olivier", "non-dropping-particle" : "", "parse-names" : false, "suffix" : "" } ], "container-title" : "Nucleic Acids Research", "id" : "ITEM-2", "issue" : "SUPPL. 1", "issued" : { "date-parts" : [ [ "2007" ] ] }, "page" : "66-70", "title" : "RetrOryza: A database of the rice LTR-retrotransposons", "type" : "article-journal", "volume" : "35" }, "uris" : [ "http://www.mendeley.com/documents/?uuid=08b29052-a39c-4656-9bb0-d2c1a33b0b18" ] }, { "id" : "ITEM-3", "itemData" : { "DOI" : "10.1093/gbe/evr139", "ISBN" : "22200636", "ISSN" : "17596653", "PMID" : "22200636", "abstract" : "Among vertebrates, most of the largest genomes are found within the salamanders, a clade of amphibians that includes 613 species. Salamander genome sizes range from ~14 to ~120 Gb. Because genome size is correlated with nucleus and cell sizes, as well as other traits, morphological evolution in salamanders has been profoundly affected by genomic gigantism. However, the molecular mechanisms driving genomic expansion in this clade remain largely unknown. Here, we present the first comparative analysis of transposable element (TE) content in salamanders. Using high-throughput sequencing, we generated genomic shotgun data for six species from the Plethodontidae, the largest family of salamanders. We then developed a pipeline to mine TE sequences from shotgun data in taxa with limited genomic resources, such as salamanders. Our summaries of overall TE abundance and diversity for each species demonstrate that TEs make up a substantial portion of salamander genomes, and that all of the major known types of TEs are represented in salamanders. The most abundant TE superfamilies found in the genomes of our six focal species are similar, despite substantial variation in genome size. However, our results demonstrate a major difference between salamanders and other vertebrates: salamander genomes contain much larger amounts of long terminal repeat (LTR) retrotransposons, primarily Ty3/gypsy elements. Thus, the extreme increase in genome size that occurred in salamanders was likely accompanied by a shift in TE landscape. These results suggest that increased proliferation of LTR retrotransposons was a major molecular mechanism contributing to genomic expansion in salamanders.", "author" : [ { "dropping-particle" : "", "family" : "Sun", "given" : "Cheng", "non-dropping-particle" : "", "parse-names" : false, "suffix" : "" }, { "dropping-particle" : "", "family" : "Shepard", "given" : "Donald B.", "non-dropping-particle" : "", "parse-names" : false, "suffix" : "" }, { "dropping-particle" : "", "family" : "Chong", "given" : "Rebecca A.", "non-dropping-particle" : "", "parse-names" : false, "suffix" : "" }, { "dropping-particle" : "", "family" : "Arriaza", "given" : "Jos?? L??pez", "non-dropping-particle" : "", "parse-names" : false, "suffix" : "" }, { "dropping-particle" : "", "family" : "Hall", "given" : "Kathryn", "non-dropping-particle" : "", "parse-names" : false, "suffix" : "" }, { "dropping-particle" : "", "family" : "Castoe", "given" : "Todd A.", "non-dropping-particle" : "", "parse-names" : false, "suffix" : "" }, { "dropping-particle" : "", "family" : "Feschotte", "given" : "C??dric", "non-dropping-particle" : "", "parse-names" : false, "suffix" : "" }, { "dropping-particle" : "", "family" : "Pollock", "given" : "David D.", "non-dropping-particle" : "", "parse-names" : false, "suffix" : "" }, { "dropping-particle" : "", "family" : "Mueller", "given" : "Rachel Lockridge", "non-dropping-particle" : "", "parse-names" : false, "suffix" : "" } ], "container-title" : "Genome Biology and Evolution", "id" : "ITEM-3", "issue" : "2", "issued" : { "date-parts" : [ [ "2012" ] ] }, "page" : "168-183", "title" : "LTR retrotransposons contribute to genomic gigantism in plethodontid salamanders", "type" : "article-journal", "volume" : "4" }, "uris" : [ "http://www.mendeley.com/documents/?uuid=d9bd8703-fb6e-490a-8e11-321b676b2d9c" ] } ], "mendeley" : { "formattedCitation" : "(McCarthy et al. 2002; Chaparro et al. 2007; Sun et al. 2012)", "plainTextFormattedCitation" : "(McCarthy et al. 2002; Chaparro et al. 2007; Sun et al. 2012)", "previouslyFormattedCitation" : "(McCarthy et al. 2002; Chaparro et al. 2007; Sun et al. 2012)" }, "properties" : { "noteIndex" : 0 }, "schema" : "https://github.com/citation-style-language/schema/raw/master/csl-citation.json" }</w:instrText>
      </w:r>
      <w:r w:rsidR="00E5192E">
        <w:fldChar w:fldCharType="separate"/>
      </w:r>
      <w:r w:rsidR="0060401E">
        <w:rPr>
          <w:noProof/>
        </w:rPr>
        <w:t>(</w:t>
      </w:r>
      <w:r w:rsidR="00E5192E" w:rsidRPr="00E5192E">
        <w:rPr>
          <w:noProof/>
        </w:rPr>
        <w:t>Chaparro et al. 2007; Sun et al. 2012)</w:t>
      </w:r>
      <w:r w:rsidR="00E5192E">
        <w:fldChar w:fldCharType="end"/>
      </w:r>
      <w:r w:rsidR="00C94DBA">
        <w:t xml:space="preserve">. </w:t>
      </w:r>
      <w:r w:rsidR="007F3D6C">
        <w:t xml:space="preserve">This can elicit metabolic stress on the host due to the large quantity of DNA which needs to be copied at each cell division, and physiological stress as cell size needs to increase to cope with a bloated nucleus </w:t>
      </w:r>
      <w:r w:rsidR="007F3D6C">
        <w:fldChar w:fldCharType="begin" w:fldLock="1"/>
      </w:r>
      <w:r w:rsidR="007F3D6C">
        <w:instrText>ADDIN CSL_CITATION { "citationItems" : [ { "id" : "ITEM-1", "itemData" : { "DOI" : "10.1159/000113321", "ISBN" : "0006-8977 (Print)\\n0006-8977 (Linking)", "ISSN" : "0006-8977", "PMID" : "9209766", "abstract" : "Compared to other vertebrates, even including lampreys and hagfishes in some respects, salamanders exhibit a relatively simple organization of brain and sense organs which is illustrated here using the visual system as an example. The greatest simplicity is found in the bolitoglossine salamanders, yet all bolitoglossines possess highly projectile tongues and rely on vision for survival; furthermore, some species are agile and acrobatic. The unusual features of the visual system of salamanders include small numbers of large neurons, a low degree of morphological differentiation among neurons, a small proportion of myelinated axons in the optic nerve, and an optic tectum consisting essentially of a periventricular cellular layer and a superficial fiber layer. Similar features are found throughout the central nervous system of salamanders and in the lateral line, auditory and olfactory systems as well. Phylogenetic analysis shows that the most parsimonious interpretation of these data is that the simple organization of the brain and sense organs of salamanders was derived secondarily from a more complex ancestral state. We hypothesize that increased genome size has led to simplification of the nervous system in salamanders. Increased genome size appears to have had profound effects on neural development in salamanders, leading to paedomorphosis, the retention of juvenile or even embryonic characteristics into adulthood. In particular, large genome size is associated with large cell size and reduced rates of cell proliferation, migration and differentiation. Secondary simplification has constrained the function of the salamanders' visual system, primarily by increasing cell size and decreasing cell numbers. However, it also has provided an opportunity for the evolution of compensating mechanisms, which have helped to restore or even enhance visual function. Most apparent among the compensatory mechanisms of bolitoglossine salamanders is the presence of well developed ipsilateral retinotectal projections, which apparently enhance depth perception. It is difficult to explain the unusual history of the nervous system in salamanders solely in terms of natural selection and adaptation. Increasing genome size through selfish replication appears to have played a major role in the evolution of salamander brains by imposing functional constraints as well as creating opportunities for overcoming them.", "author" : [ { "dropping-particle" : "", "family" : "Roth", "given" : "G", "non-dropping-particle" : "", "parse-names" : false, "suffix" : "" }, { "dropping-particle" : "", "family" : "Nishikawa", "given" : "K C", "non-dropping-particle" : "", "parse-names" : false, "suffix" : "" }, { "dropping-particle" : "", "family" : "Wake", "given" : "D B", "non-dropping-particle" : "", "parse-names" : false, "suffix" : "" } ], "container-title" : "Brain, behavior and evolution", "id" : "ITEM-1", "issue" : "1", "issued" : { "date-parts" : [ [ "1997" ] ] }, "page" : "50-59", "title" : "Genome size, secondary simplification, and the evolution of the brain in salamanders.", "type" : "article-journal", "volume" : "50" }, "uris" : [ "http://www.mendeley.com/documents/?uuid=cb6646d3-4379-4bc4-b424-5f700c728fa2" ] }, { "id" : "ITEM-2", "itemData" : { "DOI" : "10.1093/aob/mci010", "ISBN" : "0305-7364 (Print) 0305-7364 (Linking)", "ISSN" : "03057364", "PMID" : "15596464", "abstract" : "BACKGROUND: Nuclear genome size varies 300 000-fold, whereas transcriptome size varies merely 17-fold. In the largest genomes nearly all DNA is non-genic secondary DNA, mostly intergenic but also within introns. There is now compelling evidence that secondary DNA is functional, i.e. positively selected by organismal selection, not the purely neutral or 'selfish' outcome of mutation pressure. The skeletal DNA theory argued that nuclear volumes are genetically determined primarily by nuclear DNA amounts, modulated somewhat by genes affecting the degree of DNA packing or unfolding; the huge spread of nuclear genome sizes is the necessary consequence of the origin of the nuclear envelope and the nucleation of its assembly by DNA, plus the adaptively significant 300 000-fold range of cell volumes and selection for balanced growth by optimizing karyoplasmic volume ratios (essentially invariant with cell volume in growing/multiplying cells). This simple explanation of the C-value paradox is refined here in the light of new insights into the nature of heterochromatin and the nuclear lamina, the genetic control of cell volume, and large-scale eukaryote phylogeny, placing special emphasis on protist test cases of the basic principles of nuclear genome size evolution.\\n\\nGENOME MINIATURIZATION: and Expansion Intracellular parasites (e.g. Plasmodium, microsporidia) dwarfed their genomes by gene loss and eliminating virtually all secondary DNA. The primary driving forces for genome reduction are metabolic and spatial economy and cell multiplication speed. Most extreme nuclear shrinkage yielded genomes as tiny as 0.38 Mb (making the nuclear genome size range effectively 1.8 million-fold!) in some minute enslaved nuclei (nucleomorphs) of cryptomonads and chlorarachneans, chimaeric cells that also retain a separate normal large nucleus. The latter shows typical correlation between genome size and cell volume, but nucleomorphs do not despite co-existing in the same cell for &gt;500 My. Thus mutation pressure does not inexorably increase genome size; selection can eliminate essentially all non-coding DNA if need be. Nucleomorphs and microsporidia even reduced gene size. Expansion of secondary DNA in the main nucleus, and in large-celled eukaryotes generally, must be positively selected for function. Ciliate nuclear dimorphism provides a key test that refutes the selfish DNA and strongly supports the skeletal DNA/karyoplasmic ratio interpretation of genome size evolution.\\n\\\u2026", "author" : [ { "dropping-particle" : "", "family" : "Cavalier-Smith", "given" : "Thomas", "non-dropping-particle" : "", "parse-names" : false, "suffix" : "" } ], "container-title" : "Annals of Botany", "id" : "ITEM-2", "issue" : "1", "issued" : { "date-parts" : [ [ "2005" ] ] }, "page" : "147-175", "title" : "Economy, speed and size matter: Evolutionary forces driving nuclear genome miniaturization and expansion", "type" : "article-journal", "volume" : "95" }, "uris" : [ "http://www.mendeley.com/documents/?uuid=5b9feca7-448f-4bcf-976e-785b847d50f2" ] } ], "mendeley" : { "formattedCitation" : "(Roth et al. 1997; Cavalier-Smith 2005)", "plainTextFormattedCitation" : "(Roth et al. 1997; Cavalier-Smith 2005)", "previouslyFormattedCitation" : "(Roth et al. 1997; Cavalier-Smith 2005)" }, "properties" : { "noteIndex" : 0 }, "schema" : "https://github.com/citation-style-language/schema/raw/master/csl-citation.json" }</w:instrText>
      </w:r>
      <w:r w:rsidR="007F3D6C">
        <w:fldChar w:fldCharType="separate"/>
      </w:r>
      <w:r w:rsidR="007F3D6C" w:rsidRPr="007F3D6C">
        <w:rPr>
          <w:noProof/>
        </w:rPr>
        <w:t>(Roth et al. 1997; Cavalier-Smith 2005)</w:t>
      </w:r>
      <w:r w:rsidR="007F3D6C">
        <w:fldChar w:fldCharType="end"/>
      </w:r>
      <w:r w:rsidR="007F3D6C">
        <w:t xml:space="preserve">. Rates of retrotransposition and </w:t>
      </w:r>
      <w:r w:rsidR="0060401E">
        <w:t>deletion</w:t>
      </w:r>
      <w:r w:rsidR="007F3D6C">
        <w:t xml:space="preserve"> are generally balanced, but periods of elevated or reduced activity can lead to lineage-specific element complements, and can affect the overall genome size </w:t>
      </w:r>
      <w:r w:rsidR="007F3D6C">
        <w:fldChar w:fldCharType="begin" w:fldLock="1"/>
      </w:r>
      <w:r w:rsidR="000D63A0">
        <w:instrText>ADDIN CSL_CITATION { "citationItems" : [ { "id" : "ITEM-1", "itemData" : { "DOI" : "10.1098/rspb.1999.0815", "ISSN" : "0962-8452", "PMID" : "10467744", "abstract" : "Retrotransposons are ubiquitous mobile genetic elements that have played a significant role in shaping eukaryotic genome evolution. The genome of the yeast Saccharomyces cerevisiae harbours five families of retrotransposons, Ty1-Ty5. With the publication of the S. cerevisiae genome sequence, for the first time a full genomic complement of retrotransposon sequences is available. Analysis of these sequences promises to yield insight into the nature of host--transposon coevolution. Evolutionary change in Ty elements depends on their replication and excision rates, which have been determined in the laboratory. Rates measured in the laboratory may differ from those that have operated over evolutionary time. Based on an analysis of sequence data for the Ty1, Ty2 and hybrid Ty1/2 families, we develop a novel 'genomic demography' model to estimate long-term transposition and excision rates and to estimate how long ago these elements entered the yeast genome. We find that rates of excision and transposition have averaged 7.2-8.7 x 10(-8) per generation over evolutionary time. Two separate models provide upper- and lower-bound estimates for the age of the system, suggesting that the first elements entered the genome between approximately 50 million and 250 million generations ago.", "author" : [ { "dropping-particle" : "", "family" : "Promislow", "given" : "D E", "non-dropping-particle" : "", "parse-names" : false, "suffix" : "" }, { "dropping-particle" : "", "family" : "Jordan", "given" : "I K", "non-dropping-particle" : "", "parse-names" : false, "suffix" : "" }, { "dropping-particle" : "", "family" : "McDonald", "given" : "J F", "non-dropping-particle" : "", "parse-names" : false, "suffix" : "" } ], "container-title" : "Proceedings. Biological sciences / The Royal Society", "id" : "ITEM-1", "issue" : "1428", "issued" : { "date-parts" : [ [ "1999", "8", "7" ] ] }, "note" : "S. cerevisiae has five families of retrotransposon (at this stage) Ty1-5. Ty1 and Ty2 are two very closed related families. LTRs of both groups are about 335bp.\nPotential that Ty elements only entered the genome about 100000 years ago (0.1million)\n\n        \nIn compact genomes, under selection, it may be possible that solo LTRs may be &amp;#039;proactively&amp;#039; removed from the genome. Those that remain may be used for promoters etc. Chicken genome is also relatively compact. However, the effect would have to be quite strong to select for removal. ", "page" : "1555-60", "title" : "Genomic demography: a life-history analysis of transposable element evolution.", "type" : "article-journal", "volume" : "266" }, "uris" : [ "http://www.mendeley.com/documents/?uuid=2523e3b3-0814-4254-868a-ec9842c7e1b9" ] } ], "mendeley" : { "formattedCitation" : "(Promislow et al. 1999)", "plainTextFormattedCitation" : "(Promislow et al. 1999)", "previouslyFormattedCitation" : "(Promislow et al. 1999)" }, "properties" : { "noteIndex" : 0 }, "schema" : "https://github.com/citation-style-language/schema/raw/master/csl-citation.json" }</w:instrText>
      </w:r>
      <w:r w:rsidR="007F3D6C">
        <w:fldChar w:fldCharType="separate"/>
      </w:r>
      <w:r w:rsidR="007F3D6C" w:rsidRPr="007F3D6C">
        <w:rPr>
          <w:noProof/>
        </w:rPr>
        <w:t>(Promislow et al. 1999)</w:t>
      </w:r>
      <w:r w:rsidR="007F3D6C">
        <w:fldChar w:fldCharType="end"/>
      </w:r>
      <w:r w:rsidR="007F3D6C">
        <w:t>.</w:t>
      </w:r>
    </w:p>
    <w:p w14:paraId="065B742F" w14:textId="65CA860B" w:rsidR="00AC0AE6" w:rsidRDefault="00C94DBA" w:rsidP="00391005">
      <w:pPr>
        <w:pStyle w:val="ListParagraph"/>
      </w:pPr>
      <w:r>
        <w:lastRenderedPageBreak/>
        <w:t xml:space="preserve">In general, LTR retrotransposons (and other transposable elements) follow the Pareto principle, where 20 % of elements account for 80 % of the total abundance </w:t>
      </w:r>
      <w:r>
        <w:fldChar w:fldCharType="begin" w:fldLock="1"/>
      </w:r>
      <w:r w:rsidR="00E5192E">
        <w:instrText>ADDIN CSL_CITATION { "citationItems" : [ { "id" : "ITEM-1", "itemData" : { "DOI" : "10.1073/pnas.1200913109", "ISSN" : "1091-6490", "PMID" : "22529376", "abstract" : "Endogenous retroviruses (ERVs) differ from typical retroviruses in being inherited through the host germline and therefore are a unique combination of pathogen and selfish genetic element. Some ERV lineages proliferate by infecting germline cells, as do typical retroviruses, whereas others lack the env gene required for virions to enter cells and thus behave like retrotransposons. We wished to know what factors determined the relative abundance of different ERV lineages, so we analyzed ERV loci recovered from 38 mammal genomes by in silico screening. By modeling the relationship between proliferation and replication mechanism in detail within one group, the intracisternal A-type particles (IAPs), and performing simple correlations across all ERV lineages, we show that when ERVs lose the env gene their proliferation within that genome is boosted by a factor of \u223c30. We also show that ERV abundance follows the Pareto principle or 20/80 rule, with \u223c20% of lineages containing 80% of the loci. This rule is observed in many biological systems, including infectious disease epidemics, where commonly \u223c20% of the infected individuals are responsible for 80% of onward infection. We thus borrow simple epidemiological and ecological models and show that retrotransposition and loss of env is the trait that leads endogenous retroviruses to becoming genomic superspreaders that take over a significant proportion of their host's genome.", "author" : [ { "dropping-particle" : "", "family" : "Magiorkinis", "given" : "Gkikas", "non-dropping-particle" : "", "parse-names" : false, "suffix" : "" }, { "dropping-particle" : "", "family" : "Gifford", "given" : "Robert J", "non-dropping-particle" : "", "parse-names" : false, "suffix" : "" }, { "dropping-particle" : "", "family" : "Katzourakis", "given" : "Aris", "non-dropping-particle" : "", "parse-names" : false, "suffix" : "" }, { "dropping-particle" : "", "family" : "Ranter", "given" : "Joris", "non-dropping-particle" : "De", "parse-names" : false, "suffix" : "" }, { "dropping-particle" : "", "family" : "Belshaw", "given" : "Robert", "non-dropping-particle" : "", "parse-names" : false, "suffix" : "" } ], "container-title" : "Proceedings of the National Academy of Sciences of the United States of America", "id" : "ITEM-1", "issue" : "19", "issued" : { "date-parts" : [ [ "2012", "5", "8" ] ] }, "note" : "Authors show that when ERVs lose their env gene (limiting their presence to just that cell - looking at 38 mammal genomes) their proliferation within the genome increases by a factor of 30. Alos show that ERV abundance follows the 'Pareto principle' of 20/80, where 20% of lineages account for 80% of the loci - this is a similar phenomonen as seen in disease models where 20% of individuals infect 80% of the onward infection. This rule seems to apply sequentially through families as well (20% of families account for 80% of loci, and then 20% of the family members account for 80% of the member loci etc). Suggest therefore that loss of env allows ERVs to become genomic superspreaders...\n\n\n\nBUT - they say that when a virus has the ability to infect other cells its transposition potential is reduced within that cell. Is it really a fair comparison? The abstract and title are suggestive of the loss of the env gene allowing the element to increase spreading ability. The mode has changed...so is it a fair comparison? They also only look at certain types, and results will be confounded by copy number, prevalence and original site of insertion.\n\n\n\nHowever, the authors report a trait relationship - those that have lost the majority of the env gene will spread more than those that have only lost a portion - this will ultimately depend on what has been lost I guess. If it can still perform the function missing certain areas then this is not so weird. Unsurprisingly they report that the change is unidirectional - although there would be the possibility of recombination back with a more complete sequence - although, as stated below, this does appear to be rare in ERVs.\n\n\nWhen ERVs are replication is solely intracellular they are FUNCTIONALLY INDISTINGUISHABLE from LTR retrotransposons. \nComplementation of the env gene in env-defective ERVs does not seem common - even physically linked loci of the same family do not appear to exhibit this effect. In invertebrates there are multiple examples of this - Malik et al (2000)\n\n\nenv degradation is not linked to just locus age: other genes are not so extensively degraded (but then selection isn't on the env as much if it can still alter physiology [even if it is local] and replicate - the selection is on the replication stage hence the high rt conservation). Data suggests that env integrity is negatively associated with expansion (P&amp;lt;0.01), but expansion is not correlated with the other genes. \n\n\nAuthors point out at the end that env degradation and loss appears to be a consequence of retrotransposition, rather than a cause - despite their suggestive wording at the start.", "page" : "7385-90", "title" : "Env-less endogenous retroviruses are genomic superspreaders.", "type" : "article-journal", "volume" : "109" }, "uris" : [ "http://www.mendeley.com/documents/?uuid=98e08121-a169-4d61-87b3-1f08c112a636" ] } ], "mendeley" : { "formattedCitation" : "(Magiorkinis et al. 2012)", "plainTextFormattedCitation" : "(Magiorkinis et al. 2012)", "previouslyFormattedCitation" : "(Magiorkinis et al. 2012)" }, "properties" : { "noteIndex" : 0 }, "schema" : "https://github.com/citation-style-language/schema/raw/master/csl-citation.json" }</w:instrText>
      </w:r>
      <w:r>
        <w:fldChar w:fldCharType="separate"/>
      </w:r>
      <w:r w:rsidRPr="00C94DBA">
        <w:rPr>
          <w:noProof/>
        </w:rPr>
        <w:t>(Magiorkinis et al. 2012)</w:t>
      </w:r>
      <w:r>
        <w:fldChar w:fldCharType="end"/>
      </w:r>
      <w:r>
        <w:t>. Consequently, there are many sites which could facilitate inter- and intra-chromosomal recombination, leading to chromosome fission and fusion events, and sequence deletion. Such events are likely to be highly deleter</w:t>
      </w:r>
      <w:r w:rsidR="001F3A86">
        <w:t>ious for the host, so observed</w:t>
      </w:r>
      <w:r>
        <w:t xml:space="preserve"> recombination between LTR retrotransposon loci is rare </w:t>
      </w:r>
      <w:r>
        <w:fldChar w:fldCharType="begin" w:fldLock="1"/>
      </w:r>
      <w:r>
        <w:instrText>ADDIN CSL_CITATION { "citationItems" : [ { "id" : "ITEM-1", "itemData" : { "DOI" : "10.1038/ng775", "ISBN" : "1061-4036 (Print)", "ISSN" : "1061-4036", "PMID" : "11704760", "abstract" : "Human endogenous retroviruses (HERVs), which are remnants of past retroviral infections of the germline cells of our ancestors, make up as much as 8% of the human genome and may even outnumber genes. Most HERVs seem to have entered the genome between 10 and 50 million years ago, and they comprise over 200 distinct groups and subgroups. Although repeated sequence elements such as HERVs have the potential to lead to chromosomal rearrangement through homologous recombination between distant loci, evidence for the generality of this process is lacking. To gain insight into the expansion of these elements in the genome during the course of primate evolution, we have identified 23 new members of the HERV-K (HML-2) group, which is thought to contain the most recently active members. Here we show, by phylogenetic and sequence analysis, that at least 16% of these elements have undergone apparent rearrangements that may have resulted in large-scale deletions, duplications and chromosome reshuffling during the evolution of the human genome.", "author" : [ { "dropping-particle" : "", "family" : "Hughes", "given" : "J F", "non-dropping-particle" : "", "parse-names" : false, "suffix" : "" }, { "dropping-particle" : "", "family" : "Coffin", "given" : "J M", "non-dropping-particle" : "", "parse-names" : false, "suffix" : "" } ], "container-title" : "Nature genetics", "id" : "ITEM-1", "issue" : "4", "issued" : { "date-parts" : [ [ "2001" ] ] }, "page" : "487-489", "title" : "Evidence for genomic rearrangements mediated by human endogenous retroviruses during primate evolution.", "type" : "article-journal", "volume" : "29" }, "uris" : [ "http://www.mendeley.com/documents/?uuid=dbf82c79-473d-4116-91c3-3d9f812b0203" ] } ], "mendeley" : { "formattedCitation" : "(Hughes &amp; Coffin 2001)", "plainTextFormattedCitation" : "(Hughes &amp; Coffin 2001)", "previouslyFormattedCitation" : "(Hughes &amp; Coffin 2001)" }, "properties" : { "noteIndex" : 0 }, "schema" : "https://github.com/citation-style-language/schema/raw/master/csl-citation.json" }</w:instrText>
      </w:r>
      <w:r>
        <w:fldChar w:fldCharType="separate"/>
      </w:r>
      <w:r w:rsidRPr="00C94DBA">
        <w:rPr>
          <w:noProof/>
        </w:rPr>
        <w:t>(Hughes &amp; Coffin 2001)</w:t>
      </w:r>
      <w:r>
        <w:fldChar w:fldCharType="end"/>
      </w:r>
      <w:r>
        <w:t xml:space="preserve">. However, elevated transposable element activity in cancer genomes has been identified as a cause of genomic instability </w:t>
      </w:r>
      <w:r>
        <w:fldChar w:fldCharType="begin" w:fldLock="1"/>
      </w:r>
      <w:r>
        <w:instrText>ADDIN CSL_CITATION { "citationItems" : [ { "id" : "ITEM-1", "itemData" : { "DOI" : "10.1016/j.semcancer.2010.05.005", "ISBN" : "1044-579X", "ISSN" : "1044579X", "PMID" : "20685251", "abstract" : "Malignancy results from a complex combination of genetic and epigenetic changes, the full effects of which are still largely unknown. Here we summarize current knowledge of the origin, retrotranspositional activity, epigenetic state, and transcription of human endogenous retroviruses (HERVs), and then discuss the potential effects of their deregulation in cancer. Evidence suggests that cancer-associated epigenetic changes most likely underlie potential HERV-mediated effects on genome and transcriptome instability and may play a role in malignancy. Despite our currently limited understanding of the importance of HERVs or other transposable elements in cancer development, we believe that the emerging era of high-throughput sequencing of cancer genomes, epigenomes, and transcriptomes will provide unprecedented opportunities to investigate these roles in the future. \u00a9 2010 Elsevier Ltd.", "author" : [ { "dropping-particle" : "", "family" : "Romanish", "given" : "M. T.", "non-dropping-particle" : "", "parse-names" : false, "suffix" : "" }, { "dropping-particle" : "", "family" : "Cohen", "given" : "C. J.", "non-dropping-particle" : "", "parse-names" : false, "suffix" : "" }, { "dropping-particle" : "", "family" : "Mager", "given" : "D. L.", "non-dropping-particle" : "", "parse-names" : false, "suffix" : "" } ], "container-title" : "Seminars in Cancer Biology", "id" : "ITEM-1", "issue" : "4", "issued" : { "date-parts" : [ [ "2010" ] ] }, "page" : "246-253", "publisher" : "Elsevier Ltd", "title" : "Potential mechanisms of endogenous retroviral-mediated genomic instability in human cancer", "type" : "article-journal", "volume" : "20" }, "uris" : [ "http://www.mendeley.com/documents/?uuid=f3462ab7-59c5-4007-a09d-684b96ecba6f" ] } ], "mendeley" : { "formattedCitation" : "(Romanish et al. 2010)", "plainTextFormattedCitation" : "(Romanish et al. 2010)", "previouslyFormattedCitation" : "(Romanish et al. 2010)" }, "properties" : { "noteIndex" : 0 }, "schema" : "https://github.com/citation-style-language/schema/raw/master/csl-citation.json" }</w:instrText>
      </w:r>
      <w:r>
        <w:fldChar w:fldCharType="separate"/>
      </w:r>
      <w:r w:rsidRPr="00C94DBA">
        <w:rPr>
          <w:noProof/>
        </w:rPr>
        <w:t>(Romanish et al. 2010)</w:t>
      </w:r>
      <w:r>
        <w:fldChar w:fldCharType="end"/>
      </w:r>
      <w:r>
        <w:t>.</w:t>
      </w:r>
      <w:r w:rsidR="00E5192E">
        <w:t xml:space="preserve"> Recombination events can</w:t>
      </w:r>
      <w:r w:rsidR="007F3D6C">
        <w:t xml:space="preserve"> also facilitate sequence</w:t>
      </w:r>
      <w:r w:rsidR="00E5192E">
        <w:t xml:space="preserve"> duplication</w:t>
      </w:r>
      <w:r w:rsidR="007F3D6C">
        <w:t xml:space="preserve"> (including entire</w:t>
      </w:r>
      <w:r w:rsidR="00E5192E">
        <w:t xml:space="preserve"> gene blocks</w:t>
      </w:r>
      <w:r w:rsidR="007F3D6C">
        <w:t>)</w:t>
      </w:r>
      <w:r w:rsidR="00003861">
        <w:t xml:space="preserve"> </w:t>
      </w:r>
      <w:r w:rsidR="00003861">
        <w:fldChar w:fldCharType="begin" w:fldLock="1"/>
      </w:r>
      <w:r w:rsidR="00003861">
        <w:instrText>ADDIN CSL_CITATION { "citationItems" : [ { "id" : "ITEM-1", "itemData" : { "DOI" : "10.1093/molbev/msl199", "ISBN" : "0737-4038 (Print)\\n0737-4038 (Linking)", "ISSN" : "07374038", "PMID" : "17179139", "abstract" : "Duplicated genes frequently evolve at different rates. This asymmetry is evidence of natural selection's ability to discriminate between the 2 copies, subjecting them to different levels of purifying selection or even permitting adaptive evolution of one or both copies. However, if gene duplication creates pairs of protein-coding sequences that are initially identical, this raises the question of how selection tells the 2 copies apart. Here, we investigated asymmetric sequence divergence of recently duplicated genes in rodents and related this to 2 possible sources of such asymmetry: gene relocation as a consequence of duplication and retrotransposition as a mechanism of gene duplication. We found that most young rodent duplicates that have been relocated were created by retrotransposition. The degree of rate asymmetry in gene pairs where one copy has been relocated (either by retrotransposition or DNA-based duplication) is greater than in pairs formed by local DNA-based duplication events. Furthermore, by considering the direction of transposition for distant duplicates, we found a consistent tendency for retrogenes to undergo accelerated protein evolution relative to their static paralogs, whereas DNA-based transpositions showed no such tendency. Finally, we demonstrate that the faster sequence evolution of retrogenes correlates with the profound alteration of their expression pattern that is precipitated by retrotransposition.", "author" : [ { "dropping-particle" : "", "family" : "Cusack", "given" : "Brian P.", "non-dropping-particle" : "", "parse-names" : false, "suffix" : "" }, { "dropping-particle" : "", "family" : "Wolfe", "given" : "Kenneth H.", "non-dropping-particle" : "", "parse-names" : false, "suffix" : "" } ], "container-title" : "Molecular Biology and Evolution", "id" : "ITEM-1", "issue" : "3", "issued" : { "date-parts" : [ [ "2007" ] ] }, "page" : "679-686", "title" : "Not born equal: Increased rate asymmetry in relocated and retrotransposed rodent gene duplicates", "type" : "article-journal", "volume" : "24" }, "uris" : [ "http://www.mendeley.com/documents/?uuid=b9d2fe96-bd10-4ebf-9984-453394a0417d" ] }, { "id" : "ITEM-2", "itemData" : { "DOI" : "10.1016/j.ygeno.2007.06.001", "ISSN" : "08887543", "PMID" : "17628393", "abstract" : "Genes arising by retrotransposition are always different from their parent genes from the outset. In addition, the cDNA must insert into a region that allows expression or it will become a processed pseudogene. We sought to determine whether this class of gene duplication differs from other gene duplications based on functional criteria. Using amino acid sequences from Drosophila melanogaster, we identified retroduplicated gene pairs at various levels of sequence identity. Analysis of gene ontology annotations showed some enrichment of retroduplications in the cellular physiological processes class. Retroduplications show a higher level of nucleotide substitution than other gene duplications, suggesting a higher rate of divergence. Remarkably, analysis of microarray data for gene expression during embryogenesis showed that parent genes are more highly expressed relative to their retroduplicated copies, tandem duplications, and all genes. Furthermore, an expressed sequence tag library representation shows a broader distribution for parent genes than for all other genes and, as found previously by others, retroduplicated gene transcripts are found most abundantly in testes. Therefore, in examining retroduplicated gene pairs, we have found that parent genes of retroduplications are also a distinctive class in terms of transcript expression levels and distribution. ?? 2007 Elsevier Inc. All rights reserved.", "author" : [ { "dropping-particle" : "", "family" : "Langille", "given" : "Morgan G I", "non-dropping-particle" : "", "parse-names" : false, "suffix" : "" }, { "dropping-particle" : "V.", "family" : "Clark", "given" : "Denise", "non-dropping-particle" : "", "parse-names" : false, "suffix" : "" } ], "container-title" : "Genomics", "id" : "ITEM-2", "issue" : "3", "issued" : { "date-parts" : [ [ "2007" ] ] }, "page" : "334-343", "publisher" : "Elsevier Inc.", "title" : "Parent genes of retrotransposition-generated gene duplicates in Drosophila melanogaster have distinct expression profiles", "type" : "article-journal", "volume" : "90" }, "uris" : [ "http://www.mendeley.com/documents/?uuid=748d0406-58a9-4d0c-a92a-9938b456ed8a" ] }, { "id" : "ITEM-3", "itemData" : { "DOI" : "10.1093/molbev/msn162", "ISBN" : "1537-1719 (Electronic)\\r0737-4038 (Linking)", "ISSN" : "07374038", "PMID" : "18653731", "abstract" : "Newly created genes often acquire testis-specific or enhanced expression but neither the mechanisms responsible for this specificity nor the functional consequences of these evolutionary processes are well understood. Genomic analyses of the Drosophila melanogaster sperm proteome has identified 2 recently evolved gene families on the melanogaster lineage and 4 genes created by retrotransposition during the evolution of the melanogaster group that encode novel sperm components. The expanded Mst35B (protamine) and tektin gene families are the result of tandem duplication events with all family members displaying testis-specific expression. The Mst35B family encodes rapidly evolving protamines that display a robust signature of positive selection within the DNA-binding high-mobility group box consistent with functional diversification in genome repackaging during sperm nuclear remodeling. The Mst35B paralogs also reside in a significant regional cluster of testis-overexpressed genes. Tektins, known components of the axoneme, are encoded by 3 nearly identical X-linked genes, a finding consistent with very recent gene family expansion. In addition to localized duplication events, the evolution of the sperm proteome has also been driven by recent retrotransposition events resulting in Cdlc2, CG13340, Vha36, and CG4706. Cdlc2, CG13340, and Vha36 all display high levels of overexpression in the testis, and Cdlc2 and CG13340 reside within testis-overexpressed gene clusters. Thus, gene creation is a dynamic force in the evolution of sperm composition and possibly function, which further suggests that acquisition of molecular functionality in sperm may be an influential pathway in the fixation of new genes.", "author" : [ { "dropping-particle" : "", "family" : "Dorus", "given" : "Steve", "non-dropping-particle" : "", "parse-names" : false, "suffix" : "" }, { "dropping-particle" : "", "family" : "Freeman", "given" : "Zo\u00eb N.", "non-dropping-particle" : "", "parse-names" : false, "suffix" : "" }, { "dropping-particle" : "", "family" : "Parker", "given" : "Elizabeth R.", "non-dropping-particle" : "", "parse-names" : false, "suffix" : "" }, { "dropping-particle" : "", "family" : "Heath", "given" : "Benjamin D.", "non-dropping-particle" : "", "parse-names" : false, "suffix" : "" }, { "dropping-particle" : "", "family" : "Karr", "given" : "Timothy L.", "non-dropping-particle" : "", "parse-names" : false, "suffix" : "" } ], "container-title" : "Molecular Biology and Evolution", "id" : "ITEM-3", "issue" : "10", "issued" : { "date-parts" : [ [ "2008" ] ] }, "page" : "2157-2166", "title" : "Recent origins of sperm genes in Drosophila", "type" : "article-journal", "volume" : "25" }, "uris" : [ "http://www.mendeley.com/documents/?uuid=6f30a417-bb73-4209-ab87-db06067128af" ] }, { "id" : "ITEM-4", "itemData" : { "DOI" : "10.1101/gr.085951.108", "ISBN" : "1088-9051 (Print) 1088-9051 (Linking)", "ISSN" : "1088-9051, 1549-5469", "PMID" : "19411603", "author" : [ { "dropping-particle" : "V", "family" : "Han", "given" : "M", "non-dropping-particle" : "", "parse-names" : false, "suffix" : "" }, { "dropping-particle" : "", "family" : "Demuth", "given" : "J P", "non-dropping-particle" : "", "parse-names" : false, "suffix" : "" }, { "dropping-particle" : "", "family" : "McGrath", "given" : "C L", "non-dropping-particle" : "", "parse-names" : false, "suffix" : "" }, { "dropping-particle" : "", "family" : "Casola", "given" : "C", "non-dropping-particle" : "", "parse-names" : false, "suffix" : "" }, { "dropping-particle" : "", "family" : "Hahn", "given" : "M W", "non-dropping-particle" : "", "parse-names" : false, "suffix" : "" } ], "container-title" : "Genome Research", "id" : "ITEM-4", "issued" : { "date-parts" : [ [ "2009" ] ] }, "page" : "859-867", "title" : "Adaptive evolution of young duplicated genes in mammals", "type" : "article-journal", "volume" : "19" }, "uris" : [ "http://www.mendeley.com/documents/?uuid=08380bff-15a0-4291-8e9e-e9b2bdf2800e" ] } ], "mendeley" : { "formattedCitation" : "(Cusack &amp; Wolfe 2007; Langille &amp; Clark 2007; Dorus et al. 2008; Han et al. 2009)", "plainTextFormattedCitation" : "(Cusack &amp; Wolfe 2007; Langille &amp; Clark 2007; Dorus et al. 2008; Han et al. 2009)" }, "properties" : { "noteIndex" : 0 }, "schema" : "https://github.com/citation-style-language/schema/raw/master/csl-citation.json" }</w:instrText>
      </w:r>
      <w:r w:rsidR="00003861">
        <w:fldChar w:fldCharType="separate"/>
      </w:r>
      <w:r w:rsidR="00003861" w:rsidRPr="00003861">
        <w:rPr>
          <w:noProof/>
        </w:rPr>
        <w:t>(Cusack &amp; Wolfe 2007; Langille &amp; Clark 2007; Dorus et al. 2008; Han et al. 2009)</w:t>
      </w:r>
      <w:r w:rsidR="00003861">
        <w:fldChar w:fldCharType="end"/>
      </w:r>
      <w:r w:rsidR="00003861">
        <w:t>,</w:t>
      </w:r>
      <w:r w:rsidR="00F4496F">
        <w:t xml:space="preserve"> </w:t>
      </w:r>
      <w:r w:rsidR="00E5192E">
        <w:t xml:space="preserve">and the action of LTR retrotransposon </w:t>
      </w:r>
      <w:r w:rsidR="005F42F9">
        <w:t>reverse transcriptase and integrase</w:t>
      </w:r>
      <w:r w:rsidR="00E5192E">
        <w:t xml:space="preserve"> on host gene mRNA can cause the formation of retrogenes, which present opportunities for rapid host evolution </w:t>
      </w:r>
      <w:r w:rsidR="00E5192E">
        <w:fldChar w:fldCharType="begin" w:fldLock="1"/>
      </w:r>
      <w:r w:rsidR="007F3D6C">
        <w:instrText>ADDIN CSL_CITATION { "citationItems" : [ { "id" : "ITEM-1", "itemData" : { "DOI" : "10.1016/S0169-5347(01)02394-1", "ISSN" : "01695347", "author" : [ { "dropping-particle" : "", "family" : "Bromham", "given" : "Lindell", "non-dropping-particle" : "", "parse-names" : false, "suffix" : "" } ], "container-title" : "Trends in Ecology &amp; Evolution", "id" : "ITEM-1", "issue" : "2", "issued" : { "date-parts" : [ [ "2002", "2" ] ] }, "note" : "Five fates for viral DNA within the genome:\n1) retains ability to produce viral particles \n2) retains transpositional ability\n3) viral sequence co-opted into host genomic function\n4) viral sequence decays into &amp;#039;junk&amp;#039; \n5) excision from the DNA - either totally or leaving a solo LTR sequence\nThese fates are not mutually exclusive.\n\n        \nDecent review - not much new stuff.", "page" : "91-97", "title" : "The human zoo: endogenous retroviruses in the human genome", "type" : "article-journal", "volume" : "17" }, "uris" : [ "http://www.mendeley.com/documents/?uuid=1237f20e-0a17-4fe9-a650-43031968c7ea" ] }, { "id" : "ITEM-2", "itemData" : { "DOI" : "10.1038/nrg2487", "ISBN" : "1471-0056", "ISSN" : "1471-0064", "PMID" : "19030023", "abstract" : "Gene copies that stem from the mRNAs of parental source genes have long been viewed as evolutionary dead-ends with little biological relevance. Here we review a range of recent studies that have unveiled a significant number of functional retroposed gene copies in both mammalian and some non-mammalian genomes. These studies have not only revealed previously unknown mechanisms for the emergence of new genes and their functions but have also provided fascinating general insights into molecular and evolutionary processes that have shaped genomes. For example, analyses of chromosomal gene movement patterns via RNA-based gene duplication have shed fresh light on the evolutionary origin and biology of our sex chromosomes.", "author" : [ { "dropping-particle" : "", "family" : "Kaessmann", "given" : "Henrik", "non-dropping-particle" : "", "parse-names" : false, "suffix" : "" }, { "dropping-particle" : "", "family" : "Vinckenbosch", "given" : "Nicolas", "non-dropping-particle" : "", "parse-names" : false, "suffix" : "" }, { "dropping-particle" : "", "family" : "Long", "given" : "Manyuan", "non-dropping-particle" : "", "parse-names" : false, "suffix" : "" } ], "container-title" : "Nature reviews. Genetics", "id" : "ITEM-2", "issue" : "1", "issued" : { "date-parts" : [ [ "2009", "1" ] ] }, "page" : "19-31", "title" : "RNA-based gene duplication: mechanistic and evolutionary insights.", "type" : "article-journal", "volume" : "10" }, "uris" : [ "http://www.mendeley.com/documents/?uuid=e56033d3-9a85-423c-8fab-940a49200dd1" ] }, { "id" : "ITEM-3", "itemData" : { "DOI" : "10.1016/j.tig.2009.11.002", "ISSN" : "0168-9525", "PMID" : "19944475", "abstract" : "The current view of gene regulation in complex organisms holds that gene expression is largely controlled by the combinatoric actions of transcription factors and other regulatory proteins, some of which powerfully influence cell type. Recent large-scale studies have confirmed that cellular differentiation involves many different regulatory factors. However, other studies indicate that the genome is pervasively transcribed to produce a variety of short and long non-protein-coding RNAs, including those derived from retrotransposed sequences, which also play important roles in the epigenetic regulation of gene expression. The evidence suggests that ontogenesis requires interplay between state-specific regulatory proteins, multitasked effector complexes and target-specific RNAs that recruit these complexes to their sites of action. Moreover, the semi-continuous nature of the transcriptome prompts the reassessment of 'genes' as discrete entities and indicates that the mammalian genome might be more accurately viewed as islands of protein-coding information in a sea of cis- and trans-acting regulatory sequences.", "author" : [ { "dropping-particle" : "", "family" : "Mattick", "given" : "John S", "non-dropping-particle" : "", "parse-names" : false, "suffix" : "" }, { "dropping-particle" : "", "family" : "Taft", "given" : "Ryan J", "non-dropping-particle" : "", "parse-names" : false, "suffix" : "" }, { "dropping-particle" : "", "family" : "Faulkner", "given" : "Geoffrey J", "non-dropping-particle" : "", "parse-names" : false, "suffix" : "" } ], "container-title" : "Trends in genetics : TIG", "id" : "ITEM-3", "issue" : "1", "issued" : { "date-parts" : [ [ "2010", "1" ] ] }, "page" : "21-8", "title" : "A global view of genomic information--moving beyond the gene and the master regulator.", "type" : "article-journal", "volume" : "26" }, "uris" : [ "http://www.mendeley.com/documents/?uuid=7135cff5-b160-4a25-8aca-e32d4b884513" ] } ], "mendeley" : { "formattedCitation" : "(Bromham 2002; Kaessmann et al. 2009; Mattick et al. 2010)", "plainTextFormattedCitation" : "(Bromham 2002; Kaessmann et al. 2009; Mattick et al. 2010)", "previouslyFormattedCitation" : "(Bromham 2002; Kaessmann et al. 2009; Mattick et al. 2010)" }, "properties" : { "noteIndex" : 0 }, "schema" : "https://github.com/citation-style-language/schema/raw/master/csl-citation.json" }</w:instrText>
      </w:r>
      <w:r w:rsidR="00E5192E">
        <w:fldChar w:fldCharType="separate"/>
      </w:r>
      <w:r w:rsidR="007F3D6C" w:rsidRPr="007F3D6C">
        <w:rPr>
          <w:noProof/>
        </w:rPr>
        <w:t>(Bromham 2002; Kaessmann et al. 2009; Mattick et al. 2010)</w:t>
      </w:r>
      <w:r w:rsidR="00E5192E">
        <w:fldChar w:fldCharType="end"/>
      </w:r>
      <w:r w:rsidR="00E5192E">
        <w:t xml:space="preserve">.  </w:t>
      </w:r>
    </w:p>
    <w:p w14:paraId="69B9640E" w14:textId="3F9BB06E" w:rsidR="005F42F9" w:rsidRDefault="005F42F9" w:rsidP="00391005">
      <w:pPr>
        <w:pStyle w:val="ListParagraph"/>
      </w:pPr>
      <w:r>
        <w:t>LTRs themselves have been well documented as providing alternative,</w:t>
      </w:r>
      <w:r w:rsidR="000D63A0">
        <w:t xml:space="preserve"> or tissue-specific promoters to host genes </w:t>
      </w:r>
      <w:r w:rsidR="000D63A0">
        <w:fldChar w:fldCharType="begin" w:fldLock="1"/>
      </w:r>
      <w:r w:rsidR="000D63A0">
        <w:instrText>ADDIN CSL_CITATION { "citationItems" : [ { "id" : "ITEM-1", "itemData" : { "DOI" : "10.1177/10454411930040033501", "ISBN" : "1045-4411 (Print)\\r1045-4411 (Linking)", "ISSN" : "1045-4411", "PMID" : "7690604", "abstract" : "Analysis of the structures of the human amylase genes has demonstrated that this multigene family contains at least five tandem gene copies, closely related in sequence but with distinct tissue specific expression. The structures of the genes demonstrate that the human salivary amylase gene was derived from a preexisting pancreatic amylase gene. Insertion of a retrovirus upstream of the amylase gene is responsible for the alteration in tissue specificity. A parotid specific enhancer has been identified within the retrovirus by expression studies in transgenic mice. The independent origin of salivary amylase in rodents and primates suggests that there has been strong evolutionary selection for amylase in saliva. The amylase genes demonstrate a novel mechanism for evolution of new patterns of tissue specific gene expression.", "author" : [ { "dropping-particle" : "", "family" : "Meisler", "given" : "Miriam H.", "non-dropping-particle" : "", "parse-names" : false, "suffix" : "" }, { "dropping-particle" : "", "family" : "Ting", "given" : "Chao-Nan", "non-dropping-particle" : "", "parse-names" : false, "suffix" : "" } ], "container-title" : "Critical Reviews in Oral Biology &amp; Medicine", "id" : "ITEM-1", "issue" : "3", "issued" : { "date-parts" : [ [ "1993" ] ] }, "page" : "503-509", "title" : "The Remarkable Evolutionary History of the Human Amylase Genes", "type" : "article-journal", "volume" : "4" }, "uris" : [ "http://www.mendeley.com/documents/?uuid=bae4cb27-50f0-4024-bf01-bff9e0333f4e" ] }, { "id" : "ITEM-2", "itemData" : { "DOI" : "10.1016/j.gene.2005.05.045", "ISSN" : "0378-1119", "PMID" : "16112824", "abstract" : "Throughout the course of vertebrate evolution, germline retroviral infections have resulted in heritable provirus insertions into host DNA. These endogenous retroviruses (ERVs) contain long terminal repeat (LTR) promoters that can be adopted for use by nearby host genes. It is not known whether the transcription factor (TF) binding sites and tissue-specificities of modern LTR gene promoters have been retained since the time of ERV insertion, or if these features evolved later as the LTR became involved in host gene regulation. To address this issue, we have conducted a case study of the ERV-L LTR promoter of human beta1,3-galactosyltransferase 5 (beta3GAL-T5). We have previously shown that the human beta3GAL-T5 LTR promoter is responsible for the majority of gene transcripts in the colon. The murine beta3gal-t5 gene is also expressed primarily in the colon, despite the absence of an orthologous ERV-L LTR in the mouse genome. We therefore hypothesized that both the ERV-L LTR and the non-retroviral ancestral beta3GAL-T5 promoter were active in the colon at the time of ERV insertion. In support of this hypothesis, we have shown that the orthologous LTRs of four non-human primates are also active in a human colorectal cell line, and that the baboon LTR is active in primary baboon colon tissue. We also present evidence that the functional TF binding sites of the human beta3GAL-T5 LTR promoter were present in the original consensus sequence for this class of LTRs. Upon similar analysis of other ERV sequences, we have concluded that this evolutionary history is shared by certain other LTR gene promoters, and may be a general phenomenon.", "author" : [ { "dropping-particle" : "", "family" : "Dunn", "given" : "Catherine a", "non-dropping-particle" : "", "parse-names" : false, "suffix" : "" }, { "dropping-particle" : "", "family" : "Lagemaat", "given" : "Louie N", "non-dropping-particle" : "van de", "parse-names" : false, "suffix" : "" }, { "dropping-particle" : "", "family" : "Baillie", "given" : "Gregory J", "non-dropping-particle" : "", "parse-names" : false, "suffix" : "" }, { "dropping-particle" : "", "family" : "Mager", "given" : "Dixie L", "non-dropping-particle" : "", "parse-names" : false, "suffix" : "" } ], "container-title" : "Gene", "id" : "ITEM-2", "issued" : { "date-parts" : [ [ "2005", "12", "30" ] ] }, "page" : "2-12", "title" : "Endogenous retrovirus long terminal repeats as ready-to-use mobile promoters: the case of primate beta3GAL-T5.", "type" : "article-journal", "volume" : "364" }, "uris" : [ "http://www.mendeley.com/documents/?uuid=560950a2-1cd1-4850-b695-6663b1f655f5" ] }, { "id" : "ITEM-3", "itemData" : { "DOI" : "10.1016/j.gene.2005.09.003", "ISSN" : "0378-1119", "PMID" : "16288839", "abstract" : "Eight percent of the human genome is derived from endogenous retrovirus (ERV) insertions. ERV long terminal repeats (LTRs) contain strong promoters that are known to contribute to the transcriptional regulation of certain human genes. While some LTRs are known to possess bidirectional promoter activity in vitro, only sense orientation LTR promoters have previously been shown to regulate human gene expression. Here we demonstrate that an ERV1 LTR acts as a bidirectional promoter for the human Down syndrome critical region 4 (DSCR4) and DSCR8 genes. We show that while DSCR4 and DSCR8 are essentially co-expressed, their shared LTR promoter is more active in the sense than the antisense orientation. Through deletion analysis of the LTR we have identified positive and negative regulatory elements, and defined a core region of the promoter that is required for transcriptional activity in both orientations. Finally, we show that the ERV LTR also exists in the genomes of several non-human primates, and present evidence that potential transcription factor binding sites in the core region have been maintained throughout primate evolution.", "author" : [ { "dropping-particle" : "", "family" : "Dunn", "given" : "Catherine a", "non-dropping-particle" : "", "parse-names" : false, "suffix" : "" }, { "dropping-particle" : "", "family" : "Romanish", "given" : "Mark T", "non-dropping-particle" : "", "parse-names" : false, "suffix" : "" }, { "dropping-particle" : "", "family" : "Gutierrez", "given" : "Leanne E", "non-dropping-particle" : "", "parse-names" : false, "suffix" : "" }, { "dropping-particle" : "", "family" : "Lagemaat", "given" : "Louie N", "non-dropping-particle" : "van de", "parse-names" : false, "suffix" : "" }, { "dropping-particle" : "", "family" : "Mager", "given" : "Dixie L", "non-dropping-particle" : "", "parse-names" : false, "suffix" : "" } ], "container-title" : "Gene", "id" : "ITEM-3", "issue" : "2", "issued" : { "date-parts" : [ [ "2006", "2", "1" ] ] }, "page" : "335-42", "title" : "Transcription of two human genes from a bidirectional endogenous retrovirus promoter.", "type" : "article-journal", "volume" : "366" }, "uris" : [ "http://www.mendeley.com/documents/?uuid=a5c379e7-cd6d-4de4-aa4c-4cba5619e279" ] }, { "id" : "ITEM-4", "itemData" : { "DOI" : "10.1371/journal.pgen.0030010", "ISSN" : "1553-7404", "PMID" : "17222062", "abstract" : "Neuronal apoptosis inhibitory protein (NAIP, also known as BIRC1) is a member of the conserved inhibitor of apoptosis protein (IAP) family. Lineage-specific rearrangements and expansions of this locus have yielded different copy numbers among primates and rodents, with human retaining a single functional copy and mouse possessing several copies, depending on the strain. Roles for this gene in disease have been documented, but little is known about transcriptional regulation of NAIP. We show here that NAIP has multiple promoters sharing no similarity between human and rodents. Moreover, we demonstrate that multiple, domesticated long terminal repeats (LTRs) of endogenous retroviral elements provide NAIP promoter function in human, mouse, and rat. In human, an LTR serves as a tissue-specific promoter, active primarily in testis. However, in rodents, our evidence indicates that an ancestral LTR common to all rodent genes is the major, constitutive promoter for these genes, and that a second LTR found in two of the mouse genes is a minor promoter. Thus, independently acquired LTRs have assumed regulatory roles for orthologous genes, a remarkable evolutionary scenario. We also demonstrate that 5' flanking regions of IAP family genes as a group, in both human and mouse are enriched for LTR insertions compared to average genes. We propose several potential explanations for these findings, including a hypothesis that recruitment of LTRs near NAIP or other IAP genes may represent a host-cell adaptation to modulate apoptotic responses.", "author" : [ { "dropping-particle" : "", "family" : "Romanish", "given" : "Mark T", "non-dropping-particle" : "", "parse-names" : false, "suffix" : "" }, { "dropping-particle" : "", "family" : "Lock", "given" : "Wynne M", "non-dropping-particle" : "", "parse-names" : false, "suffix" : "" }, { "dropping-particle" : "", "family" : "Lagemaat", "given" : "Louie N", "non-dropping-particle" : "van de", "parse-names" : false, "suffix" : "" }, { "dropping-particle" : "", "family" : "Dunn", "given" : "Catherine a", "non-dropping-particle" : "", "parse-names" : false, "suffix" : "" }, { "dropping-particle" : "", "family" : "Mager", "given" : "Dixie L", "non-dropping-particle" : "", "parse-names" : false, "suffix" : "" } ], "container-title" : "PLoS genetics", "id" : "ITEM-4", "issue" : "1", "issued" : { "date-parts" : [ [ "2007", "1", "12" ] ] }, "page" : "e10", "title" : "Repeated recruitment of LTR retrotransposons as promoters by the anti-apoptotic locus NAIP during mammalian evolution.", "type" : "article-journal", "volume" : "3" }, "uris" : [ "http://www.mendeley.com/documents/?uuid=27390316-fba0-472b-9968-3249c979ddc7" ] }, { "id" : "ITEM-5", "itemData" : { "DOI" : "10.1016/j.gene.2009.06.020", "ISSN" : "1879-0038", "PMID" : "19577618", "abstract" : "Gene regulatory changes are thought to be major factors driving species evolution, with creation of new regulatory regions likely being instrumental in contributing to diversity among vertebrates. There is growing appreciation for the role of transposable elements (TEs) in gene regulation and, indeed, laboratory investigations have confirmed many specific examples of mammalian genes regulated by promoters donated by endogenous retroviruses (ERVs) or other TEs. Bioinformatics studies have revealed hundreds of additional instances where this is likely to be the case. Since the long terminal repeats (LTRs) of retroviruses naturally contain abundant transcriptional regulatory signals, roles for ERV LTRs in regulating mammalian genes are eminently plausible. Moreover, it seems reasonable that exaptation of an LTR regulatory module provides opportunities for evolution of new gene regulatory patterns. In this Review we summarize known examples of LTRs that function as human gene alternative promoters, as well as the evidence that LTR exaptation has resulted in a pattern of novel gene expression significantly different from the pattern before LTR insertion or from that of gene orthologs lacking the LTR. Available data suggest that, while new expression patterns can arise as a result of LTR usage, this situation is relatively rare and is largely restricted to the placenta. In many cases, the LTR appears to be a minor, alternative promoter with an expression pattern similar to that of the native promoter(s) and hence likely exerts a subtle overall effect on gene expression. We discuss these findings and offer evolutionary models to explain these trends.", "author" : [ { "dropping-particle" : "", "family" : "Cohen", "given" : "Carla J", "non-dropping-particle" : "", "parse-names" : false, "suffix" : "" }, { "dropping-particle" : "", "family" : "Lock", "given" : "Wynne M", "non-dropping-particle" : "", "parse-names" : false, "suffix" : "" }, { "dropping-particle" : "", "family" : "Mager", "given" : "Dixie L", "non-dropping-particle" : "", "parse-names" : false, "suffix" : "" } ], "container-title" : "Gene", "id" : "ITEM-5", "issue" : "2", "issued" : { "date-parts" : [ [ "2009", "12", "15" ] ] }, "page" : "105-14", "publisher" : "Elsevier B.V.", "title" : "Endogenous retroviral LTRs as promoters for human genes: a critical assessment.", "type" : "article-journal", "volume" : "448" }, "uris" : [ "http://www.mendeley.com/documents/?uuid=274beb89-20d3-44b9-8fc6-6f8178d8f968" ] }, { "id" : "ITEM-6", "itemData" : { "DOI" : "10.1371/journal.pgen.1003504", "ISSN" : "1553-7404", "PMID" : "23675311", "abstract" : "Although emerging evidence suggests that transposable elements (TEs) have contributed novel regulatory elements to the human genome, their global impact on transcriptional networks remains largely uncharacterized. Here we show that TEs have contributed to the human genome nearly half of its active elements. Using DNase I hypersensitivity data sets from ENCODE in normal, embryonic, and cancer cells, we found that 44% of open chromatin regions were in TEs and that this proportion reached 63% for primate-specific regions. We also showed that distinct subfamilies of endogenous retroviruses (ERVs) contributed significantly more accessible regions than expected by chance, with up to 80% of their instances in open chromatin. Based on these results, we further characterized 2,150 TE subfamily-transcription factor pairs that were bound in vivo or enriched for specific binding motifs, and observed that TEs contributing to open chromatin had higher levels of sequence conservation. We also showed that thousands of ERV-derived sequences were activated in a cell type-specific manner, especially in embryonic and cancer cells, and we demonstrated that this activity was associated with cell type-specific expression of neighboring genes. Taken together, these results demonstrate that TEs, and in particular ERVs, have contributed hundreds of thousands of novel regulatory elements to the primate lineage and reshaped the human transcriptional landscape.", "author" : [ { "dropping-particle" : "", "family" : "Jacques", "given" : "Pierre-\u00c9tienne", "non-dropping-particle" : "", "parse-names" : false, "suffix" : "" }, { "dropping-particle" : "", "family" : "Jeyakani", "given" : "Justin", "non-dropping-particle" : "", "parse-names" : false, "suffix" : "" }, { "dropping-particle" : "", "family" : "Bourque", "given" : "Guillaume", "non-dropping-particle" : "", "parse-names" : false, "suffix" : "" } ], "container-title" : "PLoS genetics", "id" : "ITEM-6", "issue" : "5", "issued" : { "date-parts" : [ [ "2013", "5" ] ] }, "page" : "e1003504", "title" : "The majority of primate-specific regulatory sequences are derived from transposable elements.", "type" : "article-journal", "volume" : "9" }, "uris" : [ "http://www.mendeley.com/documents/?uuid=015da650-56de-425e-859d-af26b5c2fcbb" ] }, { "id" : "ITEM-7", "itemData" : { "DOI" : "10.1371/journal.pgen.1003183", "ISSN" : "1553-7404", "PMID" : "23359636", "abstract" : "The genetic determination of eggshell coloration has not been determined in birds. Here we report that the blue eggshell is caused by an EAV-HP insertion that promotes the expression of SLCO1B3 gene in the uterus (shell gland) of the oviduct in chicken. In this study, the genetic map location of the blue eggshell gene was refined by linkage analysis in an F(2) chicken population, and four candidate genes within the refined interval were subsequently tested for their expression levels in the shell gland of the uterus from blue-shelled and non-blue-shelled hens. SLCO1B3 gene was found to be the only one expressed in the uterus of blue-shelled hens but not in that of non-blue-shelled hens. Results from a pyrosequencing analysis showed that only the allele of SLCO1B3 from blue-shelled chickens was expressed in the uterus of heterozygous hens (O*LC/O*N). SLCO1B3 gene belongs to the organic anion transporting polypeptide (OATP) family; and the OATPs, functioning as membrane transporters, have been reported for the transportation of amphipathic organic compounds, including bile salt in mammals. We subsequently resequenced the whole genomic region of SLCO1B3 and discovered an EAV-HP insertion in the 5' flanking region of SLCO1B3. The EAV-HP insertion was found closely associated with blue eggshell phenotype following complete Mendelian segregation. In situ hybridization also demonstrated that the blue eggshell is associated with ectopic expression of SLCO1B3 in shell glands of uterus. Our finding strongly suggests that the EAV-HP insertion is the causative mutation for the blue eggshell phenotype. The insertion was also found in another Chinese blue-shelled breed and an American blue-shelled breed. In addition, we found that the insertion site in the blue-shelled chickens from Araucana is different from that in Chinese breeds, which implied independent integration events in the blue-shelled chickens from the two continents, providing a parallel evolutionary example at the molecular level.", "author" : [ { "dropping-particle" : "", "family" : "Wang", "given" : "Zhepeng", "non-dropping-particle" : "", "parse-names" : false, "suffix" : "" }, { "dropping-particle" : "", "family" : "Qu", "given" : "Lujiang", "non-dropping-particle" : "", "parse-names" : false, "suffix" : "" }, { "dropping-particle" : "", "family" : "Yao", "given" : "Junfeng", "non-dropping-particle" : "", "parse-names" : false, "suffix" : "" }, { "dropping-particle" : "", "family" : "Yang", "given" : "Xiaolin", "non-dropping-particle" : "", "parse-names" : false, "suffix" : "" }, { "dropping-particle" : "", "family" : "Li", "given" : "Guangqi", "non-dropping-particle" : "", "parse-names" : false, "suffix" : "" }, { "dropping-particle" : "", "family" : "Zhang", "given" : "Yuanyuan", "non-dropping-particle" : "", "parse-names" : false, "suffix" : "" }, { "dropping-particle" : "", "family" : "Li", "given" : "Junying", "non-dropping-particle" : "", "parse-names" : false, "suffix" : "" }, { "dropping-particle" : "", "family" : "Wang", "given" : "Xiaotong", "non-dropping-particle" : "", "parse-names" : false, "suffix" : "" }, { "dropping-particle" : "", "family" : "Bai", "given" : "Jirong", "non-dropping-particle" : "", "parse-names" : false, "suffix" : "" }, { "dropping-particle" : "", "family" : "Xu", "given" : "Guiyun", "non-dropping-particle" : "", "parse-names" : false, "suffix" : "" }, { "dropping-particle" : "", "family" : "Deng", "given" : "Xuemei", "non-dropping-particle" : "", "parse-names" : false, "suffix" : "" }, { "dropping-particle" : "", "family" : "Yang", "given" : "Ning", "non-dropping-particle" : "", "parse-names" : false, "suffix" : "" }, { "dropping-particle" : "", "family" : "Wu", "given" : "Changxin", "non-dropping-particle" : "", "parse-names" : false, "suffix" : "" } ], "container-title" : "PLoS genetics", "id" : "ITEM-7", "issue" : "1", "issued" : { "date-parts" : [ [ "2013", "1" ] ] }, "note" : "Paper provides an example where retroviral element insertion alters expression.", "page" : "e1003183", "title" : "An EAV-HP insertion in 5' Flanking region of SLCO1B3 causes blue eggshell in the chicken.", "type" : "article-journal", "volume" : "9" }, "uris" : [ "http://www.mendeley.com/documents/?uuid=ac44ac61-5670-49f6-9d09-be1e57235d13" ] }, { "id" : "ITEM-8", "itemData" : { "DOI" : "10.1371/journal.pone.0071393", "ISSN" : "1932-6203", "PMID" : "23990950", "abstract" : "Oocyan or blue/green eggshell colour is an autosomal dominant trait found in native chickens (Mapuche fowl) of Chile and in some of their descendants in European and North American modern breeds. We report here the identification of an endogenous avian retroviral (EAV-HP) insertion in oocyan Mapuche fowl and European breeds. Sequencing data reveals 100% retroviral identity between the Mapuche and European insertions. Quantitative real-time PCR analysis of European oocyan chicken indicates over-expression of the SLCO1B3 gene (P&lt;0.05) in the shell gland and oviduct. Predicted transcription factor binding sites in the long terminal repeats (LTR) indicate AhR/Ar, a modulator of oestrogen, as a possible promoter/enhancer leading to reproductive tissue-specific over-expression of the SLCO1B3 gene. Analysis of all jungle fowl species Gallus sp. supports the retroviral insertion to be a post-domestication event, while identical LTR sequences within domestic chickens are in agreement with a recent de novo mutation.", "author" : [ { "dropping-particle" : "", "family" : "Wragg", "given" : "David", "non-dropping-particle" : "", "parse-names" : false, "suffix" : "" }, { "dropping-particle" : "", "family" : "Mwacharo", "given" : "Joram M", "non-dropping-particle" : "", "parse-names" : false, "suffix" : "" }, { "dropping-particle" : "", "family" : "Alcalde", "given" : "Jos\u00e9 a", "non-dropping-particle" : "", "parse-names" : false, "suffix" : "" }, { "dropping-particle" : "", "family" : "Wang", "given" : "Chen", "non-dropping-particle" : "", "parse-names" : false, "suffix" : "" }, { "dropping-particle" : "", "family" : "Han", "given" : "Jian-Lin", "non-dropping-particle" : "", "parse-names" : false, "suffix" : "" }, { "dropping-particle" : "", "family" : "Gongora", "given" : "Jaime", "non-dropping-particle" : "", "parse-names" : false, "suffix" : "" }, { "dropping-particle" : "", "family" : "Gourichon", "given" : "David", "non-dropping-particle" : "", "parse-names" : false, "suffix" : "" }, { "dropping-particle" : "", "family" : "Tixier-Boichard", "given" : "Mich\u00e8le", "non-dropping-particle" : "", "parse-names" : false, "suffix" : "" }, { "dropping-particle" : "", "family" : "Hanotte", "given" : "Olivier", "non-dropping-particle" : "", "parse-names" : false, "suffix" : "" } ], "container-title" : "PloS one", "id" : "ITEM-8", "issue" : "8", "issued" : { "date-parts" : [ [ "2013", "1" ] ] }, "page" : "e71393", "title" : "Endogenous Retrovirus EAV-HP Linked to Blue Egg Phenotype in Mapuche Fowl.", "type" : "article-journal", "volume" : "8" }, "uris" : [ "http://www.mendeley.com/documents/?uuid=f54f809e-4c23-4b8a-b021-449462f2511f" ] } ], "mendeley" : { "formattedCitation" : "(Meisler &amp; Ting 1993; Dunn et al. 2005; Dunn et al. 2006; Romanish et al. 2007; Cohen et al. 2009; Jacques et al. 2013; Z. Wang et al. 2013; Wragg et al. 2013)", "plainTextFormattedCitation" : "(Meisler &amp; Ting 1993; Dunn et al. 2005; Dunn et al. 2006; Romanish et al. 2007; Cohen et al. 2009; Jacques et al. 2013; Z. Wang et al. 2013; Wragg et al. 2013)", "previouslyFormattedCitation" : "(Meisler &amp; Ting 1993; Dunn et al. 2005; Dunn et al. 2006; Romanish et al. 2007; Cohen et al. 2009; Jacques et al. 2013; Z. Wang et al. 2013; Wragg et al. 2013)" }, "properties" : { "noteIndex" : 0 }, "schema" : "https://github.com/citation-style-language/schema/raw/master/csl-citation.json" }</w:instrText>
      </w:r>
      <w:r w:rsidR="000D63A0">
        <w:fldChar w:fldCharType="separate"/>
      </w:r>
      <w:r w:rsidR="000D63A0" w:rsidRPr="000D63A0">
        <w:rPr>
          <w:noProof/>
        </w:rPr>
        <w:t>(Meisler &amp; Ting 1993; Dunn et al. 2005; Dunn et al. 2006; Romanish et al. 2007; Cohen et al. 2009; Jacques et al. 2013; Z. Wang et al. 2013; Wragg et al. 2013)</w:t>
      </w:r>
      <w:r w:rsidR="000D63A0">
        <w:fldChar w:fldCharType="end"/>
      </w:r>
      <w:r w:rsidR="000D63A0">
        <w:t xml:space="preserve">. Interestingly, the influence of these mobile promoters can be felt from large </w:t>
      </w:r>
      <w:r w:rsidR="00D77F94">
        <w:t xml:space="preserve">up- and down-stream </w:t>
      </w:r>
      <w:r w:rsidR="000D63A0">
        <w:t xml:space="preserve">distances, making the bioinformatic prediction of LTR impacts on gene expression difficult </w:t>
      </w:r>
      <w:r w:rsidR="000D63A0">
        <w:fldChar w:fldCharType="begin" w:fldLock="1"/>
      </w:r>
      <w:r w:rsidR="000D63A0">
        <w:instrText>ADDIN CSL_CITATION { "citationItems" : [ { "id" : "ITEM-1", "itemData" : { "DOI" : "10.1101/gr.130740.111", "ISSN" : "1549-5469", "PMID" : "22367191", "abstract" : "Endogenous retrotransposons have caused extensive genomic variation within mammalian species, but the functional implications of such mobilization are mostly unknown. We mapped thousands of endogenous retrovirus (ERV) germline integrants in highly divergent, previously unsequenced mouse lineages, facilitating a comparison of gene expression in the presence or absence of local insertions. Polymorphic ERVs occur relatively infrequently in gene introns and are particularly depleted from genes involved in embryogenesis or that are highly expressed in embryonic stem cells. Their genomic distribution implies ongoing negative selection due to deleterious effects on gene expression and function. A polymorphic, intronic ERV at Slc15a2 triggers up to 49-fold increases in premature transcriptional termination and up to 39-fold reductions in full-length transcripts in adult mouse tissues, thereby disrupting protein expression and functional activity. Prematurely truncated transcripts also occur at Polr1a, Spon1, and up to \u223c5% of other genes when intronic ERV polymorphisms are present. Analysis of expression quantitative trait loci (eQTLs) in recombinant BxD mouse strains demonstrated very strong genetic associations between the polymorphic ERV in cis and disrupted transcript levels. Premature polyadenylation is triggered at genomic distances up to &gt;12.5 kb upstream of the ERV, both in cis and between alleles. The parent of origin of the ERV is associated with variable expression of nonterminated transcripts and differential DNA methylation at its 5'-long terminal repeat. This study defines an unexpectedly strong functional impact of ERVs in disrupting gene transcription at a distance and demonstrates that ongoing retrotransposition can contribute significantly to natural phenotypic diversity.", "author" : [ { "dropping-particle" : "", "family" : "Li", "given" : "Jingfeng", "non-dropping-particle" : "", "parse-names" : false, "suffix" : "" }, { "dropping-particle" : "", "family" : "Akagi", "given" : "Keiko", "non-dropping-particle" : "", "parse-names" : false, "suffix" : "" }, { "dropping-particle" : "", "family" : "Hu", "given" : "Yongjun", "non-dropping-particle" : "", "parse-names" : false, "suffix" : "" }, { "dropping-particle" : "", "family" : "Trivett", "given" : "Anna L", "non-dropping-particle" : "", "parse-names" : false, "suffix" : "" }, { "dropping-particle" : "", "family" : "Hlynialuk", "given" : "Christopher J W", "non-dropping-particle" : "", "parse-names" : false, "suffix" : "" }, { "dropping-particle" : "", "family" : "Swing", "given" : "Deborah a", "non-dropping-particle" : "", "parse-names" : false, "suffix" : "" }, { "dropping-particle" : "", "family" : "Volfovsky", "given" : "Natalia", "non-dropping-particle" : "", "parse-names" : false, "suffix" : "" }, { "dropping-particle" : "", "family" : "Morgan", "given" : "Tamara C", "non-dropping-particle" : "", "parse-names" : false, "suffix" : "" }, { "dropping-particle" : "", "family" : "Golubeva", "given" : "Yelena", "non-dropping-particle" : "", "parse-names" : false, "suffix" : "" }, { "dropping-particle" : "", "family" : "Stephens", "given" : "Robert M", "non-dropping-particle" : "", "parse-names" : false, "suffix" : "" }, { "dropping-particle" : "", "family" : "Smith", "given" : "David E", "non-dropping-particle" : "", "parse-names" : false, "suffix" : "" }, { "dropping-particle" : "", "family" : "Symer", "given" : "David E", "non-dropping-particle" : "", "parse-names" : false, "suffix" : "" } ], "container-title" : "Genome research", "id" : "ITEM-1", "issue" : "5", "issued" : { "date-parts" : [ [ "2012", "5" ] ] }, "page" : "870-84", "title" : "Mouse endogenous retroviruses can trigger premature transcriptional termination at a distance.", "type" : "article-journal", "volume" : "22" }, "uris" : [ "http://www.mendeley.com/documents/?uuid=3ba61b1d-9b73-4369-88d2-64924c02064d" ] } ], "mendeley" : { "formattedCitation" : "(Li et al. 2012)", "plainTextFormattedCitation" : "(Li et al. 2012)", "previouslyFormattedCitation" : "(Li et al. 2012)" }, "properties" : { "noteIndex" : 0 }, "schema" : "https://github.com/citation-style-language/schema/raw/master/csl-citation.json" }</w:instrText>
      </w:r>
      <w:r w:rsidR="000D63A0">
        <w:fldChar w:fldCharType="separate"/>
      </w:r>
      <w:r w:rsidR="000D63A0" w:rsidRPr="000D63A0">
        <w:rPr>
          <w:noProof/>
        </w:rPr>
        <w:t>(Li et al. 2012)</w:t>
      </w:r>
      <w:r w:rsidR="000D63A0">
        <w:fldChar w:fldCharType="end"/>
      </w:r>
      <w:r w:rsidR="000D63A0">
        <w:t xml:space="preserve">. Integrations within gene introns are much more common than those near (within 10 kb) upstream promoters and the transcription start site, and are known to disrupt splice sites which can cause or limit alternative transcripts, sometimes in a tissue-specific manner </w:t>
      </w:r>
      <w:r w:rsidR="000D63A0">
        <w:fldChar w:fldCharType="begin" w:fldLock="1"/>
      </w:r>
      <w:r w:rsidR="00A40494">
        <w:instrText>ADDIN CSL_CITATION { "citationItems" : [ { "id" : "ITEM-1",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"ITEM-1", "issued" : { "date-parts" : [ [ "2006", "1" ] ] }, "page" : "19", "title" : "Complete association between a retroviral insertion in the tyrosinase gene and the recessive white mutation in chickens.", "type" : "article-journal", "volume" : "7" }, "uris" : [ "http://www.mendeley.com/documents/?uuid=8077fea8-838f-4da4-b799-fb7fa0225565" ] }, { "id" : "ITEM-2", "itemData" : { "DOI" : "10.1016/j.tig.2009.11.002", "ISSN" : "0168-9525", "PMID" : "19944475", "abstract" : "The current view of gene regulation in complex organisms holds that gene expression is largely controlled by the combinatoric actions of transcription factors and other regulatory proteins, some of which powerfully influence cell type. Recent large-scale studies have confirmed that cellular differentiation involves many different regulatory factors. However, other studies indicate that the genome is pervasively transcribed to produce a variety of short and long non-protein-coding RNAs, including those derived from retrotransposed sequences, which also play important roles in the epigenetic regulation of gene expression. The evidence suggests that ontogenesis requires interplay between state-specific regulatory proteins, multitasked effector complexes and target-specific RNAs that recruit these complexes to their sites of action. Moreover, the semi-continuous nature of the transcriptome prompts the reassessment of 'genes' as discrete entities and indicates that the mammalian genome might be more accurately viewed as islands of protein-coding information in a sea of cis- and trans-acting regulatory sequences.", "author" : [ { "dropping-particle" : "", "family" : "Mattick", "given" : "John S", "non-dropping-particle" : "", "parse-names" : false, "suffix" : "" }, { "dropping-particle" : "", "family" : "Taft", "given" : "Ryan J", "non-dropping-particle" : "", "parse-names" : false, "suffix" : "" }, { "dropping-particle" : "", "family" : "Faulkner", "given" : "Geoffrey J", "non-dropping-particle" : "", "parse-names" : false, "suffix" : "" } ], "container-title" : "Trends in genetics : TIG", "id" : "ITEM-2", "issue" : "1", "issued" : { "date-parts" : [ [ "2010", "1" ] ] }, "page" : "21-8", "title" : "A global view of genomic information--moving beyond the gene and the master regulator.", "type" : "article-journal", "volume" : "26" }, "uris" : [ "http://www.mendeley.com/documents/?uuid=7135cff5-b160-4a25-8aca-e32d4b884513" ] }, { "id" : "ITEM-3", "itemData" : { "DOI" : "10.1002/bies.201200056", "ISSN" : "1521-1878", "PMID" : "22736292", "abstract" : "Endogenous retrovirsuses (ERVs) have long been known to influence gene expression in plants in important ways, but what of their roles in mammals? Our relatively sparse knowledge in that area was recently increased with the finding that ERVs can influence the expression of mammalian resident genes by disrupting transcriptional termination. For many mammalian biologists, retrotransposition is considered unimportant except when it disrupts the reading frame of a gene, but this view continues to be challenged. It has been known for some time that integration into an intron can create novel transcripts and integration upstream of a gene can alter the expression of the transcript, in many cases producing phenotypic consequences and disease. The new findings on transcriptional termination extend the opportunities for retrotransposons to play a role in human disease.", "author" : [ { "dropping-particle" : "", "family" : "Isbel", "given" : "Luke", "non-dropping-particle" : "", "parse-names" : false, "suffix" : "" }, { "dropping-particle" : "", "family" : "Whitelaw", "given" : "Emma", "non-dropping-particle" : "", "parse-names" : false, "suffix" : "" } ], "container-title" : "BioEssays : news and reviews in molecular, cellular and developmental biology", "id" : "ITEM-3", "issue" : "9", "issued" : { "date-parts" : [ [ "2012", "9" ] ] }, "note" : "ERVs can disrupt transcriptional termination. For many, ERVs and retrotransposons are unimportant unless they disturb a reading frame or regulatory region. More evidence suggests their role is more influential. \n\n\nPaper offers little new stuff.", "page" : "734-8", "title" : "Endogenous retroviruses in mammals: an emerging picture of how ERVs modify expression of adjacent genes.", "type" : "article-journal", "volume" : "34" }, "uris" : [ "http://www.mendeley.com/documents/?uuid=d7050238-86d6-4471-b078-fe0aa3d430f2" ] }, { "id" : "ITEM-4",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"ITEM-4",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"(Chang et al. 2006; Mattick et al. 2010; Isbel &amp; Whitelaw 2012; Stoye 2012)", "plainTextFormattedCitation" : "(Chang et al. 2006; Mattick et al. 2010; Isbel &amp; Whitelaw 2012; Stoye 2012)", "previouslyFormattedCitation" : "(Chang et al. 2006; Mattick et al. 2010; Isbel &amp; Whitelaw 2012; Stoye 2012)" }, "properties" : { "noteIndex" : 0 }, "schema" : "https://github.com/citation-style-language/schema/raw/master/csl-citation.json" }</w:instrText>
      </w:r>
      <w:r w:rsidR="000D63A0">
        <w:fldChar w:fldCharType="separate"/>
      </w:r>
      <w:r w:rsidR="000D63A0" w:rsidRPr="000D63A0">
        <w:rPr>
          <w:noProof/>
        </w:rPr>
        <w:t>(Chang et al. 2006; Mattick et al. 2010; Isbel &amp; Whitelaw 2012; Stoye 2012)</w:t>
      </w:r>
      <w:r w:rsidR="000D63A0">
        <w:fldChar w:fldCharType="end"/>
      </w:r>
      <w:r w:rsidR="000D63A0">
        <w:t>. Whilst the likely effects of such integrations can be predicted bioinformatically, the extent and range of the effects are yet to be fully studied due to the difficulty in assessing alternative splicing from short read next generation sequencing (NGS) data</w:t>
      </w:r>
      <w:r w:rsidR="00A40494">
        <w:t xml:space="preserve"> </w:t>
      </w:r>
      <w:r w:rsidR="00A40494">
        <w:fldChar w:fldCharType="begin" w:fldLock="1"/>
      </w:r>
      <w:r w:rsidR="00D7367A">
        <w:instrText>ADDIN CSL_CITATION { "citationItems" : [ { "id" : "ITEM-1", "itemData" : { "DOI" : "10.1038/nrg3068", "ISBN" : "1471-0064 (Electronic)\\r1471-0056 (Linking)", "ISSN" : "1471-0056", "PMID" : "21897427", "abstract" : "Transcriptomics studies often rely on partial reference transcriptomes that fail to capture the full catalogue of transcripts and their variations. Recent advances in sequencing technologies and assembly algorithms have facilitated the reconstruction of the entire transcriptome by deep RNA sequencing (RNA-seq), even without a reference genome. However, transcriptome assembly from billions of RNA-seq reads, which are often very short, poses a significant informatics challenge. This Review summarizes the recent developments in transcriptome assembly approaches - reference-based, de novo and combined strategies - along with some perspectives on transcriptome assembly in the near future.", "author" : [ { "dropping-particle" : "", "family" : "Martin", "given" : "Jeffrey A.", "non-dropping-particle" : "", "parse-names" : false, "suffix" : "" }, { "dropping-particle" : "", "family" : "Wang", "given" : "Zhong", "non-dropping-particle" : "", "parse-names" : false, "suffix" : "" } ], "container-title" : "Nature Reviews Genetics", "id" : "ITEM-1", "issue" : "10", "issued" : { "date-parts" : [ [ "2011" ] ] }, "page" : "671-682", "publisher" : "Nature Publishing Group", "title" : "Next-generation transcriptome assembly", "type" : "article-journal", "volume" : "12" }, "uris" : [ "http://www.mendeley.com/documents/?uuid=4c2f8fa8-dbc9-4c41-9f78-bd36ed729c42" ] }, { "id" : "ITEM-2", "itemData" : { "DOI" : "10.1038/nrg2934", "ISBN" : "1471-0064; 1471-0056", "ISSN" : "1471-0056", "PMID" : "21191423", "abstract" : "In the few years since its initial application, massively parallel cDNA sequencing, or RNA-seq, has allowed many advances in the characterization and quantification of transcriptomes. Recently, several developments in RNA-seq methods have provided an even more complete characterization of RNA transcripts. These developments include improvements in transcription start site mapping, strand-specific measurements, gene fusion detection, small RNA characterization and detection of alternative splicing events. Ongoing developments promise further advances in the application of RNA-seq, particularly direct RNA sequencing and approaches that allow RNA quantification from very small amounts of cellular materials.", "author" : [ { "dropping-particle" : "", "family" : "Ozsolak", "given" : "Fatih", "non-dropping-particle" : "", "parse-names" : false, "suffix" : "" }, { "dropping-particle" : "", "family" : "Milos", "given" : "Patrice M.", "non-dropping-particle" : "", "parse-names" : false, "suffix" : "" } ], "container-title" : "Nature Reviews Genetics", "id" : "ITEM-2", "issue" : "2", "issued" : { "date-parts" : [ [ "2011" ] ] }, "page" : "87-98", "publisher" : "Nature Publishing Group", "title" : "RNA sequencing: advances, challenges and opportunities", "type" : "article-journal", "volume" : "12" }, "uris" : [ "http://www.mendeley.com/documents/?uuid=a82049e2-233e-4c34-b350-f252ed19cc0e" ] } ], "mendeley" : { "formattedCitation" : "(Martin &amp; Wang 2011; Ozsolak &amp; Milos 2011)", "plainTextFormattedCitation" : "(Martin &amp; Wang 2011; Ozsolak &amp; Milos 2011)", "previouslyFormattedCitation" : "(Martin &amp; Wang 2011; Ozsolak &amp; Milos 2011)" }, "properties" : { "noteIndex" : 0 }, "schema" : "https://github.com/citation-style-language/schema/raw/master/csl-citation.json" }</w:instrText>
      </w:r>
      <w:r w:rsidR="00A40494">
        <w:fldChar w:fldCharType="separate"/>
      </w:r>
      <w:r w:rsidR="00A40494" w:rsidRPr="00A40494">
        <w:rPr>
          <w:noProof/>
        </w:rPr>
        <w:t>(Martin &amp; Wang 2011; Ozsolak &amp; Milos 2011)</w:t>
      </w:r>
      <w:r w:rsidR="00A40494">
        <w:fldChar w:fldCharType="end"/>
      </w:r>
      <w:r w:rsidR="000D63A0">
        <w:t xml:space="preserve">. </w:t>
      </w:r>
    </w:p>
    <w:p w14:paraId="417EB691" w14:textId="77777777" w:rsidR="007F3D6C" w:rsidRDefault="007F3D6C" w:rsidP="00391005">
      <w:pPr>
        <w:pStyle w:val="ListParagraph"/>
      </w:pPr>
    </w:p>
    <w:p w14:paraId="38E91F4F" w14:textId="75F240C4" w:rsidR="00AC0AE6" w:rsidRDefault="00E93973" w:rsidP="00D7367A">
      <w:pPr>
        <w:pStyle w:val="Heading4"/>
      </w:pPr>
      <w:r>
        <w:t>The diverse roles</w:t>
      </w:r>
      <w:r w:rsidR="00AC0AE6">
        <w:t xml:space="preserve"> of retroviral proteins</w:t>
      </w:r>
    </w:p>
    <w:p w14:paraId="4518C614" w14:textId="415CFD50" w:rsidR="0030320E" w:rsidRPr="0029231E" w:rsidRDefault="00D7367A" w:rsidP="00391005">
      <w:pPr>
        <w:pStyle w:val="ListParagraph"/>
      </w:pPr>
      <w:r>
        <w:t>In some rare cases, LTR retrotransposon insertions</w:t>
      </w:r>
      <w:r w:rsidR="00C035C0">
        <w:t xml:space="preserve"> have been co-opted by the </w:t>
      </w:r>
      <w:r>
        <w:t xml:space="preserve">genome and are now host genes with a range of cellular functions </w:t>
      </w:r>
      <w:r>
        <w:fldChar w:fldCharType="begin" w:fldLock="1"/>
      </w:r>
      <w:r w:rsidR="0029231E">
        <w:instrText>ADDIN CSL_CITATION { "citationItems" : [ { "id" : "ITEM-1", "itemData" : { "abstract" : "One subset of sequences present within mammalian genomes is the retroelements, which include endoge- nous retroviruses and retrotransposons [1]. While there are typically thousands of copies of endogenous retroviruses within mammalian hosts, almost no LTR- retrotransposon-like sequences have been identified [2\u20134]. Here, we report the presence of a remarkably intact and conserved gypsy-type LTR-retrotranspo- son sequence within the genomes of several mam- mals, including humans and mice. Each host probably contains a single orthologous element, indicating that the original, ancestral gypsy LTR-retrotransposon first integrated into mammals over 70 million years ago. It is thus the first described example of a near- intact orthologous retroelement within humans and mice and is one of the most ancient retroelement se- quences described to date. Despite their extreme age, the orthologs within each species examined contain alargeORF,between 4.0and5.2kbin length,encoding proteins with sequence similarity to LTR-retrotrans- poson-derived Capsid (CA), Protease (PR), Reverse Transcriptase (RT), RibonucleaseH (RNaseH), and In- tegrase (IN). Calculation of nonsynonymous and syn- onymous nucleotide substitution frequencies indi- cated that the encoded proteins are under purifying selection, suggesting that these elements have, in fact, been co-opted by their hosts. A possible function for these elements, involving gypsy LTR-retrotransposon restriction in mammals, is discussed.", "author" : [ { "dropping-particle" : "", "family" : "Lynch", "given" : "C", "non-dropping-particle" : "", "parse-names" : false, "suffix" : "" }, { "dropping-particle" : "", "family" : "Tristem", "given" : "M", "non-dropping-particle" : "", "parse-names" : false, "suffix" : "" } ], "container-title" : "Current Biology", "id" : "ITEM-1", "issued" : { "date-parts" : [ [ "2003" ] ] }, "page" : "1518-1523", "title" : "A Co-opted gypsy-type LTR-Retrotransposon Is Conserved in the Genomes of Humans, Sheep, Mice, and Rats", "type" : "article-journal", "volume" : "13" }, "uris" : [ "http://www.mendeley.com/documents/?uuid=9b2bce4d-7e67-42eb-aad9-dc93bafd20d0" ] }, { "id" : "ITEM-2", "itemData" : { "DOI" : "10.1007/s00239-004-0332-0", "ISBN" : "0023900403320", "ISSN" : "00222844", "PMID" : "16155747", "abstract" : "Ty3/gypsy retrotransposons are rare in mammalian genomes despite their abundance in invertebrate and other vertebrate classes. Here we identify a family of nine conserved mammalian genes with homology to Ty3/gypsy retrotransposons but which have lost their ability to autonomously retrotranspose. Of these, five map to the X chromosome while the remaining four are autosomal. Comparative phylogenetic analyses show them to have strongest homology to the sushi-ichi element from Fugu rubripes. Two of the autosomal gene members, Peg10 and Rtl1, are known to be imprinted, being expressed from the paternally inherited chromosome homologue. This suggests, consistent with the host-parasite response theory of the evolution of the imprinting mechanism, that parental-origin specific epigenetic control may be mediated by genomic \"parasitic\" elements such as these. Alternatively, these elements may preferentially integrate into regions that are differentially modified on the two homologous chromosomes such as imprinted domains and the X chromosome and acquire monoallelic expression. We assess the imprinting status of the remaining autosomal members of this family and show them to be biallelically expressed in embryo and placenta. Furthermore, the methylation status of Rtl1 was assayed throughout development and was found to resemble that of actively, silenced repetitive elements rather than imprinted sequences. This indicates that the ability to undergo genomic imprinting is not an inherent property of all members of this family of retroelements. Nonetheless, the conservation but functional divergence between the different members suggests that they have undergone positive selection and acquired distinct endogenous functions within their mammalian hosts.", "author" : [ { "dropping-particle" : "", "family" : "Youngson", "given" : "Neil A.", "non-dropping-particle" : "", "parse-names" : false, "suffix" : "" }, { "dropping-particle" : "", "family" : "Kocialkowski", "given" : "Sylvia", "non-dropping-particle" : "", "parse-names" : false, "suffix" : "" }, { "dropping-particle" : "", "family" : "Peel", "given" : "Nina", "non-dropping-particle" : "", "parse-names" : false, "suffix" : "" }, { "dropping-particle" : "", "family" : "Ferguson-Smith", "given" : "Anne C.", "non-dropping-particle" : "", "parse-names" : false, "suffix" : "" } ], "container-title" : "Journal of Molecular Evolution", "id" : "ITEM-2", "issue" : "4", "issued" : { "date-parts" : [ [ "2005" ] ] }, "page" : "481-490", "title" : "A small family of sushi-class retrotransposon-derived genes in mammals and their relation to genomic imprinting", "type" : "article-journal", "volume" : "61" }, "uris" : [ "http://www.mendeley.com/documents/?uuid=25b651d5-7280-499a-9bfc-387df06bd3c1" ] }, { "id" : "ITEM-3", "itemData" : { "DOI" : "10.1038/ng1699", "ISBN" : "1061-4036 (Print)\\n1061-4036 (Linking)", "ISSN" : "1061-4036", "PMID" : "16341224", "abstract" : "By comparing mammalian genomes, we and others have identified actively transcribed Ty3/gypsy retrotransposon-derived genes with highly conserved DNA sequences and insertion sites. To elucidate the functions of evolutionarily conserved retrotransposon-derived genes in mammalian development, we produced mice that lack one of these genes, Peg10 (paternally expressed 10), which is a paternally expressed imprinted gene on mouse proximal chromosome 6. The Peg10 knockout mice showed early embryonic lethality owing to defects in the placenta. This indicates that Peg10 is critical for mouse parthenogenetic development and provides the first direct evidence of an essential role of an evolutionarily conserved retrotransposon-derived gene in mammalian development.", "author" : [ { "dropping-particle" : "", "family" : "Ono", "given" : "Ryuichi", "non-dropping-particle" : "", "parse-names" : false, "suffix" : "" }, { "dropping-particle" : "", "family" : "Nakamura", "given" : "Kenji", "non-dropping-particle" : "", "parse-names" : false, "suffix" : "" }, { "dropping-particle" : "", "family" : "Inoue", "given" : "Kimiko", "non-dropping-particle" : "", "parse-names" : false, "suffix" : "" }, { "dropping-particle" : "", "family" : "Naruse", "given" : "Mie", "non-dropping-particle" : "", "parse-names" : false, "suffix" : "" }, { "dropping-particle" : "", "family" : "Usami", "given" : "Takako", "non-dropping-particle" : "", "parse-names" : false, "suffix" : "" }, { "dropping-particle" : "", "family" : "Wakisaka-Saito", "given" : "Noriko", "non-dropping-particle" : "", "parse-names" : false, "suffix" : "" }, { "dropping-particle" : "", "family" : "Hino", "given" : "Toshiaki", "non-dropping-particle" : "", "parse-names" : false, "suffix" : "" }, { "dropping-particle" : "", "family" : "Suzuki-Migishima", "given" : "Rika", "non-dropping-particle" : "", "parse-names" : false, "suffix" : "" }, { "dropping-particle" : "", "family" : "Ogonuki", "given" : "Narumi", "non-dropping-particle" : "", "parse-names" : false, "suffix" : "" }, { "dropping-particle" : "", "family" : "Miki", "given" : "Hiromi", "non-dropping-particle" : "", "parse-names" : false, "suffix" : "" }, { "dropping-particle" : "", "family" : "Kohda", "given" : "Takashi", "non-dropping-particle" : "", "parse-names" : false, "suffix" : "" }, { "dropping-particle" : "", "family" : "Ogura", "given" : "Atsuo", "non-dropping-particle" : "", "parse-names" : false, "suffix" : "" }, { "dropping-particle" : "", "family" : "Yokoyama", "given" : "Minesuke", "non-dropping-particle" : "", "parse-names" : false, "suffix" : "" }, { "dropping-particle" : "", "family" : "Kaneko-Ishino", "given" : "Tomoko", "non-dropping-particle" : "", "parse-names" : false, "suffix" : "" }, { "dropping-particle" : "", "family" : "Ishino", "given" : "Fumitoshi", "non-dropping-particle" : "", "parse-names" : false, "suffix" : "" } ], "container-title" : "Nature Genetics", "id" : "ITEM-3", "issue" : "1", "issued" : { "date-parts" : [ [ "2006" ] ] }, "page" : "101-106", "title" : "Deletion of Peg10, an imprinted gene acquired from a retrotransposon, causes early embryonic lethality", "type" : "article-journal", "volume" : "38" }, "uris" : [ "http://www.mendeley.com/documents/?uuid=95f497c4-d51c-4f5c-84fb-6c853f6dab5a" ] }, { "id" : "ITEM-4", "itemData" : { "DOI" : "10.1002/bies.20452", "ISBN" : "0265-9247 (Print)\\n0265-9247 (Linking)", "ISSN" : "02659247", "PMID" : "16937363", "abstract" : "Autonomous transposable elements, generally considered as junk and selfish, encode transposition proteins that can bind, copy, break, join or degrade nucleic acids as well as process or interact with other proteins. Such a repertoire of activities might be of interest for the host cell. There is indeed substantial evidence that mobile DNA can serve as a dynamic reservoir for new cellular functions. Transposable element genes encoding transposase, integrase, reverse transcriptase as well as structural and envelope proteins have been repeatedly recruited by their host during evolution in most eukaryotic lineages. Such domesticated sequences protect us against infections, are necessary for our reproduction, allow the replication of our chromosomes and control cell proliferation and death; others are essential for plant development. Many new candidates for domesticated sequences have been revealed by sequencing projects. Their functional analysis will uncover new aspects of evolutionary alchemy, the turning of junk into gold within genomes.", "author" : [ { "dropping-particle" : "", "family" : "Volff", "given" : "Jean Nicolas", "non-dropping-particle" : "", "parse-names" : false, "suffix" : "" } ], "container-title" : "BioEssays", "id" : "ITEM-4", "issue" : "9", "issued" : { "date-parts" : [ [ "2006" ] ] }, "page" : "913-922", "title" : "Turning junk into gold: Domestication of transposable elements and the creation of new genes in eukaryotes", "type" : "article-journal", "volume" : "28" }, "uris" : [ "http://www.mendeley.com/documents/?uuid=db7fd5a7-ab3e-44c4-bd6b-70e2b51796ed" ] }, { "id" : "ITEM-5", "itemData" : { "DOI" : "10.1038/ng.2007.51", "ISBN" : "1546-1718 (Electronic)\\r1061-4036 (Linking)", "ISSN" : "1061-4036", "PMID" : "18176565", "abstract" : "Eutherian placenta, an organ that emerged in the course of mammalian evolution, provides essential architecture, the so-called feto-maternal interface, for fetal development by exchanging nutrition, gas and waste between fetal and maternal blood. Functional defects of the placenta cause several developmental disorders, such as intrauterine growth retardation in humans and mice. A series of new inventions and/or adaptations must have been necessary to form and maintain eutherian chorioallantoic placenta, which consists of capillary endothelial cells and a surrounding trophoblast cell layer(s). Although many placental genes have been identified, it remains unknown how the feto-maternal interface is formed and maintained during development, and how this novel design evolved. Here we demonstrate that retrotransposon-derived Rtl1 (retrotransposon-like 1), also known as Peg11 (paternally expressed 11), is essential for maintenance of the fetal capillaries, and that both its loss and its overproduction cause late-fetal and/or neonatal lethality in mice.", "author" : [ { "dropping-particle" : "", "family" : "Sekita", "given" : "Yoichi", "non-dropping-particle" : "", "parse-names" : false, "suffix" : "" }, { "dropping-particle" : "", "family" : "Wagatsuma", "given" : "Hirotaka", "non-dropping-particle" : "", "parse-names" : false, "suffix" : "" }, { "dropping-particle" : "", "family" : "Nakamura", "given" : "Kenji", "non-dropping-particle" : "", "parse-names" : false, "suffix" : "" }, { "dropping-particle" : "", "family" : "Ono", "given" : "Ryuichi", "non-dropping-particle" : "", "parse-names" : false, "suffix" : "" }, { "dropping-particle" : "", "family" : "Kagami", "given" : "Masayo", "non-dropping-particle" : "", "parse-names" : false, "suffix" : "" }, { "dropping-particle" : "", "family" : "Wakisaka", "given" : "Noriko", "non-dropping-particle" : "", "parse-names" : false, "suffix" : "" }, { "dropping-particle" : "", "family" : "Hino", "given" : "Toshiaki", "non-dropping-particle" : "", "parse-names" : false, "suffix" : "" }, { "dropping-particle" : "", "family" : "Suzuki-Migishima", "given" : "Rika", "non-dropping-particle" : "", "parse-names" : false, "suffix" : "" }, { "dropping-particle" : "", "family" : "Kohda", "given" : "Takashi", "non-dropping-particle" : "", "parse-names" : false, "suffix" : "" }, { "dropping-particle" : "", "family" : "Ogura", "given" : "Atsuo", "non-dropping-particle" : "", "parse-names" : false, "suffix" : "" }, { "dropping-particle" : "", "family" : "Ogata", "given" : "Tsutomu", "non-dropping-particle" : "", "parse-names" : false, "suffix" : "" }, { "dropping-particle" : "", "family" : "Yokoyama", "given" : "Minesuke", "non-dropping-particle" : "", "parse-names" : false, "suffix" : "" }, { "dropping-particle" : "", "family" : "Kaneko-Ishino", "given" : "Tomoko", "non-dropping-particle" : "", "parse-names" : false, "suffix" : "" }, { "dropping-particle" : "", "family" : "Ishino", "given" : "Fumitoshi", "non-dropping-particle" : "", "parse-names" : false, "suffix" : "" } ], "container-title" : "Nature Genetics", "id" : "ITEM-5", "issue" : "2", "issued" : { "date-parts" : [ [ "2008" ] ] }, "page" : "243-248", "title" : "Role of retrotransposon-derived imprinted gene, Rtl1, in the feto-maternal interface of mouse placenta", "type" : "article-journal", "volume" : "40" }, "uris" : [ "http://www.mendeley.com/documents/?uuid=c4551812-a1dd-4c44-9030-9b571f18c318" ] }, { "id" : "ITEM-6",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"ITEM-6", "issued" : { "date-parts" : [ [ "2009", "1" ] ] }, "page" : "59", "title" : "OVEX1, a novel chicken endogenous retrovirus with sex-specific and left-right asymmetrical expression in gonads.", "type" : "article-journal", "volume" : "6" }, "uris" : [ "http://www.mendeley.com/documents/?uuid=3d9a038e-2cd6-43ab-9514-6e34db462e92" ] }, { "id" : "ITEM-7", "itemData" : { "DOI" : "10.1093/molbev/msp127", "ISSN" : "07374038", "PMID" : "19561090", "abstract" : "This study describes the origin and structural features of a mammalian gene, CGIN1 (Cousin of GIN1). CGIN1 proteins contain an NYN domain, retroviral RNase H and integrase domains, and a domain of unknown function (CGIN1 domain) that is also present in two other genes (N4BP1 and KIAA0323). We suggest that CGIN1 derives from the fusion of a KIAA0323-like gene with retroviral sequences, which occurred prior to the marsupial-eutherian split. Sequence and structural analyses indicate that the CGIN1 integrase domain is inactive but still retains the 3D folding observed in retroviral integrases. We hypothesize that CGIN1 may contribute to retroviral resistance in mammals by regulating the ubiquitination of viral proteins.", "author" : [ { "dropping-particle" : "", "family" : "Marco", "given" : "Antonio", "non-dropping-particle" : "", "parse-names" : false, "suffix" : "" }, { "dropping-particle" : "", "family" : "Mar\u00edn", "given" : "Ignacio", "non-dropping-particle" : "", "parse-names" : false, "suffix" : "" } ], "container-title" : "Molecular Biology and Evolution", "id" : "ITEM-7", "issue" : "10", "issued" : { "date-parts" : [ [ "2009" ] ] }, "page" : "2167-2170", "title" : "CGIN1: A retroviral contribution to mammalian genomes", "type" : "article-journal", "volume" : "26" }, "uris" : [ "http://www.mendeley.com/documents/?uuid=3b55e96d-53c1-4f60-9fa6-5aec8cce2780" ] }, { "id" : "ITEM-8", "itemData" : { "DOI" : "10.1111/j.1749-6632.2009.05005.x", "ISSN" : "1749-6632", "PMID" : "19845640", "abstract" : "Gypsy/Ty3 retrotransposons, a group of long terminal repeat retrotransposons related to vertebrate retroviruses, are found in the genome of many fungi, plants, and animals. Although multiple families of such retroelements are present in fish, active Gypsy/Ty3 retrotransposons have all been eliminated from the lineage leading to mammals at least 180 million years ago. However, over 50 cellular genes related to Gypsy/Ty3 retrotransposons have been identified in mammalian genomes, indicating recurrent \"molecular domestication\" of these elements by their host during evolution. Most retrotransposon-derived proteins are conserved in divergent mammalian species and show sequence similarity to Gag proteins, major structural proteins for retroelement particle formation. Among the proposed and demonstrated biological functions for gag-derived genes, placenta formation in the mouse requires two gag-derived genes from the same family. Some forms of epigenetic regulation of gag-related genes might derive from host genome defense mechanisms that repelled retrotransposon ancestors. Together, such observations support a major role for transposable elements as a source of new coding sequences allowing important genetic innovations during evolution.", "author" : [ { "dropping-particle" : "", "family" : "Volff", "given" : "Jean-Nicolas", "non-dropping-particle" : "", "parse-names" : false, "suffix" : "" } ], "container-title" : "Annals of the New York Academy of Sciences", "id" : "ITEM-8", "issued" : { "date-parts" : [ [ "2009", "10" ] ] }, "page" : "233-43", "title" : "Cellular genes derived from Gypsy/Ty3 retrotransposons in mammalian genomes.", "type" : "article-journal", "volume" : "1178" }, "uris" : [ "http://www.mendeley.com/documents/?uuid=ed4d094c-3f45-4af0-9b4a-1a65a4cbde56" ] } ], "mendeley" : { "formattedCitation" : "(Lynch &amp; Tristem 2003; Youngson et al. 2005; Ono et al. 2006; Volff 2006; Sekita et al. 2008; Carr\u00e9-Eus\u00e8be et al. 2009; Marco &amp; Mar\u00edn 2009; Volff 2009)", "plainTextFormattedCitation" : "(Lynch &amp; Tristem 2003; Youngson et al. 2005; Ono et al. 2006; Volff 2006; Sekita et al. 2008; Carr\u00e9-Eus\u00e8be et al. 2009; Marco &amp; Mar\u00edn 2009; Volff 2009)", "previouslyFormattedCitation" : "(Lynch &amp; Tristem 2003; Youngson et al. 2005; Ono et al. 2006; Volff 2006; Sekita et al. 2008; Carr\u00e9-Eus\u00e8be et al. 2009; Marco &amp; Mar\u00edn 2009; Volff 2009)" }, "properties" : { "noteIndex" : 0 }, "schema" : "https://github.com/citation-style-language/schema/raw/master/csl-citation.json" }</w:instrText>
      </w:r>
      <w:r>
        <w:fldChar w:fldCharType="separate"/>
      </w:r>
      <w:r w:rsidRPr="00D7367A">
        <w:rPr>
          <w:noProof/>
        </w:rPr>
        <w:t xml:space="preserve">(Lynch &amp; Tristem 2003; Youngson et al. 2005; Ono et al. 2006; Volff 2006; Sekita et al. 2008; Carré-Eusèbe et </w:t>
      </w:r>
      <w:r w:rsidRPr="00D7367A">
        <w:rPr>
          <w:noProof/>
        </w:rPr>
        <w:lastRenderedPageBreak/>
        <w:t>al. 2009; Marco &amp; Marín 2009; Volff 2009)</w:t>
      </w:r>
      <w:r>
        <w:fldChar w:fldCharType="end"/>
      </w:r>
      <w:r>
        <w:t xml:space="preserve">. The best studied of these are the mammalian </w:t>
      </w:r>
      <w:r>
        <w:rPr>
          <w:i/>
        </w:rPr>
        <w:t>syncytin</w:t>
      </w:r>
      <w:r>
        <w:t xml:space="preserve"> genes, which are derived from an ERV </w:t>
      </w:r>
      <w:r>
        <w:rPr>
          <w:i/>
        </w:rPr>
        <w:t>envelope</w:t>
      </w:r>
      <w:r w:rsidR="00D77F94">
        <w:rPr>
          <w:i/>
        </w:rPr>
        <w:t xml:space="preserve"> </w:t>
      </w:r>
      <w:r w:rsidR="00D77F94">
        <w:t>gene</w:t>
      </w:r>
      <w:r>
        <w:t xml:space="preserve">. </w:t>
      </w:r>
      <w:r>
        <w:rPr>
          <w:i/>
        </w:rPr>
        <w:t>Syncytins</w:t>
      </w:r>
      <w:r>
        <w:t xml:space="preserve"> are crucial for the formation and maintenance of the placenta during pregnancy, as the envelope protein is expressed on the surface of cells enabling cell-cell interaction and fusion</w:t>
      </w:r>
      <w:r w:rsidR="0029231E">
        <w:t>, potentially with a secondary immunosuppressive role which prevents foetal rejection</w:t>
      </w:r>
      <w:r>
        <w:t xml:space="preserve"> </w:t>
      </w:r>
      <w:r w:rsidR="0029231E">
        <w:fldChar w:fldCharType="begin" w:fldLock="1"/>
      </w:r>
      <w:r w:rsidR="0029231E">
        <w:instrText>ADDIN CSL_CITATION { "citationItems" : [ { "id" : "ITEM-1", "itemData" : { "DOI" : "10.1038/35001608", "ISBN" : "0028-0836 (Print)\\r0028-0836 (Linking)", "ISSN" : "0028-0836", "PMID" : "10693809", "abstract" : "Many mammalian viruses have acquired genes from their hosts during their evolution. The rationale for these acquisitions is usually quite clear: the captured genes are subverted to provide a selective advantage to the virus. Here we describe the opposite situation, where a viral gene has ...", "author" : [ { "dropping-particle" : "", "family" : "Mi", "given" : "Sha", "non-dropping-particle" : "", "parse-names" : false, "suffix" : "" }, { "dropping-particle" : "", "family" : "Lee", "given" : "Xinhua", "non-dropping-particle" : "", "parse-names" : false, "suffix" : "" }, { "dropping-particle" : "", "family" : "Li", "given" : "Xiang-ping", "non-dropping-particle" : "", "parse-names" : false, "suffix" : "" }, { "dropping-particle" : "", "family" : "Veldman", "given" : "Geertruida M", "non-dropping-particle" : "", "parse-names" : false, "suffix" : "" }, { "dropping-particle" : "", "family" : "Finnerty", "given" : "Heather", "non-dropping-particle" : "", "parse-names" : false, "suffix" : "" }, { "dropping-particle" : "", "family" : "Racie", "given" : "Lisa", "non-dropping-particle" : "", "parse-names" : false, "suffix" : "" }, { "dropping-particle" : "", "family" : "LaVallie", "given" : "Edward", "non-dropping-particle" : "", "parse-names" : false, "suffix" : "" }, { "dropping-particle" : "", "family" : "Tang", "given" : "Xiang-Yang", "non-dropping-particle" : "", "parse-names" : false, "suffix" : "" }, { "dropping-particle" : "", "family" : "Edouard", "given" : "Philippe", "non-dropping-particle" : "", "parse-names" : false, "suffix" : "" }, { "dropping-particle" : "", "family" : "Howes", "given" : "Steve", "non-dropping-particle" : "", "parse-names" : false, "suffix" : "" }, { "dropping-particle" : "", "family" : "Keith", "given" : "James C", "non-dropping-particle" : "", "parse-names" : false, "suffix" : "" }, { "dropping-particle" : "", "family" : "McCoy", "given" : "John M", "non-dropping-particle" : "", "parse-names" : false, "suffix" : "" } ], "container-title" : "Nature", "id" : "ITEM-1", "issue" : "6771", "issued" : { "date-parts" : [ [ "2000" ] ] }, "page" : "785-789", "title" : "Syncytin is a captive retroviral envelope protein involved in human placental morphogenesis", "type" : "article-journal", "volume" : "403" }, "uris" : [ "http://www.mendeley.com/documents/?uuid=a13d87cd-c68c-46d1-834b-5b09dc14f19a" ] }, { "id" : "ITEM-2", "itemData" : { "DOI" : "10.1016/j.bbrc.2005.04.032", "ISBN" : "0006-291X (Print)\r0006-291X (Linking)", "ISSN" : "0006-291X", "PMID" : "15883002", "abstract" : "Syncytin is a captive retroviral envelope protein, possibly involved in the formation of the placental syncytiotrophoblast layer generated by trophoblast cell fusion at the maternal-fetal interface. We found that syncytin and type I viral envelope proteins shared similar structural profiling, especially in the regions of N- and C-terminal heptad repeats (NHR and CHR). We expressed the predicted regions of NHR (41aa) and CHR (34aa) in syncytin as a native single chain (named 2-helix protein) to characterize it. 2-Helix protein exists as a trimer and is highly alpha-helix, thermo-stable, and denatured by low pH. NHR and CHR could form a protease-resistant complex. The complex structure built by the molecular docking demonstrated that NHR and CHR associated in an antiparallel manner. Overall, the 2-helix protein could form a thermo-stable coiled coil trimer. The fusion core structure of syncytin was first demonstrated in endogenous retrovirus. These results support the explanation how syncytin mediates cytotrophoblast cell fusion involved in placental morphogenesis.", "author" : [ { "dropping-particle" : "", "family" : "Gong", "given" : "Rui", "non-dropping-particle" : "", "parse-names" : false, "suffix" : "" }, { "dropping-particle" : "", "family" : "Peng", "given" : "Xiaoxue", "non-dropping-particle" : "", "parse-names" : false, "suffix" : "" }, { "dropping-particle" : "", "family" : "Kang", "given" : "Shuli", "non-dropping-particle" : "", "parse-names" : false, "suffix" : "" }, { "dropping-particle" : "", "family" : "Feng", "given" : "Huixing", "non-dropping-particle" : "", "parse-names" : false, "suffix" : "" }, { "dropping-particle" : "", "family" : "Huang", "given" : "Jianying", "non-dropping-particle" : "", "parse-names" : false, "suffix" : "" }, { "dropping-particle" : "", "family" : "Zhang", "given" : "Wentao", "non-dropping-particle" : "", "parse-names" : false, "suffix" : "" }, { "dropping-particle" : "", "family" : "Lin", "given" : "Donghai", "non-dropping-particle" : "", "parse-names" : false, "suffix" : "" }, { "dropping-particle" : "", "family" : "Tien", "given" : "Po", "non-dropping-particle" : "", "parse-names" : false, "suffix" : "" }, { "dropping-particle" : "", "family" : "Xiao", "given" : "Gengfu", "non-dropping-particle" : "", "parse-names" : false, "suffix" : "" } ], "container-title" : "Biochemical and biophysical research communications", "id" : "ITEM-2", "issue" : "4", "issued" : { "date-parts" : [ [ "2005" ] ] }, "page" : "1193-1200", "title" : "Structural characterization of the fusion core in syncytin, envelope protein of human endogenous retrovirus family W.", "type" : "article-journal", "volume" : "331" }, "uris" : [ "http://www.mendeley.com/documents/?uuid=c4f925e1-8cbd-4453-8f01-934ffcbc9286" ] }, { "id" : "ITEM-3", "itemData" : { "DOI" : "10.1073/pnas.0902925106", "ISBN" : "1091-6490 (Electronic)\\r0027-8424 (Linking)", "ISSN" : "0027-8424", "PMID" : "19564597", "abstract" : "In most mammalian species, a key process of placenta development is the fusion of trophoblast cells into a highly specialized, multinucleated syncytiotrophoblast layer, through which most of the maternofetal exchanges take place. Little is known about this process, despite the recent identification of 2 pairs of envelope genes of retroviral origin, independently acquired by the human (syncytin-1 and syncytin-2) and mouse (syncytin-A and syncytin-B) genomes, specifically expressed in the placenta, and with in vitro cell-cell fusion activity. By generating knockout mice, we show here that homozygous syncytin-A null mouse embryos die in utero between 11.5 and 13.5 days of gestation. Refined cellular and subcellular analyses of the syncytin-A-deficient placentae disclose specific disruption of the architecture of the syncytiotrophoblast-containing labyrinth, with the trophoblast cells failing to fuse into an interhemal syncytial layer. Lack of syncytin-A-mediated trophoblast cell fusion is associated with cell overexpansion at the expense of fetal blood vessel spaces and with apoptosis, adding to the observed maternofetal interface structural defects to provoke decreased vascularization, inhibition of placental transport, and fetal growth retardation, ultimately resulting in death of the embryo. These results demonstrate that syncytin-A is essential for trophoblast cell differentiation and syncytiotrophoblast morphogenesis during placenta development, and they provide evidence that genes captured from ancestral retroviruses have been pivotal in the acquisition of new, important functions in mammalian evolution.", "author" : [ { "dropping-particle" : "", "family" : "Dupressoir", "given" : "A.", "non-dropping-particle" : "", "parse-names" : false, "suffix" : "" }, { "dropping-particle" : "", "family" : "Vernochet", "given" : "C.", "non-dropping-particle" : "", "parse-names" : false, "suffix" : "" }, { "dropping-particle" : "", "family" : "Bawa", "given" : "O.", "non-dropping-particle" : "", "parse-names" : false, "suffix" : "" }, { "dropping-particle" : "", "family" : "Harper", "given" : "F.", "non-dropping-particle" : "", "parse-names" : false, "suffix" : "" }, { "dropping-particle" : "", "family" : "Pierron", "given" : "G.", "non-dropping-particle" : "", "parse-names" : false, "suffix" : "" }, { "dropping-particle" : "", "family" : "Opolon", "given" : "P.", "non-dropping-particle" : "", "parse-names" : false, "suffix" : "" }, { "dropping-particle" : "", "family" : "Heidmann", "given" : "T.", "non-dropping-particle" : "", "parse-names" : false, "suffix" : "" } ], "container-title" : "Proceedings of the National Academy of Sciences", "id" : "ITEM-3", "issue" : "29", "issued" : { "date-parts" : [ [ "2009" ] ] }, "page" : "12127-12132", "title" : "Syncytin-A knockout mice demonstrate the critical role in placentation of a fusogenic, endogenous retrovirus-derived, envelope gene", "type" : "article-journal", "volume" : "106" }, "uris" : [ "http://www.mendeley.com/documents/?uuid=49634c83-7b7d-4c5c-8127-774a1a396cb4" ] } ], "mendeley" : { "formattedCitation" : "(Mi et al. 2000; Gong et al. 2005; Dupressoir et al. 2009)", "plainTextFormattedCitation" : "(Mi et al. 2000; Gong et al. 2005; Dupressoir et al. 2009)", "previouslyFormattedCitation" : "(Mi et al. 2000; Gong et al. 2005; Dupressoir et al. 2009)" }, "properties" : { "noteIndex" : 0 }, "schema" : "https://github.com/citation-style-language/schema/raw/master/csl-citation.json" }</w:instrText>
      </w:r>
      <w:r w:rsidR="0029231E">
        <w:fldChar w:fldCharType="separate"/>
      </w:r>
      <w:r w:rsidR="0029231E" w:rsidRPr="0029231E">
        <w:rPr>
          <w:noProof/>
        </w:rPr>
        <w:t>(Mi et al. 2000; Gong et al. 2005; Dupressoir et al. 2009)</w:t>
      </w:r>
      <w:r w:rsidR="0029231E">
        <w:fldChar w:fldCharType="end"/>
      </w:r>
      <w:r>
        <w:t>.</w:t>
      </w:r>
      <w:r w:rsidR="0029231E">
        <w:t xml:space="preserve"> Interestingly, </w:t>
      </w:r>
      <w:r w:rsidR="0029231E">
        <w:rPr>
          <w:i/>
        </w:rPr>
        <w:t>syncytin</w:t>
      </w:r>
      <w:r w:rsidR="0029231E">
        <w:t xml:space="preserve"> genes arose independently in multiple mammalian lineages from distinct, but related, ERVs </w:t>
      </w:r>
      <w:r w:rsidR="0029231E">
        <w:fldChar w:fldCharType="begin" w:fldLock="1"/>
      </w:r>
      <w:r w:rsidR="00F615A1">
        <w:instrText>ADDIN CSL_CITATION { "citationItems" : [ { "id" : "ITEM-1", "itemData" : { "DOI" : "10.1186/1742-4690-6-107", "ISBN" : "1742-4690 (Electronic)\\r1742-4690 (Linking)", "ISSN" : "1742-4690", "PMID" : "19943933", "abstract" : "BACKGROUND: Syncytins are envelope genes of retroviral origin that have been co-opted by the host to mediate a specialized function in placentation. Two of these genes have already been identified in primates, as well as two distinct, non orthologous genes in rodents. RESULTS: Here we identified within the rabbit Oryctolagus cuniculus-which belongs to the lagomorpha order- an envelope (env) gene of retroviral origin with the characteristic features of a bona fide syncytin, that we named syncytin-Ory1. An in silico search for full-length env genes with an uninterrupted open reading frame within the rabbit genome first identified two candidate genes that were tested for their specific expression in the placenta by quantitative RT-PCR of RNA isolated from a large set of tissues. This resulted in the identification of an env gene with placenta-specific expression and belonging to a family of endogenous retroelements present at a limited copy number in the rabbit genome. Functional characterization of the identified placenta-expressed env gene after cloning in a CMV-driven expression vector and transient transfection experiments, demonstrated both fusogenic activity in an ex vivo cell-cell fusion assay and infectivity of pseudotypes. The receptor for the rabbit syncytin-Ory1 was found to be the same as that for human syncytin-1, i.e. the previously identified ASCT2 transporter. This was demonstrated by a co-culture fusion assay between hamster A23 cells transduced with an expression vector for ASCT2 and A23 cells transduced with syncytin-Ory1. Finally, in situ hybridization of rabbit placenta sections with a syncytin-Ory1 probe revealed specific expression at the level of the junctional zone between the placental lobe and the maternal decidua, where the invading syncytial fetal tissue contacts the maternal decidua to form the labyrinth, consistent with a role in the formation of the syncytiotrophoblast. The syncytin-Ory1 gene is found in Leporidae but not in Ochotonidae, and should therefore have entered the lagomorpha order 12-30 million years ago. CONCLUSION: The identification of a novel syncytin gene within a third order of mammals displaying syncytiotrophoblast formation during placentation strongly supports the notion that on several occasions retroviral infections have resulted in the independent capture of genes that have been positively selected for a convergent physiological role.", "author" : [ { "dropping-particle" : "", "family" : "Heidmann", "given" : "Odile", "non-dropping-particle" : "", "parse-names" : false, "suffix" : "" }, { "dropping-particle" : "", "family" : "Vernochet", "given" : "C\u00e9cile", "non-dropping-particle" : "", "parse-names" : false, "suffix" : "" }, { "dropping-particle" : "", "family" : "Dupressoir", "given" : "Anne", "non-dropping-particle" : "", "parse-names" : false, "suffix" : "" }, { "dropping-particle" : "", "family" : "Heidmann", "given" : "Thierry", "non-dropping-particle" : "", "parse-names" : false, "suffix" : "" } ], "container-title" : "Retrovirology", "id" : "ITEM-1", "issue" : "1", "issued" : { "date-parts" : [ [ "2009" ] ] }, "page" : "107", "title" : "Identification of an endogenous retroviral envelope gene with fusogenic activity and placenta-specific expression in the rabbit: a new \"syncytin\" in a third order of mammals", "type" : "article-journal", "volume" : "6" }, "uris" : [ "http://www.mendeley.com/documents/?uuid=a827ffae-572b-4417-9170-5226942bba65" ] }, { "id" : "ITEM-2", "itemData" : { "DOI" : "10.1038/ng.2553", "ISSN" : "1546-1718", "PMID" : "23396136", "abstract" : "The mammalian placenta is remarkably distinct between species, suggesting a history of rapid evolutionary diversification. To gain insight into the molecular drivers of placental evolution, we compared biochemically predicted enhancers in mouse and rat trophoblast stem cells (TSCs) and found that species-specific enhancers are highly enriched for endogenous retroviruses (ERVs) on a genome-wide level. One of these ERV families, RLTR13D5, contributes hundreds of mouse-specific histone H3 lysine 4 monomethylation (H3K4me1)- and histone H3 lysine 27 acetylation (H3K27ac)-defined enhancers that functionally bind Cdx2, Eomes and Elf5-core factors that define the TSC regulatory network. Furthermore, we show that RLTR13D5 is capable of driving gene expression in rat placental cells. Analysis in other tissues shows that species-specific ERV enhancer activity is generally restricted to hypomethylated tissues, suggesting that tissues permissive for ERV activity gain access to an otherwise silenced source of regulatory variation. Overall, our results implicate ERV enhancer co-option as a mechanism underlying the extensive evolutionary diversification of placental development.", "author" : [ { "dropping-particle" : "", "family" : "Chuong", "given" : "Edward B", "non-dropping-particle" : "", "parse-names" : false, "suffix" : "" }, { "dropping-particle" : "", "family" : "Rumi", "given" : "M a Karim", "non-dropping-particle" : "", "parse-names" : false, "suffix" : "" }, { "dropping-particle" : "", "family" : "Soares", "given" : "Michael J", "non-dropping-particle" : "", "parse-names" : false, "suffix" : "" }, { "dropping-particle" : "", "family" : "Baker", "given" : "Julie C", "non-dropping-particle" : "", "parse-names" : false, "suffix" : "" } ], "container-title" : "Nature genetics", "id" : "ITEM-2", "issue" : "3", "issued" : { "date-parts" : [ [ "2013", "3" ] ] }, "page" : "325-9", "publisher" : "Nature Publishing Group", "title" : "Endogenous retroviruses function as species-specific enhancer elements in the placenta.", "type" : "article-journal", "volume" : "45" }, "uris" : [ "http://www.mendeley.com/documents/?uuid=2ea03dcf-423b-411f-bb8b-431b71365085" ] }, { "id" : "ITEM-3", "itemData" : { "author" : [ { "dropping-particle" : "", "family" : "Lavialle", "given" : "Christian", "non-dropping-particle" : "", "parse-names" : false, "suffix" : "" }, { "dropping-particle" : "", "family" : "Cornelis", "given" : "G", "non-dropping-particle" : "", "parse-names" : false, "suffix" : "" }, { "dropping-particle" : "", "family" : "Dupressoir", "given" : "A", "non-dropping-particle" : "", "parse-names" : false, "suffix" : "" }, { "dropping-particle" : "", "family" : "Esnault", "given" : "C", "non-dropping-particle" : "", "parse-names" : false, "suffix" : "" }, { "dropping-particle" : "", "family" : "Heidmann", "given" : "O", "non-dropping-particle" : "", "parse-names" : false, "suffix" : "" }, { "dropping-particle" : "", "family" : "Vernochet", "given" : "C", "non-dropping-particle" : "", "parse-names" : false, "suffix" : "" }, { "dropping-particle" : "", "family" : "Heidmann", "given" : "T", "non-dropping-particle" : "", "parse-names" : false, "suffix" : "" } ], "container-title" : "Philosophical transactions of the Royal Society of London. Series B, Biological sciences", "id" : "ITEM-3", "issue" : "20120507", "issued" : { "date-parts" : [ [ "2013" ] ] }, "title" : "Paleovirology of 'syncytins', retroviral env genes exapted for a role in placentation", "type" : "article-journal", "volume" : "368" }, "uris" : [ "http://www.mendeley.com/documents/?uuid=983b4bb3-4038-48af-9eb5-813ad3fe4fc9" ] } ], "mendeley" : { "formattedCitation" : "(Heidmann et al. 2009; Chuong et al. 2013; Lavialle et al. 2013)", "plainTextFormattedCitation" : "(Heidmann et al. 2009; Chuong et al. 2013; Lavialle et al. 2013)", "previouslyFormattedCitation" : "(Heidmann et al. 2009; Chuong et al. 2013; Lavialle et al. 2013)" }, "properties" : { "noteIndex" : 0 }, "schema" : "https://github.com/citation-style-language/schema/raw/master/csl-citation.json" }</w:instrText>
      </w:r>
      <w:r w:rsidR="0029231E">
        <w:fldChar w:fldCharType="separate"/>
      </w:r>
      <w:r w:rsidR="0029231E" w:rsidRPr="0029231E">
        <w:rPr>
          <w:noProof/>
        </w:rPr>
        <w:t>(Heidmann et al. 2009; Chuong et al. 2013; Lavialle et al. 2013)</w:t>
      </w:r>
      <w:r w:rsidR="0029231E">
        <w:fldChar w:fldCharType="end"/>
      </w:r>
      <w:r w:rsidR="0029231E">
        <w:t xml:space="preserve">. </w:t>
      </w:r>
    </w:p>
    <w:p w14:paraId="71570008" w14:textId="7571DC0B" w:rsidR="00733D84" w:rsidRDefault="00733D84" w:rsidP="00391005">
      <w:pPr>
        <w:pStyle w:val="ListParagraph"/>
      </w:pPr>
      <w:r>
        <w:t xml:space="preserve">For an LTR retrotransposon insertion to be truly co-opted, its replication needs to have been controlled and its detrimental </w:t>
      </w:r>
      <w:r w:rsidR="00F615A1">
        <w:t xml:space="preserve">effects reduced or eradicated </w:t>
      </w:r>
      <w:r w:rsidR="00F615A1">
        <w:fldChar w:fldCharType="begin" w:fldLock="1"/>
      </w:r>
      <w:r w:rsidR="00F615A1">
        <w:instrText>ADDIN CSL_CITATION { "citationItems" : [ { "id" : "ITEM-1",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"ITEM-1",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"(Stoye 2012)", "plainTextFormattedCitation" : "(Stoye 2012)", "previouslyFormattedCitation" : "(Stoye 2012)" }, "properties" : { "noteIndex" : 0 }, "schema" : "https://github.com/citation-style-language/schema/raw/master/csl-citation.json" }</w:instrText>
      </w:r>
      <w:r w:rsidR="00F615A1">
        <w:fldChar w:fldCharType="separate"/>
      </w:r>
      <w:r w:rsidR="00F615A1" w:rsidRPr="00F615A1">
        <w:rPr>
          <w:noProof/>
        </w:rPr>
        <w:t>(Stoye 2012)</w:t>
      </w:r>
      <w:r w:rsidR="00F615A1">
        <w:fldChar w:fldCharType="end"/>
      </w:r>
      <w:r w:rsidR="00F615A1">
        <w:t>. The c</w:t>
      </w:r>
      <w:r>
        <w:t xml:space="preserve">ontinued expression of </w:t>
      </w:r>
      <w:r w:rsidR="00C21299">
        <w:t>evolutionarily recent</w:t>
      </w:r>
      <w:r w:rsidR="00F615A1">
        <w:t xml:space="preserve"> </w:t>
      </w:r>
      <w:r w:rsidR="00C21299">
        <w:t xml:space="preserve">ERV </w:t>
      </w:r>
      <w:r w:rsidR="00F615A1">
        <w:t>insert</w:t>
      </w:r>
      <w:r w:rsidR="00C21299">
        <w:t>ions</w:t>
      </w:r>
      <w:r w:rsidR="00F615A1">
        <w:t xml:space="preserve"> in vertebrate genomes has been shown to elicit a prolonged immunological burden on the host, mainly due to the production of replication competent virus which induces persistent viremia</w:t>
      </w:r>
      <w:r w:rsidR="0060401E">
        <w:t xml:space="preserve"> (Aswad &amp; Katzourakis 2012)</w:t>
      </w:r>
      <w:r w:rsidR="00F615A1">
        <w:t>. However, expression of endogenous retroviral proteins has also been shown to confer resistance</w:t>
      </w:r>
      <w:r w:rsidR="00136418">
        <w:t xml:space="preserve"> </w:t>
      </w:r>
      <w:r w:rsidR="00F615A1">
        <w:t>to exogenous retroviruses</w:t>
      </w:r>
      <w:r w:rsidR="00136418">
        <w:t xml:space="preserve"> (part of the wider endogenous viral element derived immunity)</w:t>
      </w:r>
      <w:r w:rsidR="00F615A1">
        <w:t xml:space="preserve">, particularly if they are closely related. Consequently, such elements provide a selective advantage during recurrent retroviral infections, but are </w:t>
      </w:r>
      <w:r w:rsidR="00136418">
        <w:t xml:space="preserve">strongly </w:t>
      </w:r>
      <w:r w:rsidR="00F615A1">
        <w:t xml:space="preserve">selected against once that retrovirus is no longer a threat </w:t>
      </w:r>
      <w:r w:rsidR="00F615A1">
        <w:fldChar w:fldCharType="begin" w:fldLock="1"/>
      </w:r>
      <w:r w:rsidR="00AD72B5">
        <w:instrText>ADDIN CSL_CITATION { "citationItems" : [ { "id" : "ITEM-1", "itemData" : { "DOI" : "10.1371/journal.pgen.1001191", "ISSN" : "1553-7404", "PMID" : "21124940", "abstract" : "Integration into the nuclear genome of germ line cells can lead to vertical inheritance of retroviral genes as host alleles. For other viruses, germ line integration has only rarely been documented. Nonetheless, we identified endogenous viral elements (EVEs) derived from ten non-retroviral families by systematic in silico screening of animal genomes, including the first endogenous representatives of double-stranded RNA, reverse-transcribing DNA, and segmented RNA viruses, and the first endogenous DNA viruses in mammalian genomes. Phylogenetic and genomic analysis of EVEs across multiple host species revealed novel information about the origin and evolution of diverse virus groups. Furthermore, several of the elements identified here encode intact open reading frames or are expressed as mRNA. For one element in the primate lineage, we provide statistically robust evidence for exaptation. Our findings establish that genetic material derived from all known viral genome types and replication strategies can enter the animal germ line, greatly broadening the scope of paleovirological studies and indicating a more significant evolutionary role for gene flow from virus to animal genomes than has previously been recognized.", "author" : [ { "dropping-particle" : "", "family" : "Katzourakis", "given" : "Aris", "non-dropping-particle" : "", "parse-names" : false, "suffix" : "" }, { "dropping-particle" : "", "family" : "Gifford", "given" : "Robert J", "non-dropping-particle" : "", "parse-names" : false, "suffix" : "" } ], "container-title" : "PLoS genetics", "id" : "ITEM-1", "issue" : "11", "issued" : { "date-parts" : [ [ "2010", "11" ] ] }, "note" : "EVEs - endogenous viral elements\nUse &amp;lt;1x10-9 as a highly significant E value threshold for tBLASTn\n\n\nVast majorty of EVEs are ERVs - rtRNA viruses such as retroviruses, as their replication has an obligate step of entering the host genome. \nEVEs from other virus types (with different replicative strategies) are also found, but are much less common. This may be mediated by non-homologous recombination with host chromosomal DNA, or by interactions with retroelements (such as LINEs) in the host cell. \n\n\nAll EVEs are useful for the study of virus evolution - viruses are capable of rapid rates of nucleotide substitution, host switching, and lineage extinction - this limits what you can infer from contemporary isolates.\n\n\nFIGURE 1 is informative - shows how different viral groups could integrate as dsRNA into the host genome. It also suggests the likelihood of the different options. \n\n\nCreated a library of peptide sequences of viruses (not retroviruses) that infect mammals and used this list to screen 44 mammal genomes, 2 bird genomes (chicken and zebrafinch) and three vector species (3xmosquito and 1xtick). Data for full ORFs was submitted into existing EST libraries to try and find expression data from the appropriate organism. \n\n\nIdentified numerous matches in mammals and the insect vectors - identified dsRNA viruses (Reoviridae) and RNA+ve (positive sense RNA) viruses (Flaviviridae), as well as segmented (Orthomyxo-, Bunyav-) and non-segmented (Borna-, Filo- and Rhabdo-) RNA-ve viruses. The viral presence is consistent with being derived from mRNA (rather than genomic RNA) as all structures spanned a single viral transcript (or fragments thereof) - EVEs from different genes never appeared as contiguous sequences, so you can't know whether insertion came from the same virus, or even same period of infection. In mammals (not seen in insects) viral sequence was flanked by TSDs and 3' poly-A tails - consistent with LINE mediated retrotransposition of mRNA. \nAlso found significant matches to DNA viruses - ssDNA (Parvo- and Circo-) and rtDNA (Hepadna- the first ever identification as part of inherited genomic sequence). \n\n\nIdentification of EBLN-1 (a bornavirus-derived insert)(RNA-ve) in all primates, insert predating divergence of strepsirhine (lemurs etc) primates (~54MYA). ORFs are intact, likelihood of maintaining an ORF over this time period without purifying selection was &amp;lt;1x10-5. However, it no longer retains coding function - potential loss across pirmates relatively recently? Or it is close to something else that is being maintained by selection and the selective force is carrying across it?\n\n\nUnsurprisingly, there is better representation of certain virus groups than of others - likely reflecting a predisposition for germline integration for certain families. Viruses that establish persistent infection, or replicate within the nucleus are particularly well represented. \n\n\nAs they cannot propagate themselves throughout the genome, the dynamics of sequence growth, loss and fixation may be very different to those dynamics observed with ERVs. It is possible that EVEs can be totally lost from the genome through large scale deletions (as can ERVs), again there seems to be no mechanism for clean excision of this elements.", "page" : "e1001191", "title" : "Endogenous viral elements in animal genomes.", "type" : "article-journal", "volume" : "6" }, "uris" : [ "http://www.mendeley.com/documents/?uuid=96577b1b-e345-4bec-92d3-4b5b2d6fedba" ] }, { "id" : "ITEM-2",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"ITEM-2", "issue" : "11", "issued" : { "date-parts" : [ [ "2012", "11" ] ] }, "page" : "627-36", "publisher" : "Elsevier Ltd", "title" : "Paleovirology and virally derived immunity.", "type" : "article-journal", "volume" : "27" }, "uris" : [ "http://www.mendeley.com/documents/?uuid=bb0d0386-3d7c-43e0-917d-1954dabb96df" ] }, { "id" : "ITEM-3", "itemData" : { "DOI" : "10.1016/j.coviro.2011.06.007.Paleovirology", "abstract" : "The emerging field of paleovirology aims to study the evolutionary age and impact of ancient viruses (paleoviruses) on host biology. Despite a historical emphasis on retroviruses, paleoviral \u2018fossils\u2019 have recently been uncovered from a broad swathe of viruses. These viral imprints have upended long-held notions of the age and mutation rate of viruses. While 'direct' paleovirology relies on the insertion of viral genes in animal genomes, examination of adaptive changes in host genes that occurred in response to paleoviral infections provides a complementary strategy for making \u2018indirect\u2019 paleovirological inferences. Finally, viruses have also impacted host biology by providing genes hosts have domesticated for their own purpose.", "author" : [ { "dropping-particle" : "", "family" : "Patel", "given" : "Maulik R", "non-dropping-particle" : "", "parse-names" : false, "suffix" : "" }, { "dropping-particle" : "", "family" : "Emerman", "given" : "Michael", "non-dropping-particle" : "", "parse-names" : false, "suffix" : "" }, { "dropping-particle" : "", "family" : "Malik", "given" : "Harmit S", "non-dropping-particle" : "", "parse-names" : false, "suffix" : "" } ], "container-title" : "Current Opinion in Virology", "id" : "ITEM-3", "issue" : "4", "issued" : { "date-parts" : [ [ "2012" ] ] }, "note" : "Not very useful - states that not all endogenous viral elements are necessarily retroviral elements but may have been incorporated in other means. Mentions the need to remember that it is hard to distinguish between multiple events and genome organisation. Also states that long term evolutionary rates of viruses is probably very slow, rather than the short term rapid rates we see over decades/last century etc.", "page" : "304-309", "title" : "Paleovirology - Ghosts and gifts of the past", "type" : "article-journal", "volume" : "1" }, "uris" : [ "http://www.mendeley.com/documents/?uuid=f2134874-ba46-4051-a2d2-b735d822c241" ] }, { "id" : "ITEM-4", "itemData" : { "author" : [ { "dropping-particle" : "", "family" : "Hurst", "given" : "Tara", "non-dropping-particle" : "", "parse-names" : false, "suffix" : "" }, { "dropping-particle" : "", "family" : "Magiorkinis", "given" : "Gikkas", "non-dropping-particle" : "", "parse-names" : false, "suffix" : "" } ], "container-title" : "Journal of General Virology", "id" : "ITEM-4", "issued" : { "date-parts" : [ [ "2014" ] ] }, "title" : "Activation of the innate immune response by endogenous retroviruses", "type" : "article-journal" }, "uris" : [ "http://www.mendeley.com/documents/?uuid=d616f70e-c699-4274-885b-b02c707d3842" ] } ], "mendeley" : { "formattedCitation" : "(Katzourakis &amp; Gifford 2010; Aswad &amp; Katzourakis 2012; Patel et al. 2012; Hurst &amp; Magiorkinis 2014)", "plainTextFormattedCitation" : "(Katzourakis &amp; Gifford 2010; Aswad &amp; Katzourakis 2012; Patel et al. 2012; Hurst &amp; Magiorkinis 2014)", "previouslyFormattedCitation" : "(Katzourakis &amp; Gifford 2010; Aswad &amp; Katzourakis 2012; Patel et al. 2012; Hurst &amp; Magiorkinis 2014)" }, "properties" : { "noteIndex" : 0 }, "schema" : "https://github.com/citation-style-language/schema/raw/master/csl-citation.json" }</w:instrText>
      </w:r>
      <w:r w:rsidR="00F615A1">
        <w:fldChar w:fldCharType="separate"/>
      </w:r>
      <w:r w:rsidR="00AD72B5" w:rsidRPr="00AD72B5">
        <w:rPr>
          <w:noProof/>
        </w:rPr>
        <w:t>(Katzourakis &amp; Gifford 2010; Aswad &amp; Katzourakis 2012; Patel et al. 2012; Hurst &amp; Magiorkinis 2014)</w:t>
      </w:r>
      <w:r w:rsidR="00F615A1">
        <w:fldChar w:fldCharType="end"/>
      </w:r>
      <w:r w:rsidR="00F615A1">
        <w:t>.</w:t>
      </w:r>
      <w:r w:rsidR="00136418">
        <w:t xml:space="preserve"> </w:t>
      </w:r>
    </w:p>
    <w:p w14:paraId="4A0D8EAA" w14:textId="437E12C7" w:rsidR="006D5132" w:rsidRPr="00136418" w:rsidRDefault="00C035C0" w:rsidP="00391005">
      <w:pPr>
        <w:pStyle w:val="ListParagraph"/>
      </w:pPr>
      <w:r>
        <w:t xml:space="preserve">ERVs can mediate exogenous retroviral infection in two main ways. Firstly, production of </w:t>
      </w:r>
      <w:r w:rsidR="00136418">
        <w:t xml:space="preserve">envelope protein can inhibit exogenous retrovirus infection through receptor interference. The endogenous </w:t>
      </w:r>
      <w:r>
        <w:t>e</w:t>
      </w:r>
      <w:r w:rsidR="00136418">
        <w:t>nvelope act</w:t>
      </w:r>
      <w:r>
        <w:t>s as a competitive inhibitor by physically blocking</w:t>
      </w:r>
      <w:r w:rsidR="00136418">
        <w:t xml:space="preserve"> the cellular receptors hijacked by infecting viruses. Examples include the mammalian gammaretroviral </w:t>
      </w:r>
      <w:r w:rsidR="00136418">
        <w:rPr>
          <w:i/>
        </w:rPr>
        <w:t>Fv4</w:t>
      </w:r>
      <w:r w:rsidR="00136418">
        <w:t xml:space="preserve"> and </w:t>
      </w:r>
      <w:r w:rsidR="00136418">
        <w:rPr>
          <w:i/>
        </w:rPr>
        <w:t>Rcmf</w:t>
      </w:r>
      <w:r w:rsidR="00136418">
        <w:t xml:space="preserve">, and chicken </w:t>
      </w:r>
      <w:r>
        <w:t>alpharetroviral ERVs such as ALVE6</w:t>
      </w:r>
      <w:r w:rsidR="00136418">
        <w:t xml:space="preserve"> </w:t>
      </w:r>
      <w:r w:rsidR="00136418">
        <w:fldChar w:fldCharType="begin" w:fldLock="1"/>
      </w:r>
      <w:r>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"id" : "ITEM-2", "itemData" : { "DOI" : "10.3382/ps.0701673", "ISSN" : "0032-5791", "abstract" : "Endogenous virus (EV) locus ev6 encodes only virus envelope glycoprotein. The influence of ev6 on the immune response to contact infection with hatchmates infected with avian leukosis virus (ALV) was compared in replicate hatches. The ALV Subgroup E-resistant, rapid-feathering (RF) female chickens produced by slow-feathering (SF) and RF dams with and without ev6 were exposed at hatch to hatchmates infected with ALV Subgroup A (Strain RPL-40). The RPL-40 viremia, shedding, and virus neutralizing antibodies were measured among pullets from two hatches at 22 wk of age. Although significant (P&lt;.05) differences between hatches in the immune response to contact infection were noted among ev6+ pullets, significantly fewer ev6+ pullets seroconverted than their ev6- hatchmates. At 22 wk of age, significantly more lymphomas were also found among ev6+ pullets than among ev6- hatchmates. In flocks wherein both parents and progeny were homozygous resistant to Subgroup E virus, there was no detrimental maternal effect on RF progeny from SF dams that carried ev21. These results also confirm that selection for genetic cellular resistance to Subgroup E ALV infection eliminates congenital transmission of EV21.", "author" : [ { "dropping-particle" : "", "family" : "Smith", "given" : "E J", "non-dropping-particle" : "", "parse-names" : false, "suffix" : "" }, { "dropping-particle" : "", "family" : "Fadly", "given" : "A M", "non-dropping-particle" : "", "parse-names" : false, "suffix" : "" }, { "dropping-particle" : "", "family" : "Levin", "given" : "I", "non-dropping-particle" : "", "parse-names" : false, "suffix" : "" }, { "dropping-particle" : "", "family" : "Crittenden", "given" : "L B", "non-dropping-particle" : "", "parse-names" : false, "suffix" : "" } ], "container-title" : "Poultry Science", "id" : "ITEM-2", "issue" : "8", "issued" : { "date-parts" : [ [ "1991", "8", "1" ] ] }, "note" : "Ev6 only expresses env glycoprotein and down modulates ev21 \u2013 alternative breeding strategy to eradicating ev21 when it is closely linked with the useful sexing phenotype. \nEv3, ev6 and ev9 all express only env glycoprotein, and all at high levels \u2013 dominant genes that inhibit EV amplification. \nNot accessible online from Ed Uni - Journals available at the Vet School Library", "page" : "1673-1678", "title" : "The Influence of ev6 on the Immune Response to Avian Leukosis Virus Infection in Rapid-Feathering Progeny of Slow- and Rapid-Feathering Dams", "type" : "article-journal", "volume" : "70" }, "uris" : [ "http://www.mendeley.com/documents/?uuid=a70fc5db-e166-43f2-83f4-6b8568b78519" ] }, { "id" : "ITEM-3", "itemData" : { "DOI" : "10.1111/j.1749-6632.2009.05002.x", "ISSN" : "00778923", "PMID" : "19845636", "abstract" : "Endogenous retroviruses (ERVs) are present in the genome of all vertebrates and have coevolved with their hosts for millions of years. Some ERVs play a critical role in placental development, contribute to genome plasticity, and protect the host against infection of related pathogenic and exogenous retroviruses, thus some ERVs have been positively selected and maintained in the host genome. The sheep genome contains 27 endogenous retroviruses (enJSRVs) related to the pathogenic Jaagsiekte sheep retrovirus (JSRV), the causative agent of a transmissible lung cancer in sheep. enJSRVs are able to protect their host against JSRV infection by blocking different steps of the viral replication cycle. In addition, enJSRVs are absolutely required for sheep placental development. Thus, enJSRVs-JSRV provides a unique and interesting model to study the symbiotic relationship and interplay between host ERVs and evolution. This review will provide some examples of the biological functions of ERVs. In particular, the role of ERVs in reproductive biology and in protecting the host against pathogenic retrovirus infections will be emphasized using enJSRVs/JSRV and the sheep as a model.", "author" : [ { "dropping-particle" : "", "family" : "Varela", "given" : "Mariana", "non-dropping-particle" : "", "parse-names" : false, "suffix" : "" }, { "dropping-particle" : "", "family" : "Spencer", "given" : "Thomas E", "non-dropping-particle" : "", "parse-names" : false, "suffix" : "" }, { "dropping-particle" : "", "family" : "Palmarini", "given" : "Massimo", "non-dropping-particle" : "", "parse-names" : false, "suffix" : "" }, { "dropping-particle" : "", "family" : "Arnaud", "given" : "Fr\u00e9d\u00e9rick", "non-dropping-particle" : "", "parse-names" : false, "suffix" : "" } ], "container-title" : "Annals of the New York Academy of Sciences", "id" : "ITEM-3", "issued" : { "date-parts" : [ [ "2009" ] ] }, "page" : "157-172", "title" : "Friendly Viruses", "type" : "article-journal", "volume" : "1178" }, "uris" : [ "http://www.mendeley.com/documents/?uuid=1fe9d0b0-f87f-48c7-89c2-30c07fa135fa" ] }, { "id" : "ITEM-4", "itemData" : { "DOI" : "10.1128/JVI.01267-13", "ISSN" : "1098-5514", "PMID" : "23966402", "abstract" : "The host defense against viral infection is acquired during the coevolution or symbiosis of the host and pathogen. Several cellular factors that restrict retroviral infection have been identified in the hosts. Feline leukemia virus (FeLV) is a gammaretrovirus that is classified into several receptor interference groups, including a novel FeLV-subgroup D (FeLV-D) that we recently identified. FeLV-D is generated by transduction of the env gene of feline endogenous gammaretrovirus of the domestic cat (ERV-DCs) into FeLV. Some ERV-DCs are replication competent viruses which are present and hereditary in cats. We report here the determination of new viral receptor interference groups and the discovery of a soluble antiretroviral factor, termed Refrex-1. Detailed analysis of FeLV-D strains and ERV-DCs showed two receptor interference groups that are distinct from other FeLV subgroups, and Refrex-1 specifically inhibited one of them. Refrex-1 is characterized as a truncated envelope protein of ERV-DC and includes the N-terminal region of surface unit, which is a putative receptor-binding domain, but lacks the transmembrane region. Refrex-1 is efficiently secreted from the cells and appears to cause receptor interference extracellularly. Two variants of Refrex-1 encoded by provirus loci, ERV-DC7 and DC16, are expressed in a broad range of feline tissues. The host retains Refrex-1 as an antiretroviral factor, which may potentially prevent reemergence of the ERVs and the emergence of novel ERV-related viruses in cats. Refrex-1 may have been acquired during endogenization of ERV-DCs and may play an important role in retroviral restriction and antiviral defense in cats.", "author" : [ { "dropping-particle" : "", "family" : "Ito", "given" : "Jumpei", "non-dropping-particle" : "", "parse-names" : false, "suffix" : "" }, { "dropping-particle" : "", "family" : "Watanabe", "given" : "Shinya", "non-dropping-particle" : "", "parse-names" : false, "suffix" : "" }, { "dropping-particle" : "", "family" : "Hiratsuka", "given" : "Takahiro", "non-dropping-particle" : "", "parse-names" : false, "suffix" : "" }, { "dropping-particle" : "", "family" : "Kuse", "given" : "Kyohei", "non-dropping-particle" : "", "parse-names" : false, "suffix" : "" }, { "dropping-particle" : "", "family" : "Odahara", "given" : "Yuka", "non-dropping-particle" : "", "parse-names" : false, "suffix" : "" }, { "dropping-particle" : "", "family" : "Ochi", "given" : "Haruyo", "non-dropping-particle" : "", "parse-names" : false, "suffix" : "" }, { "dropping-particle" : "", "family" : "Kawamura", "given" : "Maki", "non-dropping-particle" : "", "parse-names" : false, "suffix" : "" }, { "dropping-particle" : "", "family" : "Nishigaki", "given" : "Kazuo", "non-dropping-particle" : "", "parse-names" : false, "suffix" : "" } ], "container-title" : "Journal of virology", "id" : "ITEM-4", "issue" : "22", "issued" : { "date-parts" : [ [ "2013" ] ] }, "page" : "12029-40", "title" : "Refrex-1, a soluble restriction factor against feline endogenous and exogenous retroviruses.", "type" : "article-journal", "volume" : "87" }, "uris" : [ "http://www.mendeley.com/documents/?uuid=51e202fa-7d0c-4fa9-9b70-a8fce951c29e" ] }, { "id" : "ITEM-5", "itemData" : { "DOI" : "10.3390/v7010001", "ISSN" : "1999-4915", "abstract" : "The mouse gammaretroviruses associated with leukemogenesis are found in the classical inbred mouse strains and in house mouse subspecies as infectious exogenous viruses (XRVs) and as endogenous retroviruses (ERVs) inserted into their host genomes. There are three major mouse leukemia virus (MuLV) subgroups in laboratory mice: ecotropic, xenotropic, and polytropic. These MuLV subgroups differ in host range, pathogenicity, receptor usage and subspecies of origin. The MuLV ERVs are recent acquisitions in the mouse genome as demonstrated by the presence of many full-length nondefective MuLV ERVs that produce XRVs, the segregation of these MuLV subgroups into different house mouse subspecies, and by the positional polymorphism of these loci among inbred strains and individual wild mice. While some ecotropic and xenotropic ERVs can produce XRVs directly, others, especially the pathogenic polytropic ERVs, do so only after recombinations that can involve all three ERV subgroups. Here, I describe individual MuLV ERVs found in the laboratory mice, their origins and geographic distribution in wild mouse subspecies, their varying ability to produce infectious virus and the biological consequences of this expression.", "author" : [ { "dropping-particle" : "", "family" : "Kozak", "given" : "Christine", "non-dropping-particle" : "", "parse-names" : false, "suffix" : "" } ], "container-title" : "Viruses", "id" : "ITEM-5", "issue" : "1", "issued" : { "date-parts" : [ [ "2014" ] ] }, "page" : "1-26", "title" : "Origins of the Endogenous and Infectious Laboratory Mouse Gammaretroviruses", "type" : "article-journal", "volume" : "7" }, "uris" : [ "http://www.mendeley.com/documents/?uuid=ee26789f-3e68-488a-8495-35a23d331fa5" ] } ], "mendeley" : { "formattedCitation" : "(Robinson et al. 1981; Smith et al. 1991; Varela et al. 2009; Ito et al. 2013; Kozak 2014)", "plainTextFormattedCitation" : "(Robinson et al. 1981; Smith et al. 1991; Varela et al. 2009; Ito et al. 2013; Kozak 2014)", "previouslyFormattedCitation" : "(Robinson et al. 1981; Smith et al. 1991; Varela et al. 2009; Ito et al. 2013; Kozak 2014)" }, "properties" : { "noteIndex" : 0 }, "schema" : "https://github.com/citation-style-language/schema/raw/master/csl-citation.json" }</w:instrText>
      </w:r>
      <w:r w:rsidR="00136418">
        <w:fldChar w:fldCharType="separate"/>
      </w:r>
      <w:r w:rsidR="00136418" w:rsidRPr="00136418">
        <w:rPr>
          <w:noProof/>
        </w:rPr>
        <w:t>(Robinson et al. 1981; Smith et al. 1991; Varela et al. 2009; Ito et al. 2013; Kozak 2014)</w:t>
      </w:r>
      <w:r w:rsidR="00136418">
        <w:fldChar w:fldCharType="end"/>
      </w:r>
      <w:r w:rsidR="00136418">
        <w:t>.</w:t>
      </w:r>
      <w:r>
        <w:t xml:space="preserve"> </w:t>
      </w:r>
      <w:r w:rsidR="00C21299">
        <w:t xml:space="preserve">In some cases the cellular receptors have become mutated to block viral entry, but this can elicit a broad range of </w:t>
      </w:r>
      <w:r w:rsidR="006739DD">
        <w:t xml:space="preserve">negative </w:t>
      </w:r>
      <w:r w:rsidR="00C21299">
        <w:t>phenotypic eff</w:t>
      </w:r>
      <w:r w:rsidR="00C569BB">
        <w:t xml:space="preserve">ects on the host </w:t>
      </w:r>
      <w:r w:rsidR="00C569BB">
        <w:fldChar w:fldCharType="begin" w:fldLock="1"/>
      </w:r>
      <w:r w:rsidR="00C569BB">
        <w:instrText>ADDIN CSL_CITATION { "citationItems" : [ { "id" : "ITEM-1", "itemData" : { "DOI" : "10.1016/S0945-053X(01)00170-6", "ISSN" : "0945053X", "PMID" : "11731268", "abstract" : "Hyal2 is one of several hyaluronidases present in vertebrates. The human gene encoding this enzyme is present on chromosome 3p.21.3, close to two additional hyaluronidase genes. cDNAs encoding Hyal2 homologues have been characterized from mouse and Xenopus laevis. These enzymes hydrolyze high molecular mass hyaluronan to intermediates of approximately 20 kDa, a finding which implies that structural domains of this size exist in this polysaccharide which was mostly thought to be a random coil. Hyal2 enzymes have an acidic pH-optimum with an activity that is considerably lower than observed for other types of hyaluronidases. Originally considered to be a typical lysosomal enzyme, more recent evidence has shown that Hyal2 proteins can also be exposed on the cell surface bound to the plasma membrane via a GPI anchor. Hyal2 is present in many tissues, one exception being the adult brain. In this tissue, the gene is silenced after birth by methylation. Current evidence about the role of Hyal2 in tumor growth, inflammation and frog embryogenesis is discussed. \u00a9 2001 Elsevier Science B.V./International Soceity of Matrix Biology. All rights reserved.", "author" : [ { "dropping-particle" : "", "family" : "Lepperdinger", "given" : "G\u00fcnter", "non-dropping-particle" : "", "parse-names" : false, "suffix" : "" }, { "dropping-particle" : "", "family" : "M\u00fcllegger", "given" : "Johannes", "non-dropping-particle" : "", "parse-names" : false, "suffix" : "" }, { "dropping-particle" : "", "family" : "Kreil", "given" : "G\u00fcnther", "non-dropping-particle" : "", "parse-names" : false, "suffix" : "" } ], "container-title" : "Matrix Biology", "id" : "ITEM-1", "issue" : "8", "issued" : { "date-parts" : [ [ "2001" ] ] }, "page" : "509-514", "title" : "Hyal2 - Less active, but more versatile?", "type" : "article-journal", "volume" : "20" }, "uris" : [ "http://www.mendeley.com/documents/?uuid=c5d3a773-670c-4238-a20d-c495ae4d63c5" ] }, { "id" : "ITEM-2", "itemData" : { "DOI" : "10.1096/fj.08-111997", "ISSN" : "0892-6638", "PMID" : "18772348", "abstract" : "The metabolism of hyaluronan (HA) relies on HA synthases and hyaluronidases, among which hyaluronidase-1 (HYAL1) and -2 (HYAL2) have been proposed as key actors. Congenital HYAL1 deficiency leads to mucopolysaccharidosis IX (MPS IX), a rare lysosomal storage disorder characterized by joint abnormalities. Knowledge of HYAL2 is limited. This protein displays weak in vitro hyaluronidase activity and acts as a receptor for oncogenic ovine retroviruses. We have generated HYAL2-deficient mice through a conditional Cre-lox system. Hyal2(-/-) mice are viable and fertile. They exhibit localized congenital defects in frontonasal and vertebral bone formation and suffer from mild thrombocytopenia and chronic, possibly intravascular, hemolysis. In addition, Hyal2(-/-) mice display 10-fold increases in plasma levels of HA and 2-fold increases in plasma hyaluronidase activity. Globally, there is no HA accumulation in tissues, including bones, but liver sinusoidal cells seem overloaded with undigested HA. Taken together, these elements demonstrate for the first time that murine HYAL2 has a physiological activity in vivo that is relevant for craniovertebral bone formation, maintenance of plasma HA concentrations, and erythrocyte and platelet homeostasis. In addition, the viability of HYAL2-deficient mice raises the possibility that a similar defect, defining a new MPS disorder, exists in humans.", "author" : [ { "dropping-particle" : "", "family" : "Jadin", "given" : "L.", "non-dropping-particle" : "", "parse-names" : false, "suffix" : "" }, { "dropping-particle" : "", "family" : "Wu", "given" : "X.", "non-dropping-particle" : "", "parse-names" : false, "suffix" : "" }, { "dropping-particle" : "", "family" : "Ding", "given" : "H.", "non-dropping-particle" : "", "parse-names" : false, "suffix" : "" }, { "dropping-particle" : "", "family" : "Frost", "given" : "G. I.", "non-dropping-particle" : "", "parse-names" : false, "suffix" : "" }, { "dropping-particle" : "", "family" : "Onclinx", "given" : "C.", "non-dropping-particle" : "", "parse-names" : false, "suffix" : "" }, { "dropping-particle" : "", "family" : "Triggs-Raine", "given" : "B.", "non-dropping-particle" : "", "parse-names" : false, "suffix" : "" }, { "dropping-particle" : "", "family" : "Flamion", "given" : "B.", "non-dropping-particle" : "", "parse-names" : false, "suffix" : "" } ], "container-title" : "The FASEB Journal", "id" : "ITEM-2", "issue" : "12", "issued" : { "date-parts" : [ [ "2008" ] ] }, "page" : "4316-4326", "title" : "Skeletal and hematological anomalies in HYAL2-deficient mice: a second type of mucopolysaccharidosis IX?", "type" : "article-journal", "volume" : "22" }, "uris" : [ "http://www.mendeley.com/documents/?uuid=bdee3a4b-de27-4009-82f2-c7bb150906bb" ] } ], "mendeley" : { "formattedCitation" : "(Lepperdinger et al. 2001; Jadin et al. 2008)", "plainTextFormattedCitation" : "(Lepperdinger et al. 2001; Jadin et al. 2008)", "previouslyFormattedCitation" : "(Lepperdinger et al. 2001; Jadin et al. 2008)" }, "properties" : { "noteIndex" : 0 }, "schema" : "https://github.com/citation-style-language/schema/raw/master/csl-citation.json" }</w:instrText>
      </w:r>
      <w:r w:rsidR="00C569BB">
        <w:fldChar w:fldCharType="separate"/>
      </w:r>
      <w:r w:rsidR="00C569BB" w:rsidRPr="00C569BB">
        <w:rPr>
          <w:noProof/>
        </w:rPr>
        <w:t>(Lepperdinger et al. 2001; Jadin et al. 2008)</w:t>
      </w:r>
      <w:r w:rsidR="00C569BB">
        <w:fldChar w:fldCharType="end"/>
      </w:r>
      <w:r w:rsidR="00C21299">
        <w:t xml:space="preserve">. </w:t>
      </w:r>
      <w:r>
        <w:t xml:space="preserve">Secondly, whilst production of gag proteins is generally detrimental to the host </w:t>
      </w:r>
      <w:r>
        <w:fldChar w:fldCharType="begin" w:fldLock="1"/>
      </w:r>
      <w:r w:rsidR="00AD72B5">
        <w:instrText>ADDIN CSL_CITATION { "citationItems" : [ { "id" : "ITEM-1", "itemData" : { "author" : [ { "dropping-particle" : "", "family" : "Astrin", "given" : "S M", "non-dropping-particle" : "", "parse-names" : false, "suffix" : "" }, { "dropping-particle" : "", "family" : "Robinson", "given" : "HL", "non-dropping-particle" : "", "parse-names" : false, "suffix" : "" } ], "container-title" : "Journal of Virology", "id" : "ITEM-1", "issue" : "2", "issued" : { "date-parts" : [ [ "1979" ] ] }, "page" : "420-425", "title" : "Gs , an Allele of Chickens for Endogenous Avian Leukosis Viral Antigens , Segregates with ev 3 , a Genetic Locus That Contains Structural Genes for Virus", "type" : "article-journal", "volume" : "31" }, "uris" : [ "http://www.mendeley.com/documents/?uuid=92f6d6ca-888f-4afb-8649-ebb63e87da5b" ] }, { "id" : "ITEM-2",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"ITEM-2", "issue" : "3", "issued" : { "date-parts" : [ [ "1981" ] ] }, "page" : "745-51", "title" : "Host Susceptibility to endogenous viruses: defective, glycoprotein-expressing proviruses interfere with infections.", "type" : "article-journal", "volume" : "40" }, "uris" : [ "http://www.mendeley.com/documents/?uuid=56707bd3-ea0a-4eba-8694-48d913ca265d" ] } ], "mendeley" : { "formattedCitation" : "(Astrin &amp; Robinson 1979; Robinson et al. 1981)", "plainTextFormattedCitation" : "(Astrin &amp; Robinson 1979; Robinson et al. 1981)", "previouslyFormattedCitation" : "(Astrin &amp; Robinson 1979; Robinson et al. 1981)" }, "properties" : { "noteIndex" : 0 }, "schema" : "https://github.com/citation-style-language/schema/raw/master/csl-citation.json" }</w:instrText>
      </w:r>
      <w:r>
        <w:fldChar w:fldCharType="separate"/>
      </w:r>
      <w:r w:rsidRPr="00C035C0">
        <w:rPr>
          <w:noProof/>
        </w:rPr>
        <w:t>(Astrin &amp; Robinson 1979; Robinson et al. 1981)</w:t>
      </w:r>
      <w:r>
        <w:fldChar w:fldCharType="end"/>
      </w:r>
      <w:r>
        <w:t xml:space="preserve">, these proteins can also have an inhibitory effect on retroviral uncoating and reassembly, as well as halting nuclear transport and targeting viral RNA for degradation by forming double stranded hybrid sequences </w:t>
      </w:r>
      <w:r>
        <w:fldChar w:fldCharType="begin" w:fldLock="1"/>
      </w:r>
      <w:r>
        <w:instrText>ADDIN CSL_CITATION { "citationItems" : [ { "id" : "ITEM-1",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"ITEM-1", "issue" : "11", "issued" : { "date-parts" : [ [ "2012", "11" ] ] }, "page" : "627-36", "publisher" : "Elsevier Ltd", "title" : "Paleovirology and virally derived immunity.", "type" : "article-journal", "volume" : "27" }, "uris" : [ "http://www.mendeley.com/documents/?uuid=bb0d0386-3d7c-43e0-917d-1954dabb96df" ] } ], "mendeley" : { "formattedCitation" : "(Aswad &amp; Katzourakis 2012)", "plainTextFormattedCitation" : "(Aswad &amp; Katzourakis 2012)", "previouslyFormattedCitation" : "(Aswad &amp; Katzourakis 2012)" }, "properties" : { "noteIndex" : 0 }, "schema" : "https://github.com/citation-style-language/schema/raw/master/csl-citation.json" }</w:instrText>
      </w:r>
      <w:r>
        <w:fldChar w:fldCharType="separate"/>
      </w:r>
      <w:r w:rsidRPr="00C035C0">
        <w:rPr>
          <w:noProof/>
        </w:rPr>
        <w:t>(Aswad &amp; Katzourakis 2012)</w:t>
      </w:r>
      <w:r>
        <w:fldChar w:fldCharType="end"/>
      </w:r>
      <w:r>
        <w:t xml:space="preserve">. </w:t>
      </w:r>
      <w:r w:rsidR="00AD72B5">
        <w:t xml:space="preserve">In hosts with multiple, </w:t>
      </w:r>
      <w:r w:rsidR="00AD72B5">
        <w:lastRenderedPageBreak/>
        <w:t xml:space="preserve">related ERVs which exhibit different levels of intactness, the cumulative effect of these elements on retroviral defence is complex and often finely balanced. In addition, whilst some expressed ERVs can protect host cells, the presence of ERV transcripts increases the likelihood of forming recombinant viruses </w:t>
      </w:r>
      <w:r w:rsidR="00AD72B5">
        <w:fldChar w:fldCharType="begin" w:fldLock="1"/>
      </w:r>
      <w:r w:rsidR="00164905">
        <w:instrText>ADDIN CSL_CITATION { "citationItems" : [ { "id" : "ITEM-1", "itemData" : { "DOI" : "10.1053/rvsc.1998.0283", "ISSN" : "0034-5288", "PMID" : "10502478", "abstract" : "A strain of avian leukosis virus (ALV) belonging to a new envelope subgroup J was isolated in the UK in 1988 from meat-type chickens. The disease caused by the members of this subgroup has since spread very rapidly worldwide and has become one of the major problems facing the broiler meat industry. Molecular characterisation of HPRS -103, the prototype of subgroup J, has shown that it has a structure of a typical ALV with gag, pol and env genes. However the env gene was distinct from that of other ALV s and was closely related to that of novel endogenous retroviral elements designated EAV - HP. As other regions of the genome were closely related to ALV s, it is believed that ALV-J has evolved by recombination with the env sequences of EAV - HP. ALV-J has a tropism for myeloid cells, a feature that may be associated with its ability to induce myeloid leukosis. Recent data show that ALV -J isolates evolve rapidly resulting in sequence changes within the variable regions of the env gene leading to antigenic variation. Eradication programmes established for other subgroups are proving to be effective in eradicating ALV-J from infected flocks.", "author" : [ { "dropping-particle" : "", "family" : "Venugopal", "given" : "K", "non-dropping-particle" : "", "parse-names" : false, "suffix" : "" } ], "container-title" : "Research in veterinary science", "id" : "ITEM-1", "issue" : "2", "issued" : { "date-parts" : [ [ "1999", "10" ] ] }, "page" : "113-9", "title" : "Avian leukosis virus subgroup J: a rapidly evolving group of oncogenic retroviruses.", "type" : "article-journal", "volume" : "67" }, "uris" : [ "http://www.mendeley.com/documents/?uuid=2dacf328-8159-4df1-ae9f-9519533c3ee0" ] }, { "id" : "ITEM-2", "itemData" : { "DOI" : "10.1080/03079457.2011.560932", "ISSN" : "1465-3338", "PMID" : "21711186", "abstract" : "Two natural recombinant avian leukosis viruses (ALVs) were isolated from Chinese commercial egg-type chickens in 2009, which suffered from haemangiomas and myelocytomas. Sequence analysis of the complete proviral genomes revealed several unique genetic characteristics of the present two isolates, demonstrating that the two viruses were derived from recombination between earlier Chinese ALV-J and endogenous virus sequences. The two recombinant viruses presented typical genetic organization of replication-competent genus Alpharetrovirus, and the gag and pol genes were well conserved with those of ALVs. The env genes of the two viruses were composed of the internal identical sequences (about 240 bp) of endogenous viruses, and the rest of the sequence belonged to subgroup J ALVs. The long terminal repeats of the two viruses were more closely related to HPRS-103 and earlier Chinese ALV-J than other subgroup ALVs, and multiple transcription regulatory elements of ALV-J were highly conserved. In addition, the two viruses shared an almost identical 3'-untranslated region (UTR) sequence with earlier Chinese ALV-J strains and the US strain 4817, containing a ~127 bp deletion in the E element region. However, further comparison with endogenous ALV indicated that the 3'-UTR sequences with ~127 bp deletion of ALV-J were most probably derived from endogenous viruses by recombination. These results suggested that the two isolates can be characterized as recombinant ALV-J with the internal env gene and 3'-UTR sequence of endogenous ALV.", "author" : [ { "dropping-particle" : "", "family" : "Liu", "given" : "Chaonan", "non-dropping-particle" : "", "parse-names" : false, "suffix" : "" }, { "dropping-particle" : "", "family" : "Zheng", "given" : "Shimin", "non-dropping-particle" : "", "parse-names" : false, "suffix" : "" }, { "dropping-particle" : "", "family" : "Wang", "given" : "Yongqiang", "non-dropping-particle" : "", "parse-names" : false, "suffix" : "" }, { "dropping-particle" : "", "family" : "Jing", "given" : "Long", "non-dropping-particle" : "", "parse-names" : false, "suffix" : "" }, { "dropping-particle" : "", "family" : "Gao", "given" : "Honglei", "non-dropping-particle" : "", "parse-names" : false, "suffix" : "" }, { "dropping-particle" : "", "family" : "Gao", "given" : "Yulong", "non-dropping-particle" : "", "parse-names" : false, "suffix" : "" }, { "dropping-particle" : "", "family" : "Qi", "given" : "Xiaole", "non-dropping-particle" : "", "parse-names" : false, "suffix" : "" }, { "dropping-particle" : "", "family" : "Qin", "given" : "Liting", "non-dropping-particle" : "", "parse-names" : false, "suffix" : "" }, { "dropping-particle" : "", "family" : "Pan", "given" : "Wei", "non-dropping-particle" : "", "parse-names" : false, "suffix" : "" }, { "dropping-particle" : "", "family" : "Wang", "given" : "Xiaomei", "non-dropping-particle" : "", "parse-names" : false, "suffix" : "" } ], "container-title" : "Avian pathology : journal of the W.V.P.A", "id" : "ITEM-2", "issue" : "3", "issued" : { "date-parts" : [ [ "2011", "6" ] ] }, "note" : "ALV-A is most common, but ALV-B and ALV-J are also quite common. Subgroups C and D appear quite rare. ALV-J arose from recombination between an ALV-A and an endogenous ALV sequence (HPRS-103 was the protype J and was a recombination between an ALV-A and EAV-HP). These viruses appeared in the 1980s and have been a prevalent issue in commercial bird populations ever since. It is most prevalent in broiler populations, but has had an impact in egg laying populations as well, at a global scale. \n\n\nALV-J appears quite genetically unstable. There have been more cases of recombination allowing a diverse range of subtype J viruses to appear with novel physiological effects. \nThis study isolates two further ALV-J viruses which, under analysis, have been shown to be a secondary recombination between an existing ALV-J and another ERV. This gives the sequence ALV-A, and two different ERV signals. The LTRs appear to have been retained from the 'original' ALV-J with the ERV signals appearing in the env and gag regions of the internal domain.", "page" : "269-75", "title" : "Detection and molecular characterization of recombinant avian leukosis viruses in commercial egg-type chickens in China.", "type" : "article-journal", "volume" : "40" }, "uris" : [ "http://www.mendeley.com/documents/?uuid=2c72f9ed-d340-4b86-b83b-86c7a7375521" ] }, { "id" : "ITEM-3", "itemData" : { "DOI" : "10.1128/JVI.02863-13", "ISSN" : "1098-5514", "PMID" : "24352464", "abstract" : "Endogenous retroviruses (ERVs) represent ancestral sequences of modern retroviruses or their extinct relatives. The majority of ERVs cluster alongside exogenous retroviruses into two main groups based on phylogenetic analyses of the reverse transcriptase (RT) enzyme. Class I includes gammaretroviruses, and class II includes lentiviruses and alpha-, beta-, and deltaretroviruses. However, analyses of the transmembrane subunit (TM) of the envelope glycoprotein (env) gene result in a different topology for some retroviruses, suggesting recombination events in which heterologous env sequences have been acquired. We previously demonstrated that the TM sequences of five of the six genera of orthoretroviruses can be divided into three types, each of which infects a distinct set of vertebrate classes. Moreover, these classes do not always overlap the host range of the associated RT classes. Thus, recombination resulting in acquisition of a heterologous env gene could in theory facilitate cross-species transmissions across vertebrate classes, for example, from mammals to reptiles. Here we characterized a family of class II avian ERVs, \"TgERV-F,\" that acquired a mammalian gammaretroviral env sequence. Although TgERV-F clusters near a sister clade to alpharetroviruses, its genome also has some features of betaretroviruses. We offer evidence that this unusual recombinant has circulated among several avian orders and may still have infectious members. In addition to documenting the infection of a nongalliform avian species by a mammalian retrovirus, TgERV-F also underscores the importance of env sequences in reconstructing phylogenies and supports a possible role for env swapping in allowing cross-species transmissions across wide taxonomic distances. Importance: Retroviruses can sometimes acquire an envelope gene (env) from a distantly related retrovirus. Since env is a key determinant of host range, such an event affects the host range of the recombinant virus and can lead to the creation of novel retroviral lineages. Retroviruses insert viral DNA into the host DNA during infection, and therefore vertebrate genomes contain a \"fossil record\" of endogenous retroviral sequences thought to represent past infections of germ cells. We examined endogenous retroviral sequences in avian genomes for evidence of recombination events involving env. Although cross-species transmissions of retroviruses between vertebrate classes (from mammals to birds, for example) are thought t\u2026", "author" : [ { "dropping-particle" : "", "family" : "Henzy", "given" : "Jamie E", "non-dropping-particle" : "", "parse-names" : false, "suffix" : "" }, { "dropping-particle" : "", "family" : "Gifford", "given" : "Robert J", "non-dropping-particle" : "", "parse-names" : false, "suffix" : "" }, { "dropping-particle" : "", "family" : "Johnson", "given" : "Welkin E", "non-dropping-particle" : "", "parse-names" : false, "suffix" : "" }, { "dropping-particle" : "", "family" : "Coffin", "given" : "John M", "non-dropping-particle" : "", "parse-names" : false, "suffix" : "" } ], "container-title" : "Journal of virology", "id" : "ITEM-3", "issue" : "5", "issued" : { "date-parts" : [ [ "2014", "3" ] ] }, "page" : "2398-405", "title" : "A novel recombinant retrovirus in the genomes of modern birds combines features of avian and mammalian retroviruses.", "type" : "article-journal", "volume" : "88" }, "uris" : [ "http://www.mendeley.com/documents/?uuid=a6b15582-776f-4fbb-b46a-72b2fb403126" ] } ], "mendeley" : { "formattedCitation" : "(Venugopal 1999; Liu et al. 2011; Henzy et al. 2014)", "plainTextFormattedCitation" : "(Venugopal 1999; Liu et al. 2011; Henzy et al. 2014)", "previouslyFormattedCitation" : "(Venugopal 1999; Liu et al. 2011; Henzy et al. 2014)" }, "properties" : { "noteIndex" : 0 }, "schema" : "https://github.com/citation-style-language/schema/raw/master/csl-citation.json" }</w:instrText>
      </w:r>
      <w:r w:rsidR="00AD72B5">
        <w:fldChar w:fldCharType="separate"/>
      </w:r>
      <w:r w:rsidR="00AD72B5" w:rsidRPr="00AD72B5">
        <w:rPr>
          <w:noProof/>
        </w:rPr>
        <w:t>(Venugopal 1999; Liu et al. 2011; Henzy et al. 2014)</w:t>
      </w:r>
      <w:r w:rsidR="00AD72B5">
        <w:fldChar w:fldCharType="end"/>
      </w:r>
      <w:r w:rsidR="00AD72B5">
        <w:t xml:space="preserve">. </w:t>
      </w:r>
    </w:p>
    <w:p w14:paraId="5550B78D" w14:textId="6888F4D9" w:rsidR="00141710" w:rsidRDefault="00141710" w:rsidP="00391005">
      <w:pPr>
        <w:pStyle w:val="ListParagraph"/>
      </w:pPr>
    </w:p>
    <w:p w14:paraId="69260A89" w14:textId="19BBE400" w:rsidR="00141710" w:rsidRDefault="003D0F49" w:rsidP="00141710">
      <w:pPr>
        <w:pStyle w:val="Heading2"/>
      </w:pPr>
      <w:bookmarkStart w:id="49" w:name="_Toc485721563"/>
      <w:bookmarkStart w:id="50" w:name="_Toc486787143"/>
      <w:bookmarkStart w:id="51" w:name="_Toc486787291"/>
      <w:r>
        <w:t>The study of LTR retrotransposons in the chicken</w:t>
      </w:r>
      <w:bookmarkEnd w:id="49"/>
      <w:bookmarkEnd w:id="50"/>
      <w:bookmarkEnd w:id="51"/>
    </w:p>
    <w:p w14:paraId="784529F6" w14:textId="73350E42" w:rsidR="00141710" w:rsidRDefault="00C331AD" w:rsidP="00391005">
      <w:pPr>
        <w:pStyle w:val="ListParagraph"/>
      </w:pPr>
      <w:r>
        <w:t xml:space="preserve">Exogenous and endogenous retroviruses have been intensively studied in the chicken, particularly Avian Leukosis Viruses (ALVs; also known as Avian Sarcoma Leukosis Viruses, ASLVs) due to their diverse </w:t>
      </w:r>
      <w:r w:rsidR="007F3B39">
        <w:t>effects, including the modulation of</w:t>
      </w:r>
      <w:r w:rsidR="009C6E22">
        <w:t xml:space="preserve"> retroviral infection dynamics</w:t>
      </w:r>
      <w:r w:rsidR="007F3B39">
        <w:t xml:space="preserve">, depression of commercial performance traits, </w:t>
      </w:r>
      <w:r w:rsidR="009C6E22">
        <w:t>and formation of</w:t>
      </w:r>
      <w:r w:rsidR="007F3B39">
        <w:t xml:space="preserve"> tumours </w:t>
      </w:r>
      <w:r w:rsidR="007F3B39">
        <w:fldChar w:fldCharType="begin" w:fldLock="1"/>
      </w:r>
      <w:r w:rsidR="00E371F9">
        <w:instrText>ADDIN CSL_CITATION { "citationItems" : [ { "id" : "ITEM-1", "itemData" : { "DOI" : "10.3382/ps.0700618", "ISSN" : "0032-5791", "abstract" : "Endogenous viral (ev) genes are DNA sequences residing permanently in the genome of most chickens that have a high degree of homology to avian leukosis viruses (ALV). Association of ev genes with production trait differences was studied in White Leghorns free of exogenous ALV. The Cornell Strain K and S chickens used in Experiment 1 had multiple ev genes. In each of four lines of chickens in Experiment 2, there was a 1:1 segregation of full-sibs free of ev genes and those carrying one ev gene: ev-12 mat produces the complete endogenous virus, ev-3 or ev-6 that express certain viral antigens, or ev-1, a silent gene. In Experiment 1, the presence of genes ev-10 or ev-19, known to produce the complete virus, was associated with a 9% reduction in the annual egg production rate (P&lt;.05) in Strain S. Similarly, the presence of the virus-producing ev-12 in Experiment 2 was associated with an 8% reduction of annual egg production rate (P&lt;.05), a 2.2-g reduction in egg weight (P&lt;.01), and a .003 reduction in egg specific gravity (P&lt;.01). No significant effects of ev genes on age at first egg, Haugh unit score, percentage of eggs with blood spots, and body weight of hens were observed. It was concluded that ev genes producing complete endogenous virus are associated with production trait differences similar to those associated with subclinical infections with exogenous ALV.", "author" : [ { "dropping-particle" : "", "family" : "Gavora", "given" : "J. S.", "non-dropping-particle" : "", "parse-names" : false, "suffix" : "" }, { "dropping-particle" : "", "family" : "Kuhnlein", "given" : "U.", "non-dropping-particle" : "", "parse-names" : false, "suffix" : "" }, { "dropping-particle" : "", "family" : "Crittenden", "given" : "L. B.", "non-dropping-particle" : "", "parse-names" : false, "suffix" : "" }, { "dropping-particle" : "", "family" : "Spencer", "given" : "J. L.", "non-dropping-particle" : "", "parse-names" : false, "suffix" : "" }, { "dropping-particle" : "", "family" : "Sabour", "given" : "M. P.", "non-dropping-particle" : "", "parse-names" : false, "suffix" : "" } ], "container-title" : "Poultry Science", "id" : "ITEM-1", "issue" : "3", "issued" : { "date-parts" : [ [ "1991", "3", "1" ] ] }, "note" : "Presence of some ev genes is detrimental to the hen rate of egg production, egg size and egg shell thickness. The majority of ev genes allowed to persist in leghorns do not produce full virus \u2013 exception is ev21 because of the link to the K locus \nNot accessible online from Ed Uni - Journals available at the Vet School Library", "page" : "618-623", "title" : "Endogenous Viral Genes: Association with Reduced Egg Production Rate and Egg Size in White Leghorns", "type" : "article-journal", "volume" : "70" }, "uris" : [ "http://www.mendeley.com/documents/?uuid=a4558e2e-c34c-4c11-9982-f2dadb7b3eed" ] }, { "id" : "ITEM-2", "itemData" : { "DOI" : "10.1186/1742-4690-6-68", "ISSN" : "1742-4690", "PMID" : "19604406", "abstract" : "BACKGROUND: Long-term selection (&gt; 45 generations) for low or high juvenile body weight from a common founder population of White Plymouth Rock chickens has generated two extremely divergent lines, the LWS and HWS lines. In addition to a &gt; 9-fold difference between lines for the selected trait, large behavioural and metabolic differences between the two lines evolved during the course of the selection. We recently compared gene expression in brain tissue from birds representing these lines using a global cDNA array analysis and the results showed multiple but small expression differences in protein coding genes. The main differentially expressed transcripts were endogenous retroviral sequences identified as avian leucosis virus subgroup-E (ALVE).\n\nRESULTS: In this work we confirm the differential ALVE expression and analysed expression and number of proviral integrations in the two parental lines as well as in F9 individuals from an advanced intercross of the lines. Correlation analysis between expression, proviral integrations and body weight showed that high ALVE levels in the LWS line were inherited and that more ALVE integrations were detected in LWS than HWS birds.\n\nCONCLUSION: We conclude that only a few of the integrations contribute to the high expression levels seen in the LWS line and that high ALVE expression was significantly correlated with lower body weights for the females but not males. The conserved correlation between high expression and low body weight in females after 9 generations of intercrosses, indicated that ALVE loci conferring high expression directly affects growth or are very closely linked to loci regulating growth.", "author" : [ { "dropping-particle" : "", "family" : "Ka", "given" : "Sojeong", "non-dropping-particle" : "", "parse-names" : false, "suffix" : "" }, { "dropping-particle" : "", "family" : "Kerje", "given" : "Susanne", "non-dropping-particle" : "", "parse-names" : false, "suffix" : "" }, { "dropping-particle" : "", "family" : "Bornold", "given" : "Lina", "non-dropping-particle" : "", "parse-names" : false, "suffix" : "" }, { "dropping-particle" : "", "family" : "Liljegren", "given" : "Ulrika", "non-dropping-particle" : "", "parse-names" : false, "suffix" : "" }, { "dropping-particle" : "", "family" : "Siegel", "given" : "Paul B", "non-dropping-particle" : "", "parse-names" : false, "suffix" : "" }, { "dropping-particle" : "", "family" : "Andersson", "given" : "Leif", "non-dropping-particle" : "", "parse-names" : false, "suffix" : "" }, { "dropping-particle" : "", "family" : "Hallb\u00f6\u00f6k", "given" : "Finn", "non-dropping-particle" : "", "parse-names" : false, "suffix" : "" } ], "container-title" : "Retrovirology", "id" : "ITEM-2", "issued" : { "date-parts" : [ [ "2009", "1" ] ] }, "page" : "68", "title" : "Proviral integrations and expression of endogenous avian leucosis virus during long term selection for high and low body weight in two chicken lines.", "type" : "article-journal", "volume" : "6" }, "uris" : [ "http://www.mendeley.com/documents/?uuid=93c3010c-00da-4bad-910b-dce592c51feb" ] }, { "id" : "ITEM-3", "itemData" : { "DOI" : "10.1080/03079457.2011.646237", "ISSN" : "1465-3338", "PMID" : "22845317", "abstract" : "The present review is aimed at the non-specialist reader and is one of a number being written on important diseases of poultry to celebrate the 40th anniversary of the birth of Avian Pathology, the journal of the World Veterinary Poultry Association. The diseases of the avian leukosis complex have a number of features of distinction. They were the first neoplastic diseases in any species to be shown, 100 years ago, to be transmissible and caused by viruses, and have consequently been studied extensively by biomedical scientists as models for the role of viruses in cancer. They also became, from around the 1920s, the major cause of mortality and economic loss to the developed poultry industry, and were studied by agricultural scientists searching to understand and control them. The remit of the review is to cover research carried out over the 40 years since 1971, when the journal was founded. In this review on avian leukosis, an introductory summary is given of knowledge acquired over the preceding 60 years. Subsequently a selection is provided of discoveries, both fundamental and more applied, that seem to us to be of particular importance and interest. Much of the work was carried out by biomedical scientists interested in cancer. Probably the most significant was the discovery in the avian retroviruses of oncogenes that cause leukosis and other tumours and of their origin from proto-oncogenes in normal cells. These oncogenes are involved in cancer in many species, including chickens and humans. Other work was performed by agricultural scientists interested in poultry disease. Interests of the two groups have overlapped, particularly as a result of a shift of emphasis to molecular biology research.", "author" : [ { "dropping-particle" : "", "family" : "Payne", "given" : "L N", "non-dropping-particle" : "", "parse-names" : false, "suffix" : "" }, { "dropping-particle" : "", "family" : "Nair", "given" : "V", "non-dropping-particle" : "", "parse-names" : false, "suffix" : "" } ], "container-title" : "Avian pathology : journal of the W.V.P.A", "id" : "ITEM-3", "issue" : "1", "issued" : { "date-parts" : [ [ "2012", "1" ] ] }, "note" : "Broad overview \u2013 nice as an introduction to the subject. Starts with Ev genes and then moves on to detrimental effects of ev21, but only briefly. Last chunk is all about ALV-J and its spread.", "page" : "11-19", "title" : "The long view: 40 years of avian leukosis research.", "type" : "article-journal", "volume" : "41" }, "uris" : [ "http://www.mendeley.com/documents/?uuid=42cb0588-e47e-49f5-a783-3501c75ac896" ] } ], "mendeley" : { "formattedCitation" : "(Gavora et al. 1991; Ka et al. 2009; Payne &amp; Nair 2012)", "plainTextFormattedCitation" : "(Gavora et al. 1991; Ka et al. 2009; Payne &amp; Nair 2012)", "previouslyFormattedCitation" : "(Gavora et al. 1991; Ka et al. 2009; Payne &amp; Nair 2012)" }, "properties" : { "noteIndex" : 0 }, "schema" : "https://github.com/citation-style-language/schema/raw/master/csl-citation.json" }</w:instrText>
      </w:r>
      <w:r w:rsidR="007F3B39">
        <w:fldChar w:fldCharType="separate"/>
      </w:r>
      <w:r w:rsidR="00E371F9" w:rsidRPr="00E371F9">
        <w:rPr>
          <w:noProof/>
        </w:rPr>
        <w:t>(Gavora et al. 1991; Ka et al. 2009; Payne &amp; Nair 2012)</w:t>
      </w:r>
      <w:r w:rsidR="007F3B39">
        <w:fldChar w:fldCharType="end"/>
      </w:r>
      <w:r>
        <w:t>.</w:t>
      </w:r>
      <w:r w:rsidR="007F3B39">
        <w:t xml:space="preserve"> However, the wider LTR retrotransposon content of the genome</w:t>
      </w:r>
      <w:r w:rsidR="0042631B">
        <w:t xml:space="preserve"> has yet to be completely described. </w:t>
      </w:r>
    </w:p>
    <w:p w14:paraId="67821B8A" w14:textId="46E01E7A" w:rsidR="0042631B" w:rsidRPr="00EC34FE" w:rsidRDefault="0042631B" w:rsidP="00391005">
      <w:pPr>
        <w:pStyle w:val="ListParagraph"/>
        <w:rPr>
          <w:vertAlign w:val="subscript"/>
        </w:rPr>
      </w:pPr>
      <w:r>
        <w:t>A comprehensive evaluation is req</w:t>
      </w:r>
      <w:r w:rsidR="00102E52">
        <w:t>uired as the chicken is of great</w:t>
      </w:r>
      <w:r>
        <w:t xml:space="preserve"> agricultural and economic importance</w:t>
      </w:r>
      <w:r w:rsidR="00102E52">
        <w:t>, as well as being an important developme</w:t>
      </w:r>
      <w:r w:rsidR="00E93973">
        <w:t>ntal, experimental and disease</w:t>
      </w:r>
      <w:r w:rsidR="00102E52">
        <w:t xml:space="preserve"> model</w:t>
      </w:r>
      <w:r>
        <w:t>. The Food and Agriculture Organisation (FAO) reports that over fifty billion broiler chickens are raised annually</w:t>
      </w:r>
      <w:r w:rsidR="009C6E22">
        <w:t>,</w:t>
      </w:r>
      <w:r>
        <w:t xml:space="preserve"> producing over one hundred million tonnes of meat (2015 data). In addition, at least six billion layer chickens produce over one trillion eggs every year. </w:t>
      </w:r>
      <w:r w:rsidR="00EC34FE">
        <w:t>Since 2000 consumption of chicken meat has increased</w:t>
      </w:r>
      <w:r w:rsidR="00102E52">
        <w:t xml:space="preserve"> by 35 %.</w:t>
      </w:r>
      <w:r w:rsidR="00EC34FE">
        <w:t xml:space="preserve"> However, this hides the increasing demand of developing countries, which by 2030 will consume more than double the</w:t>
      </w:r>
      <w:r w:rsidR="00C21299">
        <w:t xml:space="preserve"> quantity in</w:t>
      </w:r>
      <w:r w:rsidR="00EC34FE">
        <w:t xml:space="preserve"> 2000. </w:t>
      </w:r>
      <w:r w:rsidR="00102E52">
        <w:t xml:space="preserve">Greater understanding of </w:t>
      </w:r>
      <w:r w:rsidR="009C6E22">
        <w:t xml:space="preserve">LTR retrotransposons, </w:t>
      </w:r>
      <w:r w:rsidR="003516CA">
        <w:t xml:space="preserve">as </w:t>
      </w:r>
      <w:r w:rsidR="00102E52">
        <w:t>genomic elements which limit productivity and detrime</w:t>
      </w:r>
      <w:r w:rsidR="006739DD">
        <w:t>ntally a</w:t>
      </w:r>
      <w:r w:rsidR="00102E52">
        <w:t>ffect animal welfare, is therefore of vital importance</w:t>
      </w:r>
      <w:r w:rsidR="00167C2C">
        <w:t xml:space="preserve"> to global food security</w:t>
      </w:r>
      <w:r w:rsidR="00102E52">
        <w:t>.</w:t>
      </w:r>
    </w:p>
    <w:p w14:paraId="304BAA0A" w14:textId="11F8E3D9" w:rsidR="009E6CBB" w:rsidRDefault="009E6CBB" w:rsidP="00391005">
      <w:pPr>
        <w:pStyle w:val="ListParagraph"/>
      </w:pPr>
    </w:p>
    <w:p w14:paraId="1449C2DE" w14:textId="13FF2375" w:rsidR="009E6CBB" w:rsidRDefault="009E6CBB" w:rsidP="009E6CBB">
      <w:pPr>
        <w:pStyle w:val="Heading4"/>
      </w:pPr>
      <w:r>
        <w:t>Chicken domestication</w:t>
      </w:r>
    </w:p>
    <w:p w14:paraId="4109CE86" w14:textId="25FD46B9" w:rsidR="00141710" w:rsidRDefault="00C22CC0" w:rsidP="00391005">
      <w:pPr>
        <w:pStyle w:val="ListParagraph"/>
      </w:pPr>
      <w:r>
        <w:t>D</w:t>
      </w:r>
      <w:r w:rsidR="006B6A7E">
        <w:t xml:space="preserve">omestication </w:t>
      </w:r>
      <w:r>
        <w:t>of the</w:t>
      </w:r>
      <w:r w:rsidR="006B6A7E">
        <w:t xml:space="preserve"> red junglefowl (RJF; </w:t>
      </w:r>
      <w:r w:rsidR="006B6A7E">
        <w:rPr>
          <w:i/>
        </w:rPr>
        <w:t>Gallus gallus</w:t>
      </w:r>
      <w:r w:rsidR="006B6A7E">
        <w:t>) began six to eight thousand years ago, with multiple origins, back crosses and at least one hybridisation event with the grey junglefowl (</w:t>
      </w:r>
      <w:r w:rsidR="006B6A7E">
        <w:rPr>
          <w:i/>
        </w:rPr>
        <w:t>G. sonneratii</w:t>
      </w:r>
      <w:r w:rsidR="006B6A7E">
        <w:t xml:space="preserve">) </w:t>
      </w:r>
      <w:r w:rsidR="006B6A7E">
        <w:fldChar w:fldCharType="begin" w:fldLock="1"/>
      </w:r>
      <w:r w:rsidR="006B6A7E">
        <w:instrText>ADDIN CSL_CITATION { "citationItems" : [ { "id" : "ITEM-1", "itemData" : { "DOI" : "10.1038/nature08832", "ISSN" : "1476-4687", "PMID" : "20220755", "abstract" : "Domestic animals are excellent models for genetic studies of phenotypic evolution. They have evolved genetic adaptations to a new environment, the farm, and have been subjected to strong human-driven selection leading to remarkable phenotypic changes in morphology, physiology and behaviour. Identifying the genetic changes underlying these developments provides new insight into general mechanisms by which genetic variation shapes phenotypic diversity. Here we describe the use of massively parallel sequencing to identify selective sweeps of favourable alleles and candidate mutations that have had a prominent role in the domestication of chickens (Gallus gallus domesticus) and their subsequent specialization into broiler (meat-producing) and layer (egg-producing) chickens. We have generated 44.5-fold coverage of the chicken genome using pools of genomic DNA representing eight different populations of domestic chickens as well as red jungle fowl (Gallus gallus), the major wild ancestor. We report more than 7,000,000 single nucleotide polymorphisms, almost 1,300 deletions and a number of putative selective sweeps. One of the most striking selective sweeps found in all domestic chickens occurred at the locus for thyroid stimulating hormone receptor (TSHR), which has a pivotal role in metabolic regulation and photoperiod control of reproduction in vertebrates. Several of the selective sweeps detected in broilers overlapped genes associated with growth, appetite and metabolic regulation. We found little evidence that selection for loss-of-function mutations had a prominent role in chicken domestication, but we detected two deletions in coding sequences that we suggest are functionally important. This study has direct application to animal breeding and enhances the importance of the domestic chicken as a model organism for biomedical research.", "author" : [ { "dropping-particle" : "", "family" : "Rubin", "given" : "Carl-Johan", "non-dropping-particle" : "", "parse-names" : false, "suffix" : "" }, { "dropping-particle" : "", "family" : "Zody", "given" : "Michael C", "non-dropping-particle" : "", "parse-names" : false, "suffix" : "" }, { "dropping-particle" : "", "family" : "Eriksson", "given" : "Jonas", "non-dropping-particle" : "", "parse-names" : false, "suffix" : "" }, { "dropping-particle" : "", "family" : "Meadows", "given" : "Jennifer R S", "non-dropping-particle" : "", "parse-names" : false, "suffix" : "" }, { "dropping-particle" : "", "family" : "Sherwood", "given" : "Ellen", "non-dropping-particle" : "", "parse-names" : false, "suffix" : "" }, { "dropping-particle" : "", "family" : "Webster", "given" : "Matthew T", "non-dropping-particle" : "", "parse-names" : false, "suffix" : "" }, { "dropping-particle" : "", "family" : "Jiang", "given" : "Lin", "non-dropping-particle" : "", "parse-names" : false, "suffix" : "" }, { "dropping-particle" : "", "family" : "Ingman", "given" : "Max", "non-dropping-particle" : "", "parse-names" : false, "suffix" : "" }, { "dropping-particle" : "", "family" : "Sharpe", "given" : "Ted", "non-dropping-particle" : "", "parse-names" : false, "suffix" : "" }, { "dropping-particle" : "", "family" : "Ka", "given" : "Sojeong", "non-dropping-particle" : "", "parse-names" : false, "suffix" : "" }, { "dropping-particle" : "", "family" : "Hallb\u00f6\u00f6k", "given" : "Finn", "non-dropping-particle" : "", "parse-names" : false, "suffix" : "" }, { "dropping-particle" : "", "family" : "Besnier", "given" : "Francois", "non-dropping-particle" : "", "parse-names" : false, "suffix" : "" }, { "dropping-particle" : "", "family" : "Carlborg", "given" : "Orjan", "non-dropping-particle" : "", "parse-names" : false, "suffix" : "" }, { "dropping-particle" : "", "family" : "Bed'hom", "given" : "Bertrand", "non-dropping-particle" : "", "parse-names" : false, "suffix" : "" }, { "dropping-particle" : "", "family" : "Tixier-Boichard", "given" : "Mich\u00e8le", "non-dropping-particle" : "", "parse-names" : false, "suffix" : "" }, { "dropping-particle" : "", "family" : "Jensen", "given" : "Per", "non-dropping-particle" : "", "parse-names" : false, "suffix" : "" }, { "dropping-particle" : "", "family" : "Siegel", "given" : "Paul", "non-dropping-particle" : "", "parse-names" : false, "suffix" : "" }, { "dropping-particle" : "", "family" : "Lindblad-Toh", "given" : "Kerstin", "non-dropping-particle" : "", "parse-names" : false, "suffix" : "" }, { "dropping-particle" : "", "family" : "Andersson", "given" : "Leif", "non-dropping-particle" : "", "parse-names" : false, "suffix" : "" } ], "container-title" : "Nature", "id" : "ITEM-1", "issue" : "7288", "issued" : { "date-parts" : [ [ "2010", "3", "25" ] ] }, "page" : "587-91", "title" : "Whole-genome resequencing reveals loci under selection during chicken domestication.", "type" : "article-journal", "volume" : "464" }, "uris" : [ "http://www.mendeley.com/documents/?uuid=915a3402-b085-4624-9e8e-685b331f995e" ] } ], "mendeley" : { "formattedCitation" : "(Rubin et al. 2010)", "plainTextFormattedCitation" : "(Rubin et al. 2010)", "previouslyFormattedCitation" : "(Rubin et al. 2010)" }, "properties" : { "noteIndex" : 0 }, "schema" : "https://github.com/citation-style-language/schema/raw/master/csl-citation.json" }</w:instrText>
      </w:r>
      <w:r w:rsidR="006B6A7E">
        <w:fldChar w:fldCharType="separate"/>
      </w:r>
      <w:r w:rsidR="006B6A7E" w:rsidRPr="006B6A7E">
        <w:rPr>
          <w:noProof/>
        </w:rPr>
        <w:t>(Rubin et al. 2010)</w:t>
      </w:r>
      <w:r w:rsidR="006B6A7E">
        <w:fldChar w:fldCharType="end"/>
      </w:r>
      <w:r w:rsidR="006B6A7E">
        <w:t>. Following this complex domestication process, the domestic chicken (</w:t>
      </w:r>
      <w:r w:rsidR="006B6A7E">
        <w:rPr>
          <w:i/>
        </w:rPr>
        <w:t>G. gallus domesticus</w:t>
      </w:r>
      <w:r w:rsidR="006B6A7E">
        <w:t xml:space="preserve">) and RJF have </w:t>
      </w:r>
      <w:r w:rsidR="006B6A7E">
        <w:lastRenderedPageBreak/>
        <w:t xml:space="preserve">retained high genetic identity and remain classified as the same species. Furthermore, it was an RJF individual which was sequenced for the chicken reference genome, in an attempt to avoid any genetic changes from the domestication process </w:t>
      </w:r>
      <w:r w:rsidR="006B6A7E">
        <w:fldChar w:fldCharType="begin" w:fldLock="1"/>
      </w:r>
      <w:r w:rsidR="006B6A7E">
        <w:instrText>ADDIN CSL_CITATION { "citationItems" : [ { "id" : "ITEM-1", "itemData" : { "DOI" : "10.1038/nature03154", "ISSN" : "1476-4687", "PMID" : "15592404", "abstract" : "We present here a draft genome sequence of the red jungle fowl, Gallus gallus. Because the chicken is a modern descendant of the dinosaurs and the first non-mammalian amniote to have its genome sequenced, the draft sequence of its genome--composed of approximately one billion base pairs of sequence and an estimated 20,000-23,000 genes--provides a new perspective on vertebrate genome evolution, while also improving the annotation of mammalian genomes. For example, the evolutionary distance between chicken and human provides high specificity in detecting functional elements, both non-coding and coding. Notably, many conserved non-coding sequences are far from genes and cannot be assigned to defined functional classes. In coding regions the evolutionary dynamics of protein domains and orthologous groups illustrate processes that distinguish the lineages leading to birds and mammals. The distinctive properties of avian microchromosomes, together with the inferred patterns of conserved synteny, provide additional insights into vertebrate chromosome architecture.", "author" : [ { "dropping-particle" : "", "family" : "Hillier", "given" : "LW", "non-dropping-particle" : "", "parse-names" : false, "suffix" : "" }, { "dropping-particle" : "", "family" : "Miller", "given" : "W", "non-dropping-particle" : "", "parse-names" : false, "suffix" : "" }, { "dropping-particle" : "", "family" : "Birney", "given" : "E", "non-dropping-particle" : "", "parse-names" : false, "suffix" : "" }, { "dropping-particle" : "", "family" : "Warren", "given" : "W", "non-dropping-particle" : "", "parse-names" : false, "suffix" : "" }, { "dropping-particle" : "", "family" : "Hardison", "given" : "RC", "non-dropping-particle" : "", "parse-names" : false, "suffix" : "" }, { "dropping-particle" : "", "family" : "Ponting", "given" : "CP", "non-dropping-particle" : "", "parse-names" : false, "suffix" : "" }, { "dropping-particle" : "", "family" : "Bork", "given" : "P", "non-dropping-particle" : "", "parse-names" : false, "suffix" : "" }, { "dropping-particle" : "", "family" : "Burt", "given" : "DW", "non-dropping-particle" : "", "parse-names" : false, "suffix" : "" }, { "dropping-particle" : "", "family" : "Groenen", "given" : "MAM", "non-dropping-particle" : "", "parse-names" : false, "suffix" : "" }, { "dropping-particle" : "", "family" : "Delany", "given" : "ME", "non-dropping-particle" : "", "parse-names" : false, "suffix" : "" }, { "dropping-particle" : "", "family" : "Dodgson", "given" : "JB", "non-dropping-particle" : "", "parse-names" : false, "suffix" : "" }, { "dropping-particle" : "", "family" : "et al", "given" : "", "non-dropping-particle" : "", "parse-names" : false, "suffix" : "" } ], "container-title" : "Nature", "id" : "ITEM-1", "issue" : "7018", "issued" : { "date-parts" : [ [ "2004", "12", "9" ] ] }, "note" : "Overview of the first chicken genome assembly with the key stats on karyotype, recombination rates, CpG island distribution, genome length, differences between meta and micro chromosomes etc. Small section on ERVs.", "page" : "695-716", "title" : "Sequence and comparative analysis of the chicken genome provide unique perspectives on vertebrate evolution.", "type" : "article-journal", "volume" : "432" }, "uris" : [ "http://www.mendeley.com/documents/?uuid=28c0bf93-c2dc-49e7-8d46-18d86c6dba6b" ] } ], "mendeley" : { "formattedCitation" : "(Hillier et al. 2004)", "plainTextFormattedCitation" : "(Hillier et al. 2004)", "previouslyFormattedCitation" : "(Hillier et al. 2004)" }, "properties" : { "noteIndex" : 0 }, "schema" : "https://github.com/citation-style-language/schema/raw/master/csl-citation.json" }</w:instrText>
      </w:r>
      <w:r w:rsidR="006B6A7E">
        <w:fldChar w:fldCharType="separate"/>
      </w:r>
      <w:r w:rsidR="006B6A7E" w:rsidRPr="006B6A7E">
        <w:rPr>
          <w:noProof/>
        </w:rPr>
        <w:t>(Hillier et al. 2004)</w:t>
      </w:r>
      <w:r w:rsidR="006B6A7E">
        <w:fldChar w:fldCharType="end"/>
      </w:r>
      <w:r w:rsidR="006B6A7E">
        <w:t>. This was the first bird and f</w:t>
      </w:r>
      <w:r w:rsidR="00A30893">
        <w:t>i</w:t>
      </w:r>
      <w:r w:rsidR="006B6A7E">
        <w:t>rst agricultural a</w:t>
      </w:r>
      <w:r w:rsidR="00A30893">
        <w:t>n</w:t>
      </w:r>
      <w:r w:rsidR="006B6A7E">
        <w:t>imal to be sequenced, and its phylogenetic location within the Galloanserae has enabled it to be particularly informative in the study of other commercially relevant bird species (</w:t>
      </w:r>
      <w:r w:rsidR="00A30893">
        <w:fldChar w:fldCharType="begin" w:fldLock="1"/>
      </w:r>
      <w:r w:rsidR="00A30893">
        <w:instrText xml:space="preserve"> REF _Ref483382039 \h </w:instrText>
      </w:r>
      <w:r w:rsidR="00A30893">
        <w:fldChar w:fldCharType="separate"/>
      </w:r>
      <w:r w:rsidR="002C549C">
        <w:t xml:space="preserve">Figure </w:t>
      </w:r>
      <w:r w:rsidR="002C549C">
        <w:rPr>
          <w:noProof/>
        </w:rPr>
        <w:t>1</w:t>
      </w:r>
      <w:r w:rsidR="002C549C">
        <w:t>.</w:t>
      </w:r>
      <w:r w:rsidR="002C549C">
        <w:rPr>
          <w:noProof/>
        </w:rPr>
        <w:t>6</w:t>
      </w:r>
      <w:r w:rsidR="00A30893">
        <w:fldChar w:fldCharType="end"/>
      </w:r>
      <w:r w:rsidR="006B6A7E">
        <w:t xml:space="preserve">). However, the RJF individual </w:t>
      </w:r>
      <w:r w:rsidR="009C6E22">
        <w:t>sequenced</w:t>
      </w:r>
      <w:r w:rsidR="006B6A7E">
        <w:t xml:space="preserve"> was from an American zoo</w:t>
      </w:r>
      <w:r w:rsidR="00F3421A">
        <w:t xml:space="preserve"> in Hawaii (originally from Malaysian stock)</w:t>
      </w:r>
      <w:r w:rsidR="006B6A7E">
        <w:t>,</w:t>
      </w:r>
      <w:r w:rsidR="00F3421A">
        <w:t xml:space="preserve"> where there had potentially been crosses with domesticated chickens. Whilst Hillier and colleagues (2004) acknowledged this risk, the chosen bird was phenotypically and physiologically a typical RJF, including the seasonal laying of small, brown eggs. However, recent work</w:t>
      </w:r>
      <w:r w:rsidR="006B6A7E">
        <w:t xml:space="preserve"> has revealed significant genetic introgression in this individual from the domesticated White Leghorn (WL) breed </w:t>
      </w:r>
      <w:r w:rsidR="006B6A7E">
        <w:fldChar w:fldCharType="begin" w:fldLock="1"/>
      </w:r>
      <w:r w:rsidR="006F5B69">
        <w:instrText>ADDIN CSL_CITATION { "citationItems" : [ { "id" : "ITEM-1", "itemData" : { "DOI" : "10.1186/s12864-016-2652-z", "ISSN" : "1471-2164", "author" : [ { "dropping-particle" : "", "family" : "Ulfah", "given" : "Maria", "non-dropping-particle" : "", "parse-names" : false, "suffix" : "" }, { "dropping-particle" : "", "family" : "Kawahara-Miki", "given" : "Ryouka", "non-dropping-particle" : "", "parse-names" : false, "suffix" : "" }, { "dropping-particle" : "", "family" : "Farajalllah", "given" : "Achmad", "non-dropping-particle" : "", "parse-names" : false, "suffix" : "" }, { "dropping-particle" : "", "family" : "Muladno", "given" : "Muladno", "non-dropping-particle" : "", "parse-names" : false, "suffix" : "" }, { "dropping-particle" : "", "family" : "Dorshorst", "given" : "Ben", "non-dropping-particle" : "", "parse-names" : false, "suffix" : "" }, { "dropping-particle" : "", "family" : "Martin", "given" : "Alison", "non-dropping-particle" : "", "parse-names" : false, "suffix" : "" }, { "dropping-particle" : "", "family" : "Kono", "given" : "Tomohiro", "non-dropping-particle" : "", "parse-names" : false, "suffix" : "" } ], "container-title" : "BMC Genomics", "id" : "ITEM-1", "issue" : "1", "issued" : { "date-parts" : [ [ "2016" ] ] }, "page" : "320", "publisher" : "BMC Genomics", "title" : "Genetic features of red and green junglefowls and relationship with Indonesian native chickens Sumatera and Kedu Hitam", "type" : "article-journal", "volume" : "17" }, "uris" : [ "http://www.mendeley.com/documents/?uuid=019fc018-20f4-4fbf-b70f-2938acc56884" ] } ], "mendeley" : { "formattedCitation" : "(Ulfah et al. 2016)", "plainTextFormattedCitation" : "(Ulfah et al. 2016)", "previouslyFormattedCitation" : "(Ulfah et al. 2016)" }, "properties" : { "noteIndex" : 0 }, "schema" : "https://github.com/citation-style-language/schema/raw/master/csl-citation.json" }</w:instrText>
      </w:r>
      <w:r w:rsidR="006B6A7E">
        <w:fldChar w:fldCharType="separate"/>
      </w:r>
      <w:r w:rsidR="006B6A7E" w:rsidRPr="006B6A7E">
        <w:rPr>
          <w:noProof/>
        </w:rPr>
        <w:t>(Ulfah et al. 2016)</w:t>
      </w:r>
      <w:r w:rsidR="006B6A7E">
        <w:fldChar w:fldCharType="end"/>
      </w:r>
      <w:r w:rsidR="00F3421A">
        <w:t xml:space="preserve">, which likely means the </w:t>
      </w:r>
      <w:r w:rsidR="006B6A7E">
        <w:t>reference genome does not truly represe</w:t>
      </w:r>
      <w:r w:rsidR="00F3421A">
        <w:t>nt the chicken’s wild ancestor.</w:t>
      </w:r>
    </w:p>
    <w:p w14:paraId="176C09E5" w14:textId="59EA4E71" w:rsidR="006739DD" w:rsidRDefault="006739DD" w:rsidP="00391005">
      <w:pPr>
        <w:pStyle w:val="ListParagraph"/>
      </w:pPr>
    </w:p>
    <w:p w14:paraId="157E9931" w14:textId="77777777" w:rsidR="006739DD" w:rsidRDefault="006739DD" w:rsidP="006739DD">
      <w:pPr>
        <w:pStyle w:val="Heading4"/>
      </w:pPr>
      <w:r>
        <w:t>Intensive commercialisation</w:t>
      </w:r>
    </w:p>
    <w:p w14:paraId="34C7B0D6" w14:textId="77777777" w:rsidR="006739DD" w:rsidRDefault="006739DD" w:rsidP="006739DD">
      <w:pPr>
        <w:pStyle w:val="ListParagraph"/>
      </w:pPr>
      <w:r>
        <w:t>Traditionally, a diverse variety of chicken pure breeds and hybrids were kept in small flocks for their meat and eggs, with some breeds developed for cock-fighting or exhibition. Following the Second World War, large scale commerc</w:t>
      </w:r>
      <w:bookmarkStart w:id="52" w:name="_GoBack"/>
      <w:bookmarkEnd w:id="52"/>
      <w:r>
        <w:t xml:space="preserve">ialisation focused on breeding specialised broiler (meat) and layer (egg) lines to overcome the observed genetic conflicts between production (growth rate) and reproduction (egg production) </w:t>
      </w:r>
      <w:r>
        <w:fldChar w:fldCharType="begin" w:fldLock="1"/>
      </w:r>
      <w:r>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fldChar w:fldCharType="separate"/>
      </w:r>
      <w:r w:rsidRPr="006F5B69">
        <w:rPr>
          <w:noProof/>
        </w:rPr>
        <w:t>(Muir et al. 2008)</w:t>
      </w:r>
      <w:r>
        <w:fldChar w:fldCharType="end"/>
      </w:r>
      <w:r>
        <w:t xml:space="preserve">. </w:t>
      </w:r>
    </w:p>
    <w:p w14:paraId="6B65FF87" w14:textId="52A29C84" w:rsidR="00A30893" w:rsidRPr="006739DD" w:rsidRDefault="006739DD" w:rsidP="00391005">
      <w:pPr>
        <w:pStyle w:val="ListParagraph"/>
      </w:pPr>
      <w:r>
        <w:t xml:space="preserve">Despite the hundreds of well-characterised chicken breeds </w:t>
      </w:r>
      <w:r>
        <w:fldChar w:fldCharType="begin" w:fldLock="1"/>
      </w:r>
      <w:r>
        <w:instrText>ADDIN CSL_CITATION { "citationItems" : [ { "id" : "ITEM-1", "itemData" : { "author" : [ { "dropping-particle" : "", "family" : "Ekarius", "given" : "C", "non-dropping-particle" : "", "parse-names" : false, "suffix" : "" } ], "id" : "ITEM-1", "issued" : { "date-parts" : [ [ "2007" ] ] }, "publisher" : "Storey Publishing", "title" : "Storey's Illustrated Guide to Poultry Breeds", "type" : "book" }, "uris" : [ "http://www.mendeley.com/documents/?uuid=8a1d624d-ca42-4524-b607-b0f53e47beaa" ] }, { "id" : "ITEM-2", "itemData" : { "DOI" : "10.1080/17466200902757043", "ISBN" : "1444309382", "abstract" : "British Poultry Standards 6th edition is the official reference to all the recognised Poultry Standards in Great Britain. It contains complete specifications together with judging points for all standardised breeds and varieties, as compiled by the specialist Breed Clubs and recognised by the Poultry Club of Great Britain. Breeding and exhibiting poultry is a long-held tradition as well as a popular and rewarding hobby. The work of the Breed Clubs and the many dedicated breeders in preserving the pure breeds is vital in maintaining our breeds of poultry not only for the cultural heritage of future generations but also as a gene bank for the commercial world. Under the guardianship of the Poultry Club of Great Britain, this book details the authorised standards of excellence for each breed. New to this edition: * New and improved colour images for many breeds, now with almost 300 colour photographs. * The inclusion of silhouettes to show the perfect shape for each breed. * An additional 14 breeds are covered.", "author" : [ { "dropping-particle" : "", "family" : "Roberts", "given" : "Victoria", "non-dropping-particle" : "", "parse-names" : false, "suffix" : "" } ], "id" : "ITEM-2", "issued" : { "date-parts" : [ [ "2009" ] ] }, "title" : "British Poultry Standards", "type" : "book" }, "uris" : [ "http://www.mendeley.com/documents/?uuid=8c9ceff6-bf27-42a6-8e23-abc5693407aa" ] } ], "mendeley" : { "formattedCitation" : "(Ekarius 2007; Roberts 2009)", "plainTextFormattedCitation" : "(Ekarius 2007; Roberts 2009)", "previouslyFormattedCitation" : "(Ekarius 2007; Roberts 2009)" }, "properties" : { "noteIndex" : 0 }, "schema" : "https://github.com/citation-style-language/schema/raw/master/csl-citation.json" }</w:instrText>
      </w:r>
      <w:r>
        <w:fldChar w:fldCharType="separate"/>
      </w:r>
      <w:r w:rsidRPr="006F5B69">
        <w:rPr>
          <w:noProof/>
        </w:rPr>
        <w:t>(Ekarius 2007; Roberts 2009)</w:t>
      </w:r>
      <w:r>
        <w:fldChar w:fldCharType="end"/>
      </w:r>
      <w:r>
        <w:t xml:space="preserve">, commercial stock has been derived from just a handful. Commercial layer lines are divided by egg colour. White egg layers (WELs) were largely derived from WLs, and brown egg layers (BELs) were developed from North American and European dual purpose breeds such as Plymouth Rock, Rhode Island Red and New Hampshire. For broilers, distinct lines were created for the sire (paternal) and dam (maternal) birds, again to avoid the genetic conflict between production and reproduction. The broiler dam line has an origin similar to the BELs, but the sire line was derived almost completely from the Cornish breed (British Cornish Indian Game breed) due to its compact body size and high proportion of breast muscle </w:t>
      </w:r>
      <w:r>
        <w:fldChar w:fldCharType="begin" w:fldLock="1"/>
      </w:r>
      <w:r>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fldChar w:fldCharType="separate"/>
      </w:r>
      <w:r w:rsidRPr="006F5B69">
        <w:rPr>
          <w:noProof/>
        </w:rPr>
        <w:t>(Muir et al. 2008)</w:t>
      </w:r>
      <w:r>
        <w:fldChar w:fldCharType="end"/>
      </w:r>
      <w:r>
        <w:t>.</w:t>
      </w:r>
    </w:p>
    <w:p w14:paraId="2F84AB5F" w14:textId="5CB004A7" w:rsidR="006B6A7E" w:rsidRDefault="00BC4980" w:rsidP="006739DD">
      <w:pPr>
        <w:pStyle w:val="ListParagraph"/>
        <w:jc w:val="center"/>
      </w:pPr>
      <w:r>
        <w:rPr>
          <w:noProof/>
          <w:lang w:eastAsia="en-GB"/>
        </w:rPr>
        <w:lastRenderedPageBreak/>
        <w:drawing>
          <wp:inline distT="0" distB="0" distL="0" distR="0" wp14:anchorId="50E71649" wp14:editId="69DB1EF1">
            <wp:extent cx="3941445" cy="3992967"/>
            <wp:effectExtent l="0" t="0" r="1905"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1040" r="3355" b="2220"/>
                    <a:stretch/>
                  </pic:blipFill>
                  <pic:spPr bwMode="auto">
                    <a:xfrm>
                      <a:off x="0" y="0"/>
                      <a:ext cx="3944618" cy="3996181"/>
                    </a:xfrm>
                    <a:prstGeom prst="rect">
                      <a:avLst/>
                    </a:prstGeom>
                    <a:noFill/>
                    <a:ln>
                      <a:noFill/>
                    </a:ln>
                    <a:extLst>
                      <a:ext uri="{53640926-AAD7-44D8-BBD7-CCE9431645EC}">
                        <a14:shadowObscured xmlns:a14="http://schemas.microsoft.com/office/drawing/2010/main"/>
                      </a:ext>
                    </a:extLst>
                  </pic:spPr>
                </pic:pic>
              </a:graphicData>
            </a:graphic>
          </wp:inline>
        </w:drawing>
      </w:r>
    </w:p>
    <w:p w14:paraId="4C691DC7" w14:textId="694B7FD3" w:rsidR="00126408" w:rsidRDefault="00A30893" w:rsidP="006739DD">
      <w:pPr>
        <w:pStyle w:val="Figure"/>
      </w:pPr>
      <w:bookmarkStart w:id="53" w:name="_Ref483382039"/>
      <w:bookmarkStart w:id="54" w:name="_Toc486785426"/>
      <w:r>
        <w:t xml:space="preserve">Figure </w:t>
      </w:r>
      <w:fldSimple w:instr=" STYLEREF 1 \s " w:fldLock="1">
        <w:r w:rsidR="002C549C">
          <w:rPr>
            <w:noProof/>
          </w:rPr>
          <w:t>1</w:t>
        </w:r>
      </w:fldSimple>
      <w:r w:rsidR="001167C6">
        <w:t>.</w:t>
      </w:r>
      <w:fldSimple w:instr=" SEQ Figure \* ARABIC \s 1 " w:fldLock="1">
        <w:r w:rsidR="002C549C">
          <w:rPr>
            <w:noProof/>
          </w:rPr>
          <w:t>6</w:t>
        </w:r>
      </w:fldSimple>
      <w:bookmarkEnd w:id="53"/>
      <w:r w:rsidR="00513A9C">
        <w:t xml:space="preserve"> Galloanserae </w:t>
      </w:r>
      <w:r w:rsidR="004353F7">
        <w:t>cladogram showing commercially relevant species and their general relationship to the chicken</w:t>
      </w:r>
      <w:r w:rsidR="009B2CB3">
        <w:t>, including those within the Phasianidae pheasant family</w:t>
      </w:r>
      <w:r w:rsidR="004353F7">
        <w:t xml:space="preserve">. The two Galloanserae orders are the land (Galliformes) </w:t>
      </w:r>
      <w:r w:rsidR="009B2CB3">
        <w:t>and water (Anseriformes) fowl. The common names for the</w:t>
      </w:r>
      <w:r w:rsidR="009C6E22">
        <w:t xml:space="preserve"> </w:t>
      </w:r>
      <w:r w:rsidR="003516CA">
        <w:t>represented</w:t>
      </w:r>
      <w:r w:rsidR="009B2CB3">
        <w:t xml:space="preserve"> Galloanserae </w:t>
      </w:r>
      <w:r w:rsidR="00B23827">
        <w:t>species</w:t>
      </w:r>
      <w:r w:rsidR="004353F7">
        <w:t xml:space="preserve"> are, from the top: </w:t>
      </w:r>
      <w:r w:rsidR="009B2CB3">
        <w:t>common pheasant, golden pheasant, grey partridge, turkey, red junglefowl</w:t>
      </w:r>
      <w:r w:rsidR="00B23827">
        <w:t xml:space="preserve"> (incl. domestic chicken)</w:t>
      </w:r>
      <w:r w:rsidR="009B2CB3">
        <w:t xml:space="preserve">, green junglefowl, Sri Lankan junglefowl, grey junglefowl, </w:t>
      </w:r>
      <w:r w:rsidR="009C6E22">
        <w:t>Japanese quail (Old World quail</w:t>
      </w:r>
      <w:r w:rsidR="009B2CB3">
        <w:t>), Northern bobwhite (New World quail), Guinea fowl, duck, grey</w:t>
      </w:r>
      <w:r w:rsidR="00B23827">
        <w:t xml:space="preserve">lag goose, and swan goose (also </w:t>
      </w:r>
      <w:r w:rsidR="009B2CB3">
        <w:t>known as the Chinese goose)</w:t>
      </w:r>
      <w:r w:rsidR="004353F7">
        <w:t xml:space="preserve">. </w:t>
      </w:r>
      <w:r w:rsidR="00D64491">
        <w:t xml:space="preserve">The broad branch leading to the Neoaves represents this group’s large phylogenetic diversity. </w:t>
      </w:r>
      <w:r w:rsidR="004353F7">
        <w:t xml:space="preserve">Cladogram adapted from Kan </w:t>
      </w:r>
      <w:r w:rsidR="004353F7">
        <w:rPr>
          <w:i/>
        </w:rPr>
        <w:t>et al.</w:t>
      </w:r>
      <w:r w:rsidR="004353F7">
        <w:t xml:space="preserve"> (2010) and Meiklejohn </w:t>
      </w:r>
      <w:r w:rsidR="004353F7">
        <w:rPr>
          <w:i/>
        </w:rPr>
        <w:t>et al.</w:t>
      </w:r>
      <w:r w:rsidR="004353F7">
        <w:t xml:space="preserve"> (2014).</w:t>
      </w:r>
      <w:bookmarkEnd w:id="54"/>
    </w:p>
    <w:p w14:paraId="75E43ABA" w14:textId="6F6D69B2" w:rsidR="00A30893" w:rsidRDefault="00126408" w:rsidP="00391005">
      <w:pPr>
        <w:pStyle w:val="ListParagraph"/>
      </w:pPr>
      <w:r>
        <w:t xml:space="preserve">These commercial programmes have proven particularly effective in broilers, increasing growth rate while decreasing food conversion rates, so that meat can be produced today for a lower price (in real terms) than it was in the 1950s </w:t>
      </w:r>
      <w:r>
        <w:fldChar w:fldCharType="begin" w:fldLock="1"/>
      </w:r>
      <w:r w:rsidR="00E75E30">
        <w:instrText>ADDIN CSL_CITATION { "citationItems" : [ { "id" : "ITEM-1", "itemData" : { "ISSN" : "0032-5791", "PMID" : "14601725", "abstract" : "Body weight, feed consumption, and mortality were measured in the 1957 Athens-Canadian Randombred Control (ACRBC) strain and in the 2001 Ross 308 strain of broilers when fed representative 1957 and 2001 diets. The dietary regimens were chosen to be representative of those used in the industry in 1957 vs. 2001. The 1957 diets were fed as mash, the 2001 starter was as crumbles, and the grower and finisher diets were pellets. Feed consumption and BW were recorded at 21, 42, 56, 70, and 84 d of age to cover the two broiler strains normal span of marketing ages. Mortality was low, and the mortality of the ACRBC was approximately half that of the modem strain. Average BW for the ACRBC on the 1957 diets were 176, 539,809, 1,117, and 1,430 g vs. 743, 2,672, 3,946, 4,808, and 5,520 g for the Ross 308 on the 2001 diets at 21, 42, 56, 70, and 84 d of age, respectively. The 42-d feed conversion (FC) on the 2001 and 1957 feeds for the Ross 308 were 1.62 and 1.92 with average BW of 2,672 and 2,126 g and for the ACRBC were 2.14 and 2.34 with average BW of 578 and 539 g, respectively. The Ross 308 broiler on the 2001 feed was estimated to have reached 1,815 g BW at 32 d of age with a FC of 1.47, whereas the ACRBC on the 1957 feed would not have reached that BW until 101 d of age with a FC of 4.42.", "author" : [ { "dropping-particle" : "", "family" : "Havenstein", "given" : "G B", "non-dropping-particle" : "", "parse-names" : false, "suffix" : "" }, { "dropping-particle" : "", "family" : "Ferket", "given" : "P R", "non-dropping-particle" : "", "parse-names" : false, "suffix" : "" }, { "dropping-particle" : "", "family" : "Qureshi", "given" : "M a", "non-dropping-particle" : "", "parse-names" : false, "suffix" : "" } ], "container-title" : "Poultry science", "id" : "ITEM-1", "issue" : "10", "issued" : { "date-parts" : [ [ "2003", "10" ] ] }, "note" : "Read - general points on how much lines have changed since intensive commercial breeding has taken over. At all stages modern birds (compared to a static 1957 line) have a greatly icnreased growth rate, and reduced feed conversion rates. This means poultry meat can still be produced at the same price today as it was in the 1950s.", "page" : "1500-8", "title" : "Growth, livability, and feed conversion of 1957 versus 2001 broilers when fed representative 1957 and 2001 broiler diets.", "type" : "article-journal", "volume" : "82" }, "uris" : [ "http://www.mendeley.com/documents/?uuid=0fac6505-f1e6-4f28-aeb3-afd83cf11f19" ] } ], "mendeley" : { "formattedCitation" : "(Havenstein et al. 2003)", "plainTextFormattedCitation" : "(Havenstein et al. 2003)", "previouslyFormattedCitation" : "(Havenstein et al. 2003)" }, "properties" : { "noteIndex" : 0 }, "schema" : "https://github.com/citation-style-language/schema/raw/master/csl-citation.json" }</w:instrText>
      </w:r>
      <w:r>
        <w:fldChar w:fldCharType="separate"/>
      </w:r>
      <w:r w:rsidRPr="00126408">
        <w:rPr>
          <w:noProof/>
        </w:rPr>
        <w:t>(Havenstein et al. 2003)</w:t>
      </w:r>
      <w:r>
        <w:fldChar w:fldCharType="end"/>
      </w:r>
      <w:r>
        <w:t xml:space="preserve">. Havenstein and colleagues identified that 85 – 90 % of this improvement was due to </w:t>
      </w:r>
      <w:r w:rsidR="00E75E30">
        <w:t xml:space="preserve">selectively </w:t>
      </w:r>
      <w:r>
        <w:t>bred genetic modifications, with improvements in husbandry accounting for the remainder. Similarly, selective breeding</w:t>
      </w:r>
      <w:r w:rsidR="00E75E30">
        <w:t xml:space="preserve"> in layers</w:t>
      </w:r>
      <w:r>
        <w:t xml:space="preserve"> has augmented l</w:t>
      </w:r>
      <w:r w:rsidR="00E75E30">
        <w:t xml:space="preserve">ifetime egg production, continues to increase total egg counts, and has reduced required feed intake </w:t>
      </w:r>
      <w:r w:rsidR="00E75E30">
        <w:lastRenderedPageBreak/>
        <w:t>by 30 %, all whilst breeding for commercially desirable uniformity in egg size, shape and colour</w:t>
      </w:r>
      <w:r>
        <w:t xml:space="preserve"> </w:t>
      </w:r>
      <w:r w:rsidR="00E75E30">
        <w:fldChar w:fldCharType="begin" w:fldLock="1"/>
      </w:r>
      <w:r w:rsidR="00E75E30">
        <w:instrText>ADDIN CSL_CITATION { "citationItems" : [ { "id" : "ITEM-1", "itemData" : { "author" : [ { "dropping-particle" : "", "family" : "McKay", "given" : "JC", "non-dropping-particle" : "", "parse-names" : false, "suffix" : "" } ], "container-title" : "Biology of Breeding Poultry - Poultry Science Symposium Series Volume Twenty-nine", "editor" : [ { "dropping-particle" : "", "family" : "Hocking", "given" : "PM", "non-dropping-particle" : "", "parse-names" : false, "suffix" : "" } ], "id" : "ITEM-1", "issued" : { "date-parts" : [ [ "2009" ] ] }, "page" : "3-9", "publisher" : "CAB International", "title" : "The Genetics of Modern Commercial Poultry", "type" : "chapter" }, "uris" : [ "http://www.mendeley.com/documents/?uuid=b614ed41-087c-42e3-9258-d8ea40972b52" ] } ], "mendeley" : { "formattedCitation" : "(McKay 2009)", "plainTextFormattedCitation" : "(McKay 2009)", "previouslyFormattedCitation" : "(McKay 2009)" }, "properties" : { "noteIndex" : 0 }, "schema" : "https://github.com/citation-style-language/schema/raw/master/csl-citation.json" }</w:instrText>
      </w:r>
      <w:r w:rsidR="00E75E30">
        <w:fldChar w:fldCharType="separate"/>
      </w:r>
      <w:r w:rsidR="00E75E30" w:rsidRPr="00E75E30">
        <w:rPr>
          <w:noProof/>
        </w:rPr>
        <w:t>(McKay 2009)</w:t>
      </w:r>
      <w:r w:rsidR="00E75E30">
        <w:fldChar w:fldCharType="end"/>
      </w:r>
      <w:r w:rsidR="00E75E30">
        <w:t>.</w:t>
      </w:r>
    </w:p>
    <w:p w14:paraId="35A843C5" w14:textId="64CF3141" w:rsidR="00356425" w:rsidRDefault="00465374" w:rsidP="00391005">
      <w:pPr>
        <w:pStyle w:val="ListParagraph"/>
      </w:pPr>
      <w:r>
        <w:t xml:space="preserve">Such intensive phenotypic manipulation has had genomic impacts, with decreased productivity-gene allelic diversity following hard selective sweeps </w:t>
      </w:r>
      <w:r>
        <w:fldChar w:fldCharType="begin" w:fldLock="1"/>
      </w:r>
      <w:r>
        <w:instrText>ADDIN CSL_CITATION { "citationItems" : [ { "id" : "ITEM-1", "itemData" : { "DOI" : "10.1038/nature08832", "ISSN" : "1476-4687", "PMID" : "20220755", "abstract" : "Domestic animals are excellent models for genetic studies of phenotypic evolution. They have evolved genetic adaptations to a new environment, the farm, and have been subjected to strong human-driven selection leading to remarkable phenotypic changes in morphology, physiology and behaviour. Identifying the genetic changes underlying these developments provides new insight into general mechanisms by which genetic variation shapes phenotypic diversity. Here we describe the use of massively parallel sequencing to identify selective sweeps of favourable alleles and candidate mutations that have had a prominent role in the domestication of chickens (Gallus gallus domesticus) and their subsequent specialization into broiler (meat-producing) and layer (egg-producing) chickens. We have generated 44.5-fold coverage of the chicken genome using pools of genomic DNA representing eight different populations of domestic chickens as well as red jungle fowl (Gallus gallus), the major wild ancestor. We report more than 7,000,000 single nucleotide polymorphisms, almost 1,300 deletions and a number of putative selective sweeps. One of the most striking selective sweeps found in all domestic chickens occurred at the locus for thyroid stimulating hormone receptor (TSHR), which has a pivotal role in metabolic regulation and photoperiod control of reproduction in vertebrates. Several of the selective sweeps detected in broilers overlapped genes associated with growth, appetite and metabolic regulation. We found little evidence that selection for loss-of-function mutations had a prominent role in chicken domestication, but we detected two deletions in coding sequences that we suggest are functionally important. This study has direct application to animal breeding and enhances the importance of the domestic chicken as a model organism for biomedical research.", "author" : [ { "dropping-particle" : "", "family" : "Rubin", "given" : "Carl-Johan", "non-dropping-particle" : "", "parse-names" : false, "suffix" : "" }, { "dropping-particle" : "", "family" : "Zody", "given" : "Michael C", "non-dropping-particle" : "", "parse-names" : false, "suffix" : "" }, { "dropping-particle" : "", "family" : "Eriksson", "given" : "Jonas", "non-dropping-particle" : "", "parse-names" : false, "suffix" : "" }, { "dropping-particle" : "", "family" : "Meadows", "given" : "Jennifer R S", "non-dropping-particle" : "", "parse-names" : false, "suffix" : "" }, { "dropping-particle" : "", "family" : "Sherwood", "given" : "Ellen", "non-dropping-particle" : "", "parse-names" : false, "suffix" : "" }, { "dropping-particle" : "", "family" : "Webster", "given" : "Matthew T", "non-dropping-particle" : "", "parse-names" : false, "suffix" : "" }, { "dropping-particle" : "", "family" : "Jiang", "given" : "Lin", "non-dropping-particle" : "", "parse-names" : false, "suffix" : "" }, { "dropping-particle" : "", "family" : "Ingman", "given" : "Max", "non-dropping-particle" : "", "parse-names" : false, "suffix" : "" }, { "dropping-particle" : "", "family" : "Sharpe", "given" : "Ted", "non-dropping-particle" : "", "parse-names" : false, "suffix" : "" }, { "dropping-particle" : "", "family" : "Ka", "given" : "Sojeong", "non-dropping-particle" : "", "parse-names" : false, "suffix" : "" }, { "dropping-particle" : "", "family" : "Hallb\u00f6\u00f6k", "given" : "Finn", "non-dropping-particle" : "", "parse-names" : false, "suffix" : "" }, { "dropping-particle" : "", "family" : "Besnier", "given" : "Francois", "non-dropping-particle" : "", "parse-names" : false, "suffix" : "" }, { "dropping-particle" : "", "family" : "Carlborg", "given" : "Orjan", "non-dropping-particle" : "", "parse-names" : false, "suffix" : "" }, { "dropping-particle" : "", "family" : "Bed'hom", "given" : "Bertrand", "non-dropping-particle" : "", "parse-names" : false, "suffix" : "" }, { "dropping-particle" : "", "family" : "Tixier-Boichard", "given" : "Mich\u00e8le", "non-dropping-particle" : "", "parse-names" : false, "suffix" : "" }, { "dropping-particle" : "", "family" : "Jensen", "given" : "Per", "non-dropping-particle" : "", "parse-names" : false, "suffix" : "" }, { "dropping-particle" : "", "family" : "Siegel", "given" : "Paul", "non-dropping-particle" : "", "parse-names" : false, "suffix" : "" }, { "dropping-particle" : "", "family" : "Lindblad-Toh", "given" : "Kerstin", "non-dropping-particle" : "", "parse-names" : false, "suffix" : "" }, { "dropping-particle" : "", "family" : "Andersson", "given" : "Leif", "non-dropping-particle" : "", "parse-names" : false, "suffix" : "" } ], "container-title" : "Nature", "id" : "ITEM-1", "issue" : "7288", "issued" : { "date-parts" : [ [ "2010", "3", "25" ] ] }, "page" : "587-91", "title" : "Whole-genome resequencing reveals loci under selection during chicken domestication.", "type" : "article-journal", "volume" : "464" }, "uris" : [ "http://www.mendeley.com/documents/?uuid=915a3402-b085-4624-9e8e-685b331f995e" ] } ], "mendeley" : { "formattedCitation" : "(Rubin et al. 2010)", "plainTextFormattedCitation" : "(Rubin et al. 2010)", "previouslyFormattedCitation" : "(Rubin et al. 2010)" }, "properties" : { "noteIndex" : 0 }, "schema" : "https://github.com/citation-style-language/schema/raw/master/csl-citation.json" }</w:instrText>
      </w:r>
      <w:r>
        <w:fldChar w:fldCharType="separate"/>
      </w:r>
      <w:r w:rsidRPr="006B6A7E">
        <w:rPr>
          <w:noProof/>
        </w:rPr>
        <w:t>(Rubin et al. 2010)</w:t>
      </w:r>
      <w:r>
        <w:fldChar w:fldCharType="end"/>
      </w:r>
      <w:r>
        <w:t xml:space="preserve">, and </w:t>
      </w:r>
      <w:r w:rsidR="009A3F05">
        <w:t xml:space="preserve">variation in </w:t>
      </w:r>
      <w:r w:rsidR="0060401E">
        <w:t>DNA methylation</w:t>
      </w:r>
      <w:r w:rsidR="009A3F05">
        <w:t xml:space="preserve"> patterning</w:t>
      </w:r>
      <w:r>
        <w:t xml:space="preserve"> across coding and regulatory regions. Studies of the latter </w:t>
      </w:r>
      <w:r>
        <w:fldChar w:fldCharType="begin" w:fldLock="1"/>
      </w:r>
      <w:r w:rsidR="009A3F05">
        <w:instrText>ADDIN CSL_CITATION { "citationItems" : [ { "id" : "ITEM-1", "itemData" : { "DOI" : "10.1186/1471-2164-13-59", "ISSN" : "1471-2164", "PMID" : "22305654", "abstract" : "BACKGROUND: Variations in gene expression, mediated by epigenetic mechanisms, may cause broad phenotypic effects in animals. However, it has been debated to what extent expression variation and epigenetic modifications, such as patterns of DNA methylation, are transferred across generations, and therefore it is uncertain what role epigenetic variation may play in adaptation.\n\nRESULTS: In Red Junglefowl, ancestor of domestic chickens, gene expression and methylation profiles in thalamus/hypothalamus differed substantially from that of a domesticated egg laying breed. Expression as well as methylation differences were largely maintained in the offspring, demonstrating reliable inheritance of epigenetic variation. Some of the inherited methylation differences were tissue-specific, and the differential methylation at specific loci were little changed after eight generations of intercrossing between Red Junglefowl and domesticated laying hens. There was an over-representation of differentially expressed and methylated genes in selective sweep regions associated with chicken domestication.\n\nCONCLUSIONS: Our results show that epigenetic variation is inherited in chickens, and we suggest that selection of favourable epigenomes, either by selection of genotypes affecting epigenetic states, or by selection of methylation states which are inherited independently of sequence differences, may have been an important aspect of chicken domestication.", "author" : [ { "dropping-particle" : "", "family" : "N\u00e4tt", "given" : "Daniel", "non-dropping-particle" : "", "parse-names" : false, "suffix" : "" }, { "dropping-particle" : "", "family" : "Rubin", "given" : "Carl-Johan", "non-dropping-particle" : "", "parse-names" : false, "suffix" : "" }, { "dropping-particle" : "", "family" : "Wright", "given" : "Dominic", "non-dropping-particle" : "", "parse-names" : false, "suffix" : "" }, { "dropping-particle" : "", "family" : "Johnsson", "given" : "Martin", "non-dropping-particle" : "", "parse-names" : false, "suffix" : "" }, { "dropping-particle" : "", "family" : "Belt\u00e9ky", "given" : "Johan", "non-dropping-particle" : "", "parse-names" : false, "suffix" : "" }, { "dropping-particle" : "", "family" : "Andersson", "given" : "Leif", "non-dropping-particle" : "", "parse-names" : false, "suffix" : "" }, { "dropping-particle" : "", "family" : "Jensen", "given" : "Per", "non-dropping-particle" : "", "parse-names" : false, "suffix" : "" } ], "container-title" : "BMC genomics", "id" : "ITEM-1", "issue" : "1", "issued" : { "date-parts" : [ [ "2012", "1" ] ] }, "page" : "59", "publisher" : "BioMed Central Ltd", "title" : "Heritable genome-wide variation of gene expression and promoter methylation between wild and domesticated chickens.", "type" : "article-journal", "volume" : "13" }, "uris" : [ "http://www.mendeley.com/documents/?uuid=53e7e42f-1093-41ea-9265-d8c9e8ae41a4" ] }, { "id" : "ITEM-2", "itemData" : { "DOI" : "10.1371/journal.pone.0056411", "ISSN" : "1932-6203", "PMID" : "23441189", "abstract" : "INTRODUCTION: Growth traits are important in poultry production, however, little is known for its regulatory mechanism at epigenetic level. Therefore, in this study, we aim to compare DNA methylation profiles between fast- and slow-growing broilers in order to identify candidate genes for chicken growth. Methylated DNA immunoprecipitation-sequencing (MeDIP-seq) was used to investigate the genome-wide DNA methylation pattern in high and low tails of Recessive White Rock (WRR(h); WRR(l)) and that of Xinhua Chickens (XH(h); XH(l)) at 7 weeks of age. The results showed that the average methylation density was the lowest in CGIs followed by promoters. Within the gene body, the methylation density of introns was higher than that of UTRs and exons. Moreover, different methylation levels were observed in different repeat types with the highest in LINE/CR1. Methylated CGIs were prominently distributed in the intergenic regions and were enriched in the size ranging 200-300 bp. In total 13,294 methylated genes were found in four samples, including 4,085 differentially methylated genes of WRR(h) Vs. WRR(l), 5,599 of XH(h) Vs. XH(l), 4,204 of WRR(h) Vs. XH(h), as well as 7,301 of WRR(l) Vs. XH(l). Moreover, 132 differentially methylated genes related to growth and metabolism were observed in both inner contrasts (WRR(h) Vs. WRR(l) and XH(h) Vs. XH(l)), whereas 129 differentially methylated genes related to growth and metabolism were found in both across-breed contrasts (WRR(h) Vs. XH(h) and WRR(l) Vs. XH(l)). Further analysis showed that overall 75 genes exhibited altered DNA methylation in all four contrasts, which included some well-known growth factors of IGF1R, FGF12, FGF14, FGF18, FGFR2, and FGFR3. In addition, we validate the MeDIP-seq results by bisulfite sequencing in some regions.\n\nCONCLUSIONS: This study revealed the global DNA methylation pattern of chicken muscle, and identified candidate genes that potentially regulate muscle development at 7 weeks of age at methylation level.", "author" : [ { "dropping-particle" : "", "family" : "Hu", "given" : "Yongsheng", "non-dropping-particle" : "", "parse-names" : false, "suffix" : "" }, { "dropping-particle" : "", "family" : "Xu", "given" : "Haiping", "non-dropping-particle" : "", "parse-names" : false, "suffix" : "" }, { "dropping-particle" : "", "family" : "Li", "given" : "Zhenhui", "non-dropping-particle" : "", "parse-names" : false, "suffix" : "" }, { "dropping-particle" : "", "family" : "Zheng", "given" : "Xuejuan", "non-dropping-particle" : "", "parse-names" : false, "suffix" : "" }, { "dropping-particle" : "", "family" : "Jia", "given" : "Xinzheng", "non-dropping-particle" : "", "parse-names" : false, "suffix" : "" }, { "dropping-particle" : "", "family" : "Nie", "given" : "Qinghua", "non-dropping-particle" : "", "parse-names" : false, "suffix" : "" }, { "dropping-particle" : "", "family" : "Zhang", "given" : "Xiquan", "non-dropping-particle" : "", "parse-names" : false, "suffix" : "" } ], "container-title" : "PloS one", "id" : "ITEM-2", "issue" : "2", "issued" : { "date-parts" : [ [ "2013", "1" ] ] }, "page" : "e56411", "title" : "Comparison of the genome-wide DNA methylation profiles between fast-growing and slow-growing broilers.", "type" : "article-journal", "volume" : "8" }, "uris" : [ "http://www.mendeley.com/documents/?uuid=9c748cf3-0236-44d4-9642-0598a126ba86" ] } ], "mendeley" : { "formattedCitation" : "(N\u00e4tt et al. 2012; Hu et al. 2013)", "plainTextFormattedCitation" : "(N\u00e4tt et al. 2012; Hu et al. 2013)", "previouslyFormattedCitation" : "(N\u00e4tt et al. 2012; Hu et al. 2013)" }, "properties" : { "noteIndex" : 0 }, "schema" : "https://github.com/citation-style-language/schema/raw/master/csl-citation.json" }</w:instrText>
      </w:r>
      <w:r>
        <w:fldChar w:fldCharType="separate"/>
      </w:r>
      <w:r w:rsidRPr="00465374">
        <w:rPr>
          <w:noProof/>
        </w:rPr>
        <w:t>(Nätt et al. 2012; Hu et al. 2013)</w:t>
      </w:r>
      <w:r>
        <w:fldChar w:fldCharType="end"/>
      </w:r>
      <w:r>
        <w:t xml:space="preserve"> suggest that rapid responses to breeding programmes may be plastic epigenetic effects rather than ‘permanent’ nucleotide changes, a notion supported by the paucity of coding region deletions in intra-line comparisons</w:t>
      </w:r>
      <w:r w:rsidR="009C6E22">
        <w:t>,</w:t>
      </w:r>
      <w:r w:rsidR="009A3F05">
        <w:t xml:space="preserve"> and the maintenance of high nucleotide diversity</w:t>
      </w:r>
      <w:r>
        <w:t xml:space="preserve"> </w:t>
      </w:r>
      <w:r>
        <w:fldChar w:fldCharType="begin" w:fldLock="1"/>
      </w:r>
      <w:r>
        <w:instrText>ADDIN CSL_CITATION { "citationItems" : [ { "id" : "ITEM-1", "itemData" : { "DOI" : "10.1038/nature08832", "ISSN" : "1476-4687", "PMID" : "20220755", "abstract" : "Domestic animals are excellent models for genetic studies of phenotypic evolution. They have evolved genetic adaptations to a new environment, the farm, and have been subjected to strong human-driven selection leading to remarkable phenotypic changes in morphology, physiology and behaviour. Identifying the genetic changes underlying these developments provides new insight into general mechanisms by which genetic variation shapes phenotypic diversity. Here we describe the use of massively parallel sequencing to identify selective sweeps of favourable alleles and candidate mutations that have had a prominent role in the domestication of chickens (Gallus gallus domesticus) and their subsequent specialization into broiler (meat-producing) and layer (egg-producing) chickens. We have generated 44.5-fold coverage of the chicken genome using pools of genomic DNA representing eight different populations of domestic chickens as well as red jungle fowl (Gallus gallus), the major wild ancestor. We report more than 7,000,000 single nucleotide polymorphisms, almost 1,300 deletions and a number of putative selective sweeps. One of the most striking selective sweeps found in all domestic chickens occurred at the locus for thyroid stimulating hormone receptor (TSHR), which has a pivotal role in metabolic regulation and photoperiod control of reproduction in vertebrates. Several of the selective sweeps detected in broilers overlapped genes associated with growth, appetite and metabolic regulation. We found little evidence that selection for loss-of-function mutations had a prominent role in chicken domestication, but we detected two deletions in coding sequences that we suggest are functionally important. This study has direct application to animal breeding and enhances the importance of the domestic chicken as a model organism for biomedical research.", "author" : [ { "dropping-particle" : "", "family" : "Rubin", "given" : "Carl-Johan", "non-dropping-particle" : "", "parse-names" : false, "suffix" : "" }, { "dropping-particle" : "", "family" : "Zody", "given" : "Michael C", "non-dropping-particle" : "", "parse-names" : false, "suffix" : "" }, { "dropping-particle" : "", "family" : "Eriksson", "given" : "Jonas", "non-dropping-particle" : "", "parse-names" : false, "suffix" : "" }, { "dropping-particle" : "", "family" : "Meadows", "given" : "Jennifer R S", "non-dropping-particle" : "", "parse-names" : false, "suffix" : "" }, { "dropping-particle" : "", "family" : "Sherwood", "given" : "Ellen", "non-dropping-particle" : "", "parse-names" : false, "suffix" : "" }, { "dropping-particle" : "", "family" : "Webster", "given" : "Matthew T", "non-dropping-particle" : "", "parse-names" : false, "suffix" : "" }, { "dropping-particle" : "", "family" : "Jiang", "given" : "Lin", "non-dropping-particle" : "", "parse-names" : false, "suffix" : "" }, { "dropping-particle" : "", "family" : "Ingman", "given" : "Max", "non-dropping-particle" : "", "parse-names" : false, "suffix" : "" }, { "dropping-particle" : "", "family" : "Sharpe", "given" : "Ted", "non-dropping-particle" : "", "parse-names" : false, "suffix" : "" }, { "dropping-particle" : "", "family" : "Ka", "given" : "Sojeong", "non-dropping-particle" : "", "parse-names" : false, "suffix" : "" }, { "dropping-particle" : "", "family" : "Hallb\u00f6\u00f6k", "given" : "Finn", "non-dropping-particle" : "", "parse-names" : false, "suffix" : "" }, { "dropping-particle" : "", "family" : "Besnier", "given" : "Francois", "non-dropping-particle" : "", "parse-names" : false, "suffix" : "" }, { "dropping-particle" : "", "family" : "Carlborg", "given" : "Orjan", "non-dropping-particle" : "", "parse-names" : false, "suffix" : "" }, { "dropping-particle" : "", "family" : "Bed'hom", "given" : "Bertrand", "non-dropping-particle" : "", "parse-names" : false, "suffix" : "" }, { "dropping-particle" : "", "family" : "Tixier-Boichard", "given" : "Mich\u00e8le", "non-dropping-particle" : "", "parse-names" : false, "suffix" : "" }, { "dropping-particle" : "", "family" : "Jensen", "given" : "Per", "non-dropping-particle" : "", "parse-names" : false, "suffix" : "" }, { "dropping-particle" : "", "family" : "Siegel", "given" : "Paul", "non-dropping-particle" : "", "parse-names" : false, "suffix" : "" }, { "dropping-particle" : "", "family" : "Lindblad-Toh", "given" : "Kerstin", "non-dropping-particle" : "", "parse-names" : false, "suffix" : "" }, { "dropping-particle" : "", "family" : "Andersson", "given" : "Leif", "non-dropping-particle" : "", "parse-names" : false, "suffix" : "" } ], "container-title" : "Nature", "id" : "ITEM-1", "issue" : "7288", "issued" : { "date-parts" : [ [ "2010", "3", "25" ] ] }, "page" : "587-91", "title" : "Whole-genome resequencing reveals loci under selection during chicken domestication.", "type" : "article-journal", "volume" : "464" }, "uris" : [ "http://www.mendeley.com/documents/?uuid=915a3402-b085-4624-9e8e-685b331f995e" ] } ], "mendeley" : { "formattedCitation" : "(Rubin et al. 2010)", "plainTextFormattedCitation" : "(Rubin et al. 2010)", "previouslyFormattedCitation" : "(Rubin et al. 2010)" }, "properties" : { "noteIndex" : 0 }, "schema" : "https://github.com/citation-style-language/schema/raw/master/csl-citation.json" }</w:instrText>
      </w:r>
      <w:r>
        <w:fldChar w:fldCharType="separate"/>
      </w:r>
      <w:r w:rsidRPr="006B6A7E">
        <w:rPr>
          <w:noProof/>
        </w:rPr>
        <w:t>(Rubin et al. 2010)</w:t>
      </w:r>
      <w:r>
        <w:fldChar w:fldCharType="end"/>
      </w:r>
      <w:r>
        <w:t xml:space="preserve">. </w:t>
      </w:r>
    </w:p>
    <w:p w14:paraId="5DFC7841" w14:textId="248C45F0" w:rsidR="00A30893" w:rsidRDefault="009A3F05" w:rsidP="00391005">
      <w:pPr>
        <w:pStyle w:val="ListParagraph"/>
      </w:pPr>
      <w:r>
        <w:t>These findings were welcome news to breeders, as continued commercial improvement requires genetic diversity, and traditional selective breeding methods often result in high inbreeding coefficients within lines</w:t>
      </w:r>
      <w:r w:rsidR="00C569BB">
        <w:t xml:space="preserve"> </w:t>
      </w:r>
      <w:r w:rsidR="00C569BB">
        <w:fldChar w:fldCharType="begin" w:fldLock="1"/>
      </w:r>
      <w:r w:rsidR="00003861">
        <w:instrText>ADDIN CSL_CITATION { "citationItems" : [ { "id" : "ITEM-1", "itemData" : { "DOI" : "10.1093/ps/79.8.1082", "ISBN" : "0032-5791 (Print)\\r0032-5791 (Linking)", "ISSN" : "0032-5791", "PMID" : "10947175", "abstract" : "The resolution of genes that determine resistance to disease is described using chicken lines maintained at the Avian Disease and Oncology Laboratory (ADOL). This description includes a summary 1) of existing selected and inbred lines differing for resistance to viral-induced tumors, i.e., Marek's disease (MD) and lymphoid leukosis (LL), and of the use of inbred and line crosses to define relevant disease-resistant genes, e.g., TV, ALVE, B, R, LY4, TH1, BU1, and IGG1; 2) of the development of TVB*/ALVE congenic lines to establish the affects of endogenous virus (EV) expression on resistance to avian leukosis virus (ALV), and methods to detect ALVE expression; 3) of the development of B congenic lines to define the influence of the MHC on MD resistance and vaccinal immunity, for producing B antisera, and for evaluating DNA sequences of Class I and II genes; and 4) of the current development of 6C.7 recombinant congenic strains (RCS) to define the role of non-MHC genes influencing susceptibility to MD and LL tumors, immune competence, and epistatic effects of genes. The procedures of pedigree mating, to avoid or maintain inbreeding, and of blood-typing, to ensure genetic purity of the lines, are also described.", "author" : [ { "dropping-particle" : "", "family" : "Bacon", "given" : "L D", "non-dropping-particle" : "", "parse-names" : false, "suffix" : "" }, { "dropping-particle" : "", "family" : "Hunt", "given" : "H D", "non-dropping-particle" : "", "parse-names" : false, "suffix" : "" }, { "dropping-particle" : "", "family" : "Cheng", "given" : "H H", "non-dropping-particle" : "", "parse-names" : false, "suffix" : "" } ], "container-title" : "Poultry science", "id" : "ITEM-1", "issue" : "8", "issued" : { "date-parts" : [ [ "2000" ] ] }, "page" : "1082-1093", "title" : "A review of the development of chicken lines to resolve genes determining resistance to diseases.", "type" : "article-journal", "volume" : "79" }, "uris" : [ "http://www.mendeley.com/documents/?uuid=e2fffd05-019d-4c1b-8573-9d624d1c2309" ] }, { "id" : "ITEM-2", "itemData" : { "DOI" : "10.1038/nrg2526", "ISBN" : "1471-0056", "ISSN" : "1471-0056", "PMID" : "19204717", "abstract" : "The effective size of a population, Ne, determines the rate of change in the composition of a population caused by genetic drift, which is the random sampling of genetic variants in a finite population. Ne is crucial in determining the level of variability in a population, and the effectiveness of selection relative to drift. This article reviews the properties of Ne in a variety of different situations of biological interest, and the factors that influence it. In particular, the action of selection means that Ne varies across the genome, and advances in genomic techniques are giving new insights into how selection shapes Ne.", "author" : [ { "dropping-particle" : "", "family" : "Charlesworth", "given" : "Brian", "non-dropping-particle" : "", "parse-names" : false, "suffix" : "" } ], "container-title" : "Nature Reviews Genetics", "id" : "ITEM-2", "issue" : "3", "issued" : { "date-parts" : [ [ "2009" ] ] }, "page" : "195-205", "title" : "Effective population size and patterns of molecular evolution and variation", "type" : "article-journal", "volume" : "10" }, "uris" : [ "http://www.mendeley.com/documents/?uuid=d009ed97-87f5-4c83-9dcc-12f8d8e1c063" ] } ], "mendeley" : { "formattedCitation" : "(Bacon et al. 2000; Charlesworth 2009)", "plainTextFormattedCitation" : "(Bacon et al. 2000; Charlesworth 2009)", "previouslyFormattedCitation" : "(Bacon et al. 2000; Charlesworth 2009)" }, "properties" : { "noteIndex" : 0 }, "schema" : "https://github.com/citation-style-language/schema/raw/master/csl-citation.json" }</w:instrText>
      </w:r>
      <w:r w:rsidR="00C569BB">
        <w:fldChar w:fldCharType="separate"/>
      </w:r>
      <w:r w:rsidR="00C569BB" w:rsidRPr="00C569BB">
        <w:rPr>
          <w:noProof/>
        </w:rPr>
        <w:t>(Bacon et al. 2000; Charlesworth 2009)</w:t>
      </w:r>
      <w:r w:rsidR="00C569BB">
        <w:fldChar w:fldCharType="end"/>
      </w:r>
      <w:r>
        <w:t xml:space="preserve">. In chickens, these effects are due to the limited numbers of breeds used in the initial development of commercial lines, use of within-line selection (where a limited number of individuals derive a large proportion of the next generation) and the knock-on effect of intense market competition, where commercial stock has been reduced to a limited number of lines in a few multinational companies </w:t>
      </w:r>
      <w:r>
        <w:fldChar w:fldCharType="begin" w:fldLock="1"/>
      </w:r>
      <w:r w:rsidR="00894ACB">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fldChar w:fldCharType="separate"/>
      </w:r>
      <w:r w:rsidRPr="009A3F05">
        <w:rPr>
          <w:noProof/>
        </w:rPr>
        <w:t>(Muir et al. 2008)</w:t>
      </w:r>
      <w:r>
        <w:fldChar w:fldCharType="end"/>
      </w:r>
      <w:r>
        <w:t>.</w:t>
      </w:r>
      <w:r w:rsidR="00894ACB">
        <w:t xml:space="preserve"> Maintenance of high nucleotide diversity is likely testament to the recent, complex domestication and the large ancestral effective population size </w:t>
      </w:r>
      <w:r w:rsidR="00894ACB">
        <w:fldChar w:fldCharType="begin" w:fldLock="1"/>
      </w:r>
      <w:r w:rsidR="00C331AD">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"mendeley" : { "formattedCitation" : "(Ellegren 2005)", "plainTextFormattedCitation" : "(Ellegren 2005)", "previouslyFormattedCitation" : "(Ellegren 2005)" }, "properties" : { "noteIndex" : 0 }, "schema" : "https://github.com/citation-style-language/schema/raw/master/csl-citation.json" }</w:instrText>
      </w:r>
      <w:r w:rsidR="00894ACB">
        <w:fldChar w:fldCharType="separate"/>
      </w:r>
      <w:r w:rsidR="00894ACB" w:rsidRPr="00894ACB">
        <w:rPr>
          <w:noProof/>
        </w:rPr>
        <w:t>(Ellegren 2005)</w:t>
      </w:r>
      <w:r w:rsidR="00894ACB">
        <w:fldChar w:fldCharType="end"/>
      </w:r>
      <w:r w:rsidR="00894ACB">
        <w:t>.</w:t>
      </w:r>
      <w:r w:rsidR="00465374">
        <w:t xml:space="preserve"> </w:t>
      </w:r>
    </w:p>
    <w:p w14:paraId="648CC20B" w14:textId="77777777" w:rsidR="006B6A7E" w:rsidRDefault="006B6A7E" w:rsidP="00391005">
      <w:pPr>
        <w:pStyle w:val="ListParagraph"/>
      </w:pPr>
    </w:p>
    <w:p w14:paraId="1F95C8C8" w14:textId="69DC4A54" w:rsidR="00141710" w:rsidRDefault="00EA6B3E" w:rsidP="00141710">
      <w:pPr>
        <w:pStyle w:val="Heading3"/>
      </w:pPr>
      <w:bookmarkStart w:id="55" w:name="_Toc485721564"/>
      <w:bookmarkStart w:id="56" w:name="_Toc486787144"/>
      <w:bookmarkStart w:id="57" w:name="_Toc486787292"/>
      <w:r>
        <w:t>Chicken g</w:t>
      </w:r>
      <w:r w:rsidR="00F1532B">
        <w:t>enome structure and sequence</w:t>
      </w:r>
      <w:bookmarkEnd w:id="55"/>
      <w:bookmarkEnd w:id="56"/>
      <w:bookmarkEnd w:id="57"/>
    </w:p>
    <w:p w14:paraId="05EEB781" w14:textId="3CD4D79A" w:rsidR="00F1532B" w:rsidRDefault="00436890" w:rsidP="00391005">
      <w:pPr>
        <w:pStyle w:val="ListParagraph"/>
      </w:pPr>
      <w:r>
        <w:t xml:space="preserve">Compared to mammalian genomes, the 1.2 gigabase-pair (Gbp) chicken genome is small but compact: approximately one third the length of the human genome but with a similar number of annotated protein-coding genes </w:t>
      </w:r>
      <w:r>
        <w:fldChar w:fldCharType="begin" w:fldLock="1"/>
      </w:r>
      <w:r w:rsidR="00791A9D">
        <w:instrText>ADDIN CSL_CITATION { "citationItems" : [ { "id" : "ITEM-1", "itemData" : { "DOI" : "10.1038/nature03154", "ISSN" : "1476-4687", "PMID" : "15592404", "abstract" : "We present here a draft genome sequence of the red jungle fowl, Gallus gallus. Because the chicken is a modern descendant of the dinosaurs and the first non-mammalian amniote to have its genome sequenced, the draft sequence of its genome--composed of approximately one billion base pairs of sequence and an estimated 20,000-23,000 genes--provides a new perspective on vertebrate genome evolution, while also improving the annotation of mammalian genomes. For example, the evolutionary distance between chicken and human provides high specificity in detecting functional elements, both non-coding and coding. Notably, many conserved non-coding sequences are far from genes and cannot be assigned to defined functional classes. In coding regions the evolutionary dynamics of protein domains and orthologous groups illustrate processes that distinguish the lineages leading to birds and mammals. The distinctive properties of avian microchromosomes, together with the inferred patterns of conserved synteny, provide additional insights into vertebrate chromosome architecture.", "author" : [ { "dropping-particle" : "", "family" : "Hillier", "given" : "LW", "non-dropping-particle" : "", "parse-names" : false, "suffix" : "" }, { "dropping-particle" : "", "family" : "Miller", "given" : "W", "non-dropping-particle" : "", "parse-names" : false, "suffix" : "" }, { "dropping-particle" : "", "family" : "Birney", "given" : "E", "non-dropping-particle" : "", "parse-names" : false, "suffix" : "" }, { "dropping-particle" : "", "family" : "Warren", "given" : "W", "non-dropping-particle" : "", "parse-names" : false, "suffix" : "" }, { "dropping-particle" : "", "family" : "Hardison", "given" : "RC", "non-dropping-particle" : "", "parse-names" : false, "suffix" : "" }, { "dropping-particle" : "", "family" : "Ponting", "given" : "CP", "non-dropping-particle" : "", "parse-names" : false, "suffix" : "" }, { "dropping-particle" : "", "family" : "Bork", "given" : "P", "non-dropping-particle" : "", "parse-names" : false, "suffix" : "" }, { "dropping-particle" : "", "family" : "Burt", "given" : "DW", "non-dropping-particle" : "", "parse-names" : false, "suffix" : "" }, { "dropping-particle" : "", "family" : "Groenen", "given" : "MAM", "non-dropping-particle" : "", "parse-names" : false, "suffix" : "" }, { "dropping-particle" : "", "family" : "Delany", "given" : "ME", "non-dropping-particle" : "", "parse-names" : false, "suffix" : "" }, { "dropping-particle" : "", "family" : "Dodgson", "given" : "JB", "non-dropping-particle" : "", "parse-names" : false, "suffix" : "" }, { "dropping-particle" : "", "family" : "et al", "given" : "", "non-dropping-particle" : "", "parse-names" : false, "suffix" : "" } ], "container-title" : "Nature", "id" : "ITEM-1", "issue" : "7018", "issued" : { "date-parts" : [ [ "2004", "12", "9" ] ] }, "note" : "Overview of the first chicken genome assembly with the key stats on karyotype, recombination rates, CpG island distribution, genome length, differences between meta and micro chromosomes etc. Small section on ERVs.", "page" : "695-716", "title" : "Sequence and comparative analysis of the chicken genome provide unique perspectives on vertebrate evolution.", "type" : "article-journal", "volume" : "432" }, "uris" : [ "http://www.mendeley.com/documents/?uuid=28c0bf93-c2dc-49e7-8d46-18d86c6dba6b" ] } ], "mendeley" : { "formattedCitation" : "(Hillier et al. 2004)", "plainTextFormattedCitation" : "(Hillier et al. 2004)", "previouslyFormattedCitation" : "(Hillier et al. 2004)" }, "properties" : { "noteIndex" : 0 }, "schema" : "https://github.com/citation-style-language/schema/raw/master/csl-citation.json" }</w:instrText>
      </w:r>
      <w:r>
        <w:fldChar w:fldCharType="separate"/>
      </w:r>
      <w:r w:rsidR="00EA6B3E" w:rsidRPr="00EA6B3E">
        <w:rPr>
          <w:noProof/>
        </w:rPr>
        <w:t>(Hillier et al. 2004)</w:t>
      </w:r>
      <w:r>
        <w:fldChar w:fldCharType="end"/>
      </w:r>
      <w:r>
        <w:t xml:space="preserve">. </w:t>
      </w:r>
      <w:r w:rsidR="00E53ED3">
        <w:t>Chicken g</w:t>
      </w:r>
      <w:r>
        <w:t xml:space="preserve">enomic DNA is arranged over thirty-eight autosomes and a pair of sex chromosomes, giving a diploid number of seventy-eight. The autosomes exhibit length variation across two orders of magnitude, with chromosomes 1 to 10 classified as macrochromosomes (although the literature sometimes refers to chromosomes 6 to 10 as ‘intermediate’ chromosomes), and 11 to 38 as microchromosomes. Microchromosomes exhibit higher GC content, a higher density of genes and CpG islands, elevated rates of synonymous </w:t>
      </w:r>
      <w:r w:rsidR="004E2AA3">
        <w:lastRenderedPageBreak/>
        <w:t>substitutions (Ks</w:t>
      </w:r>
      <w:r>
        <w:t>), lower repetitive DNA content, and reduced introni</w:t>
      </w:r>
      <w:r w:rsidR="00662B8E">
        <w:t>c and intergenic distances compared with</w:t>
      </w:r>
      <w:r>
        <w:t xml:space="preserve"> the macrochromosomes </w:t>
      </w:r>
      <w:r>
        <w:fldChar w:fldCharType="begin" w:fldLock="1"/>
      </w:r>
      <w:r w:rsidR="00C73DBB">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"mendeley" : { "formattedCitation" : "(Ellegren 2005)", "plainTextFormattedCitation" : "(Ellegren 2005)", "previouslyFormattedCitation" : "(Ellegren 2005)" }, "properties" : { "noteIndex" : 0 }, "schema" : "https://github.com/citation-style-language/schema/raw/master/csl-citation.json" }</w:instrText>
      </w:r>
      <w:r>
        <w:fldChar w:fldCharType="separate"/>
      </w:r>
      <w:r w:rsidRPr="00436890">
        <w:rPr>
          <w:noProof/>
        </w:rPr>
        <w:t>(Ellegren 2005)</w:t>
      </w:r>
      <w:r>
        <w:fldChar w:fldCharType="end"/>
      </w:r>
      <w:r>
        <w:t xml:space="preserve">. </w:t>
      </w:r>
      <w:r w:rsidR="00C73DBB">
        <w:t>Additionally, microchromosomes exhibit elevated</w:t>
      </w:r>
      <w:r w:rsidR="004E2AA3">
        <w:t xml:space="preserve"> recombination rates due to the </w:t>
      </w:r>
      <w:r w:rsidR="00C73DBB">
        <w:t xml:space="preserve">obligate meiotic chromosomal crossovers which occur between all homologous chromosome pairs irrespective of their short lengths. This has the effect of elongating the chicken linkage map to 4,000 centimorgans (cM), 300 cM longer than the human linkage map, despite the three-fold difference in genome length </w:t>
      </w:r>
      <w:r w:rsidR="00C73DBB">
        <w:fldChar w:fldCharType="begin" w:fldLock="1"/>
      </w:r>
      <w:r w:rsidR="00C73DBB">
        <w:instrText>ADDIN CSL_CITATION { "citationItems" : [ { "id" : "ITEM-1", "itemData" : { "DOI" : "10.1093/molbev/msm071", "ISSN" : "0737-4038", "PMID" : "17434902", "abstract" : "Genome structure has been found to be highly conserved between distantly related birds and recent data for a limited part of the genome suggest that this is true also for the gene order (synteny) within chromosomes. Here, we confirm that synteny is maintained for large chromosomal regions in chicken and a passerine bird, the great reed warbler Acrocephalus arundinaceus, with few rearrangements, but in contrast show that the recombination-based linkage map distances differ substantially between these species. We assigned a chromosomal location based on sequence similarity to the chicken genome sequence to a set of microsatellite loci mapped in a pedigree of great reed warblers. We detected homologous loci on 14 different chromosomes corresponding to chicken chromosomes Gga1-5, 7-9, 13, 19, 20, 24, 25, and Z. It is known that 2 passerine macrochromosomes correspond to the chicken chromosome Gga1. Homology of 2 different great reed warbler linkage groups (LG13 and LG5) to Gga1 allowed us to locate the split to a position between 20.8 and 84.8 Mb on Gga1. Data from the 5 chromosomal regions (on Gga1, 2, 3, 5, and Z) with 3 or more homologous loci showed that synteny was conserved with the exception of 2 large previously unreported inversions on Gga1/LG5 and Gga2/LG3, respectively. Recombination data from the 9 chromosomal regions in which we identified 2 or more homologous loci (accounting for the inversions) showed that the linkage map distances in great reed warblers were only 6.3% and 13.3% of those in chickens for males and females, respectively. This is likely to reflect the true interspecific difference in recombination rate because our markers were not located in potentially low-recombining regions: several linkage groups covered a substantial part of their corresponding chicken chromosomes and were not restricted to centromeres. We conclude that recombination rates may differ strongly between bird species with highly conserved genome structure and synteny and that the chicken linkage map may not be suitable, in terms of genetic distances, as a model for all bird species.", "author" : [ { "dropping-particle" : "", "family" : "Dawson", "given" : "Deborah a", "non-dropping-particle" : "", "parse-names" : false, "suffix" : "" }, { "dropping-particle" : "", "family" : "Akesson", "given" : "Mikael", "non-dropping-particle" : "", "parse-names" : false, "suffix" : "" }, { "dropping-particle" : "", "family" : "Burke", "given" : "Terry", "non-dropping-particle" : "", "parse-names" : false, "suffix" : "" }, { "dropping-particle" : "", "family" : "Pemberton", "given" : "Josephine M", "non-dropping-particle" : "", "parse-names" : false, "suffix" : "" }, { "dropping-particle" : "", "family" : "Slate", "given" : "Jon", "non-dropping-particle" : "", "parse-names" : false, "suffix" : "" }, { "dropping-particle" : "", "family" : "Hansson", "given" : "Bengt", "non-dropping-particle" : "", "parse-names" : false, "suffix" : "" } ], "container-title" : "Molecular biology and evolution", "id" : "ITEM-1", "issue" : "7", "issued" : { "date-parts" : [ [ "2007", "7" ] ] }, "note" : "Suggestions that there is highly conserved synteny within birds, with few rearrangements. This strongly argues that the chicken physical map can be used for gene predictions in passerines (also other element predictions). \n\n        \nDifferences in recombination rate may come from domestication. Domesticated lines may favour higher recombination rates, or these rates have been selected for along with other traits. There are also models which suggest recombination rates increase in inbred lines - inbred plant lines have a greater number of chiasmata when compared to outbred relatives. Very difficult to test. Only hypotheses. \nAlso could be related to Ne and other factors.", "page" : "1537-52", "title" : "Gene order and recombination rate in homologous chromosome regions of the chicken and a passerine bird.", "type" : "article-journal", "volume" : "24" }, "uris" : [ "http://www.mendeley.com/documents/?uuid=26d4644d-73d7-4e8a-94cf-4fffba849ae5" ] } ], "mendeley" : { "formattedCitation" : "(Dawson et al. 2007)", "plainTextFormattedCitation" : "(Dawson et al. 2007)", "previouslyFormattedCitation" : "(Dawson et al. 2007)" }, "properties" : { "noteIndex" : 0 }, "schema" : "https://github.com/citation-style-language/schema/raw/master/csl-citation.json" }</w:instrText>
      </w:r>
      <w:r w:rsidR="00C73DBB">
        <w:fldChar w:fldCharType="separate"/>
      </w:r>
      <w:r w:rsidR="00C73DBB" w:rsidRPr="00C73DBB">
        <w:rPr>
          <w:noProof/>
        </w:rPr>
        <w:t>(Dawson et al. 2007)</w:t>
      </w:r>
      <w:r w:rsidR="00C73DBB">
        <w:fldChar w:fldCharType="end"/>
      </w:r>
      <w:r w:rsidR="002568CF">
        <w:t>. Across the genome, the</w:t>
      </w:r>
      <w:r w:rsidR="00C73DBB">
        <w:t xml:space="preserve"> neutral</w:t>
      </w:r>
      <w:r w:rsidR="00424B16">
        <w:t xml:space="preserve"> nucleotide substitution rate</w:t>
      </w:r>
      <w:r w:rsidR="004E2AA3">
        <w:t>s are very similar between</w:t>
      </w:r>
      <w:r w:rsidR="00424B16">
        <w:t xml:space="preserve"> </w:t>
      </w:r>
      <w:r w:rsidR="00C73DBB">
        <w:t xml:space="preserve">chicken (and birds more widely) and mammals </w:t>
      </w:r>
      <w:r w:rsidR="00C73DBB">
        <w:fldChar w:fldCharType="begin" w:fldLock="1"/>
      </w:r>
      <w:r w:rsidR="00C92530">
        <w:instrText>ADDIN CSL_CITATION { "citationItems" : [ { "id" : "ITEM-1", "itemData" : { "author" : [ { "dropping-particle" : "", "family" : "Helm-Bychowski", "given" : "Kathleen M", "non-dropping-particle" : "", "parse-names" : false, "suffix" : "" }, { "dropping-particle" : "", "family" : "Wilson", "given" : "Allan C", "non-dropping-particle" : "", "parse-names" : false, "suffix" : "" } ], "container-title" : "PNAS", "id" : "ITEM-1", "issue" : "3", "issued" : { "date-parts" : [ [ "1986" ] ] }, "note" : "Studied 161 nuclear restriction sites in seven species of the Phasianoidea family - chicken, red jungle fowl, turkey, green jungle fowl, guinea fowl, peafowl &amp;amp; chukar.\nLooked at three regions that have been well defined in the chicken genome - globin regions. These have also been studied well in primates (by this stage). Found similar substitution rates in all three regions despite very different Kd rates across the coding regions. Used mainly fossil data to calibrate their tree for calculating divergence, rather than biogeographic knowledge. \nSaw rates of between 0.34 and 0.40% divergence per million years, similar to analysis in primates across the homologous genome regions.\nPrevious suggestions of rates by Sibley &amp;amp; Ahlquist in 1983 and 1984 publications (papers not read) which only used biogeographic data and gave a rate of 0.22% divergence per million years.", "page" : "688-692", "title" : "Rates of nuclear DNA evolution in pheasant-like birds: Evidence from restriction maps", "type" : "article-journal", "volume" : "83" }, "uris" : [ "http://www.mendeley.com/documents/?uuid=a191c6eb-7530-47fa-88f5-559504fdea05" ] }, { "id" : "ITEM-2", "itemData" : { "author" : [ { "dropping-particle" : "", "family" : "Hedges", "given" : "SB", "non-dropping-particle" : "", "parse-names" : false, "suffix" : "" }, { "dropping-particle" : "", "family" : "Parker", "given" : "PH", "non-dropping-particle" : "", "parse-names" : false, "suffix" : "" }, { "dropping-particle" : "", "family" : "Sibley", "given" : "CG", "non-dropping-particle" : "", "parse-names" : false, "suffix" : "" }, { "dropping-particle" : "", "family" : "Kumar", "given" : "S", "non-dropping-particle" : "", "parse-names" : false, "suffix" : "" } ], "container-title" : "Nature", "id" : "ITEM-2", "issued" : { "date-parts" : [ [ "1996" ] ] }, "title" : "Continental breakup and the ordinal diversification of birds and mammals", "type" : "article-journal" }, "uris" : [ "http://www.mendeley.com/documents/?uuid=67530b56-926f-45ad-9735-11ce6d0e27da" ] } ], "mendeley" : { "formattedCitation" : "(Helm-Bychowski &amp; Wilson 1986; Hedges et al. 1996)", "plainTextFormattedCitation" : "(Helm-Bychowski &amp; Wilson 1986; Hedges et al. 1996)", "previouslyFormattedCitation" : "(Helm-Bychowski &amp; Wilson 1986; Hedges et al. 1996)" }, "properties" : { "noteIndex" : 0 }, "schema" : "https://github.com/citation-style-language/schema/raw/master/csl-citation.json" }</w:instrText>
      </w:r>
      <w:r w:rsidR="00C73DBB">
        <w:fldChar w:fldCharType="separate"/>
      </w:r>
      <w:r w:rsidR="00C73DBB" w:rsidRPr="00C73DBB">
        <w:rPr>
          <w:noProof/>
        </w:rPr>
        <w:t>(Helm-Bychowski &amp; Wilson 1986; Hedges et al. 1996)</w:t>
      </w:r>
      <w:r w:rsidR="00C73DBB">
        <w:fldChar w:fldCharType="end"/>
      </w:r>
      <w:r w:rsidR="00C73DBB">
        <w:t xml:space="preserve">. </w:t>
      </w:r>
    </w:p>
    <w:p w14:paraId="24615BB4" w14:textId="274B687C" w:rsidR="00E0371D" w:rsidRDefault="00424B16" w:rsidP="00391005">
      <w:pPr>
        <w:pStyle w:val="ListParagraph"/>
      </w:pPr>
      <w:r>
        <w:t xml:space="preserve">The avian sex chromosomes (W and Z) began to develop from an autosomal pair approximately 150 </w:t>
      </w:r>
      <w:r w:rsidR="00513A9C">
        <w:t>million years ago (</w:t>
      </w:r>
      <w:r>
        <w:t>MYA</w:t>
      </w:r>
      <w:r w:rsidR="00513A9C">
        <w:t>)</w:t>
      </w:r>
      <w:r>
        <w:t xml:space="preserve">, and have an origin </w:t>
      </w:r>
      <w:r w:rsidR="003516CA">
        <w:t>independent from</w:t>
      </w:r>
      <w:r>
        <w:t xml:space="preserve"> the sex chromosomes of </w:t>
      </w:r>
      <w:r w:rsidR="00C92530">
        <w:t xml:space="preserve">the </w:t>
      </w:r>
      <w:r>
        <w:t xml:space="preserve">mammalian or other reptilian lineages </w:t>
      </w:r>
      <w:r w:rsidR="00C92530">
        <w:fldChar w:fldCharType="begin" w:fldLock="1"/>
      </w:r>
      <w:r w:rsidR="00C92530">
        <w:instrText>ADDIN CSL_CITATION { "citationItems" : [ { "id" : "ITEM-1", "itemData" : { "DOI" : "10.1073/pnas.95.14.8147", "ISBN" : "0027-8424 (Print)\\r0027-8424 (Linking)", "ISSN" : "0027-8424", "PMID" : "9653155", "abstract" : "Among the mechanisms whereby sex is determined in animals, chromosomal sex determination is found in a wide variety of distant taxa. The widespread but not ubiquitous occurrence, not even within lineages, of chromosomal sex determination suggests that sex chromosomes have evolved independently several times during animal radiation, but firm evidence for this is lacking. The most favored model for this process is gradual differentiation of ancestral pairs of autosomes. As known for mammals, sex chromosomes may have a very ancient origin, and it has even been speculated that the sex chromosomes of mammals and birds would share a common chromosomal ancestry. In this study we showed that the two genes, ATP5A1 and CHD1, so far assigned to the female-specific W chromosome of birds both exist in a very closely related copy on the Z chromosome but are not pseudoautosomal. This indicates a common ancestry of the two sex chromosomes, consistent with the evolution from a pair of autosomes. Comparative mapping demonstrates, however, that ATP5A1 and CHD1 are not sex-linked among eutherian mammals; this is also not the case for the majority of other genes so far assigned to the avian Z chromosome. Our results suggest that the evolution of sex chromosomes has occurred independently in mammals and birds.", "author" : [ { "dropping-particle" : "", "family" : "Fridolfsson", "given" : "Anna-Karin K", "non-dropping-particle" : "", "parse-names" : false, "suffix" : "" }, { "dropping-particle" : "", "family" : "Cheng", "given" : "Hans", "non-dropping-particle" : "", "parse-names" : false, "suffix" : "" }, { "dropping-particle" : "", "family" : "Copeland", "given" : "Neal G", "non-dropping-particle" : "", "parse-names" : false, "suffix" : "" }, { "dropping-particle" : "", "family" : "Jenkins", "given" : "Nancy A", "non-dropping-particle" : "", "parse-names" : false, "suffix" : "" }, { "dropping-particle" : "", "family" : "Liu", "given" : "Hsiao-Ching C", "non-dropping-particle" : "", "parse-names" : false, "suffix" : "" }, { "dropping-particle" : "", "family" : "Raudsepp", "given" : "Terje", "non-dropping-particle" : "", "parse-names" : false, "suffix" : "" }, { "dropping-particle" : "", "family" : "Woodage", "given" : "Trevor", "non-dropping-particle" : "", "parse-names" : false, "suffix" : "" }, { "dropping-particle" : "", "family" : "Chowdhary", "given" : "Bhanu", "non-dropping-particle" : "", "parse-names" : false, "suffix" : "" }, { "dropping-particle" : "", "family" : "Halverson", "given" : "Joy", "non-dropping-particle" : "", "parse-names" : false, "suffix" : "" }, { "dropping-particle" : "", "family" : "Ellegren", "given" : "Hans", "non-dropping-particle" : "", "parse-names" : false, "suffix" : "" } ], "container-title" : "Proceedings of the National Academy of Sciences of the United States of America", "id" : "ITEM-1", "issue" : "14", "issued" : { "date-parts" : [ [ "1998" ] ] }, "page" : "8147-8152", "title" : "Evolution of the avian sex chromosomes from an ancestral pair of autosomes.", "type" : "article-journal", "volume" : "95" }, "uris" : [ "http://www.mendeley.com/documents/?uuid=21b8cf55-bdd8-4a03-93c8-ca772eb7981d" ] }, { "id" : "ITEM-2", "itemData" : { "DOI" : "10.1073/pnas.0605274103", "ISBN" : "0027-8424", "ISSN" : "0027-8424", "PMID" : "17110446", "abstract" : "All snake species exhibit genetic sex determination with the ZZ/ZW type of sex chromosomes. To investigate the origin and evolution of snake sex chromosomes, we constructed, by FISH, a cytogenetic map of the Japanese four-striped rat snake (Elaphe quadrivirgata) with 109 cDNA clones. Eleven of the 109 clones were localized to the Z chromosome. All human and chicken homologues of the snake Z-linked genes were located on autosomes, suggesting that the sex chromosomes of snakes, mammals, and birds were all derived from different autosomal pairs of the common ancestor. We mapped the 11 Z-linked genes of E. quadrivirgata to chromosomes of two other species, the Burmese python (Python molurus bivittatus) and the habu (Trimeresurus flavoviridis), to investigate the process of W chromosome differentiation. All and 3 of the 11 clones were localized to both the Z and W chromosomes in P. molurus and E. quadrivirgata, respectively, whereas no cDNA clones were mapped to the W chromosome in T. flavoviridis. Comparative mapping revealed that the sex chromosomes are only slightly differentiated in P. molurus, whereas they are fully differentiated in T. flavoviridis, and E. quadrivirgata is at a transitional stage of sex-chromosome differentiation. The differentiation of sex chromosomes was probably initiated from the distal region on the short arm of the protosex chromosome of the common ancestor, and then deletion and heterochromatization progressed on the sex-specific chromosome from the phylogenetically primitive boids to the more advanced viperids.", "author" : [ { "dropping-particle" : "", "family" : "Matsubara", "given" : "K.", "non-dropping-particle" : "", "parse-names" : false, "suffix" : "" }, { "dropping-particle" : "", "family" : "Tarui", "given" : "H.", "non-dropping-particle" : "", "parse-names" : false, "suffix" : "" }, { "dropping-particle" : "", "family" : "Toriba", "given" : "M.", "non-dropping-particle" : "", "parse-names" : false, "suffix" : "" }, { "dropping-particle" : "", "family" : "Yamada", "given" : "K.", "non-dropping-particle" : "", "parse-names" : false, "suffix" : "" }, { "dropping-particle" : "", "family" : "Nishida-Umehara", "given" : "C.", "non-dropping-particle" : "", "parse-names" : false, "suffix" : "" }, { "dropping-particle" : "", "family" : "Agata", "given" : "K.", "non-dropping-particle" : "", "parse-names" : false, "suffix" : "" }, { "dropping-particle" : "", "family" : "Matsuda", "given" : "Y.", "non-dropping-particle" : "", "parse-names" : false, "suffix" : "" } ], "container-title" : "Proceedings of the National Academy of Sciences", "id" : "ITEM-2", "issue" : "48", "issued" : { "date-parts" : [ [ "2006" ] ] }, "page" : "18190-18195", "title" : "Evidence for different origin of sex chromosomes in snakes, birds, and mammals and step-wise differentiation of snake sex chromosomes", "type" : "article-journal", "volume" : "103" }, "uris" : [ "http://www.mendeley.com/documents/?uuid=308af6a1-1968-4193-b76e-21ef0b406d3c" ] }, { "id" : "ITEM-3", "itemData" : { "DOI" : "10.1534/genetics.108.090324", "ISBN" : "0016-6731 (Print)\\r0016-6731 (Linking)", "ISSN" : "00166731", "PMID" : "18791248", "abstract" : "Birds have female heterogamety with Z and W sex chromosomes. These evolved from different autosomal precursor chromosomes than the mammalian X and Y. However, previous work has suggested that the pattern and process of sex chromosome evolution show many similarities across distantly related organisms. Here we show that stepwise restriction of recombination between the protosex chromosomes of birds has resulted in regions of the chicken Z chromosome showing discrete levels of divergence from W homologs (gametologs). The 12 genes analyzed fall into three levels of estimated divergence values, with the most recent divergence (d(S) = 0.18-0.21) displayed by 6 genes in a region on the Z chromosome corresponding to the interval 1-11 Mb of the assembled genome sequence. Another 4 genes show intermediate divergence (d(S) = 0.27-0.38) and are located in the interval 16-53 Mb. Two genes (at positions 42 and 50 Mb) with higher d(S) values are located proximal to the most distal of the 4 genes with intermediate divergence, suggesting an inversion event. The distribution of genes and their divergence indicate at least three evolutionary strata, with estimated times for cessation of recombination between Z and W of 132-150 (stratum 1), 71-99 (stratum 2), and 47-57 (stratum 3) million years ago. An inversion event, or some other form of intrachromosomal rearrangement, subsequent to the formation of strata 1 and 2 has scrambled the gene order to give rise to the nonlinear arrangement of evolutionary strata currently seen on the chicken Z chromosome. These observations suggest that the progressive restriction of recombination is an integral feature of sex chromosome evolution and occurs also in systems of female heterogamety.", "author" : [ { "dropping-particle" : "", "family" : "Nam", "given" : "Kiwoong", "non-dropping-particle" : "", "parse-names" : false, "suffix" : "" }, { "dropping-particle" : "", "family" : "Ellegren", "given" : "Hans", "non-dropping-particle" : "", "parse-names" : false, "suffix" : "" } ], "container-title" : "Genetics", "id" : "ITEM-3", "issue" : "2", "issued" : { "date-parts" : [ [ "2008" ] ] }, "page" : "1131-1136", "title" : "The chicken (Gallus gallus) Z chromosome contains at least three nonlinear evolutionary strata", "type" : "article-journal", "volume" : "180" }, "uris" : [ "http://www.mendeley.com/documents/?uuid=1a125c14-31ef-4019-85e7-28cc60db22f8" ] } ], "mendeley" : { "formattedCitation" : "(Fridolfsson et al. 1998; Matsubara et al. 2006; Nam &amp; Ellegren 2008)", "plainTextFormattedCitation" : "(Fridolfsson et al. 1998; Matsubara et al. 2006; Nam &amp; Ellegren 2008)", "previouslyFormattedCitation" : "(Fridolfsson et al. 1998; Matsubara et al. 2006; Nam &amp; Ellegren 2008)" }, "properties" : { "noteIndex" : 0 }, "schema" : "https://github.com/citation-style-language/schema/raw/master/csl-citation.json" }</w:instrText>
      </w:r>
      <w:r w:rsidR="00C92530">
        <w:fldChar w:fldCharType="separate"/>
      </w:r>
      <w:r w:rsidR="00C92530" w:rsidRPr="00C92530">
        <w:rPr>
          <w:noProof/>
        </w:rPr>
        <w:t>(Fridolfsson et al. 1998; Matsubara et al. 2006; Nam &amp; Ellegren 2008)</w:t>
      </w:r>
      <w:r w:rsidR="00C92530">
        <w:fldChar w:fldCharType="end"/>
      </w:r>
      <w:r>
        <w:t xml:space="preserve">. </w:t>
      </w:r>
      <w:r w:rsidR="001A64C7">
        <w:t>Unlike mammals, i</w:t>
      </w:r>
      <w:r>
        <w:t>n birds the female is</w:t>
      </w:r>
      <w:r w:rsidR="004F297A">
        <w:t xml:space="preserve"> the</w:t>
      </w:r>
      <w:r>
        <w:t xml:space="preserve"> heterogametic</w:t>
      </w:r>
      <w:r w:rsidR="004F297A">
        <w:t xml:space="preserve"> sex</w:t>
      </w:r>
      <w:r>
        <w:t xml:space="preserve"> (WZ) and the male is homogametic (ZZ). The Z chromosome evolves faster than the W (ratio estimates vary between 1.7 </w:t>
      </w:r>
      <w:r w:rsidR="00C92530">
        <w:t>to</w:t>
      </w:r>
      <w:r>
        <w:t xml:space="preserve"> 6.5 times faster), exhibiting the “Faster-Z effect”, which has been documented across a wide range of species </w:t>
      </w:r>
      <w:r w:rsidR="00C92530">
        <w:fldChar w:fldCharType="begin" w:fldLock="1"/>
      </w:r>
      <w:r w:rsidR="0019217D">
        <w:instrText>ADDIN CSL_CITATION { "citationItems" : [ { "id" : "ITEM-1", "itemData" : { "DOI" : "10.1038/jid.2014.371", "ISBN" : "6176321972", "ISSN" : "15378276", "PMID" : "1000000221", "abstract" : "Population genetics theory predicts that X (or Z) chromosomes could play disproportionate roles in speciation and evolutionary divergence, and recent genome-wide analyses have identified situations in which X- or Z-linked divergence exceeds that on the autosomes (the \u201cfaster-X effect\u201d). Here, we summarize the current state of both the theory and data surrounding the study of faster-X evolution. Our survey indicates that the faster-X effect is pervasive across a taxonomically diverse array of evolutionary lineages. These patterns could be informative of the the dominance/recessivity of beneficial mutations and the nature of genetic variation acted upon by natural selection. We also identify several aspects of disagreement between these empirical results and the population genetic models used to interpret them. However, there are clearly delineated aspects of the problem for which additional modeling and collection of genomic data will address these discrepancies and provide novel insights into the population genetics of adaptation.", "author" : [ { "dropping-particle" : "", "family" : "Meisel", "given" : "RP", "non-dropping-particle" : "", "parse-names" : false, "suffix" : "" }, { "dropping-particle" : "", "family" : "Connallon", "given" : "T", "non-dropping-particle" : "", "parse-names" : false, "suffix" : "" } ], "container-title" : "Trends in genetics", "id" : "ITEM-1", "issue" : "9", "issued" : { "date-parts" : [ [ "2013" ] ] }, "page" : "537-544", "title" : "The faster-X effect: integrating theory and data", "type" : "article-journal", "volume" : "29" }, "uris" : [ "http://www.mendeley.com/documents/?uuid=029e3cc0-d945-42f3-b556-e0695f20a92e" ] } ], "mendeley" : { "formattedCitation" : "(Meisel &amp; Connallon 2013)", "plainTextFormattedCitation" : "(Meisel &amp; Connallon 2013)", "previouslyFormattedCitation" : "(Meisel &amp; Connallon 2013)" }, "properties" : { "noteIndex" : 0 }, "schema" : "https://github.com/citation-style-language/schema/raw/master/csl-citation.json" }</w:instrText>
      </w:r>
      <w:r w:rsidR="00C92530">
        <w:fldChar w:fldCharType="separate"/>
      </w:r>
      <w:r w:rsidR="00C92530" w:rsidRPr="00C92530">
        <w:rPr>
          <w:noProof/>
        </w:rPr>
        <w:t>(Meisel &amp; Connallon 2013)</w:t>
      </w:r>
      <w:r w:rsidR="00C92530">
        <w:fldChar w:fldCharType="end"/>
      </w:r>
      <w:r>
        <w:t xml:space="preserve">. In chickens, </w:t>
      </w:r>
      <w:r w:rsidR="003516CA">
        <w:t>this effect is not due to a gender-specific</w:t>
      </w:r>
      <w:r>
        <w:t xml:space="preserve"> mutation bias, but rather the ineffectiveness of selection on the Z chromosome</w:t>
      </w:r>
      <w:r w:rsidR="00A6726B">
        <w:t>,</w:t>
      </w:r>
      <w:r w:rsidR="00E53ED3">
        <w:t xml:space="preserve"> enabling mildly deleterious mutations to become fixed through genetic drift</w:t>
      </w:r>
      <w:r w:rsidR="00C92530">
        <w:t xml:space="preserve"> </w:t>
      </w:r>
      <w:r w:rsidR="0019217D">
        <w:fldChar w:fldCharType="begin" w:fldLock="1"/>
      </w:r>
      <w:r w:rsidR="00AC6BB7">
        <w:instrText>ADDIN CSL_CITATION { "citationItems" : [ { "id" : "ITEM-1", "itemData" : { "DOI" : "10.1093/molbev/msh157", "ISSN" : "0737-4038", "PMID" : "15140948", "abstract" : "To investigate mutation-rate variation between autosomes and sex chromosomes in the avian genome, we have analyzed divergence between chicken (Gallus gallus) and turkey (Meleagris galopavo) sequences from 33 autosomal, 28 Z-linked, and 14 W-linked introns with a total ungapped alignment length of approximately 43,000 bp. There are pronounced differences in the mean divergence among autosomes and sex chromosomes (autosomes [A] = 10.08%, Z chromosome = 10.99%, and W chromosome = 5.74%), and we use these data to estimate the male-to-female mutation-rate ratio (alpha(m)) from Z/A, Z/W, and A/W comparisons at 1.71, 2.37, and 2.52, respectively. Because the alpha(m) estimates of the three comparisons do not differ significantly, we find no statistical support for a specific reduction in the Z chromosome mutation rate (Z reduction estimated at 4.89%, P = 0.286). The idea of mutation-rate reduction in the sex chromosome hemizygous in one sex (i.e., X in mammals, Z in birds) has been suggested on the basis of theory on adaptive mutation-rate evolution. If it exists in birds, the effect would, thus, seem to be weak; a preliminary power analysis suggests that it is significantly less than 18%. Because divergence may vary within chromosomal classes as a result of variation in mutation and/or selection, we developed a novel double-bootstrapping method, bootstrapping both by introns and sites from concatenated alignments, to estimate confidence intervals for chromosomal class rates and for alpha(m). The narrowest interval for the alpha(m) estimate is 1.88 to 2.97 from the Z/W comparison. We also estimated alpha(m) using maximum likelihood on data from all three chromosome classes; this method yielded alpha(m) = 2.47 and approximate 95% confidence intervals of 2.27 to 2.68. Our data are broadly consistent with the idea that mutation-rate differences between chromosomal classes can be explained by the male mutation bias alone.", "author" : [ { "dropping-particle" : "", "family" : "Axelsson", "given" : "Erik", "non-dropping-particle" : "", "parse-names" : false, "suffix" : "" }, { "dropping-particle" : "", "family" : "Smith", "given" : "Nick G C", "non-dropping-particle" : "", "parse-names" : false, "suffix" : "" }, { "dropping-particle" : "", "family" : "Sundstr\u00f6m", "given" : "Hannah", "non-dropping-particle" : "", "parse-names" : false, "suffix" : "" }, { "dropping-particle" : "", "family" : "Berlin", "given" : "Sofia", "non-dropping-particle" : "", "parse-names" : false, "suffix" : "" }, { "dropping-particle" : "", "family" : "Ellegren", "given" : "Hans", "non-dropping-particle" : "", "parse-names" : false, "suffix" : "" } ], "container-title" : "Molecular biology and evolution", "id" : "ITEM-1", "issue" : "8", "issued" : { "date-parts" : [ [ "2004", "8" ] ] }, "note" : "Studied mutation rate and mutation-rate variation between the autosomes and sex chromosomes. The mutation rate ratios do not differ dignificantly between the three comparisions (AW, AZ, ZW) so suggestion of mutation rate reduction in the hemizygous sex chromosome (Z) are unfounded in birds (unlike in mammals) with an effect of significantly less than 18%. The evidence is consistent with differential rates on the Z being based by male mutation bias alone.\nThis was done looking at intronic regions on autosomes, and the W and Z chromosomes.\n\n\nTwo theories for differential mutation biases: 1) males have a much larger number of germline cell divisions increasing the number of mutations; 2) expect reduced mutation rate on the X (or Z) due to hemizygous exposure of deleterious recessive mutations - currently little evidence forthis.\n\n\nAvian sex chromosomes evolved independently of those in mammals. The Z should evolve faster than W, and it does. Although this estimation varies wildly (ratio range between 1.7 and 6.5 - donfidence intervals are large and estimates are based on short sequences).\nPotential evidence points towards male mutation bias being lower in Galliforms than other birds - but this is not substantiated here. Also potential links between male mutation bias and life history - an affect also seen in mammals - as breeding in galliforms occurs around 1 year a weak male mutation bias is consistent.", "page" : "1538-47", "title" : "Male-biased mutation rate and divergence in autosomal, z-linked and w-linked introns of chicken and Turkey.", "type" : "article-journal", "volume" : "21" }, "uris" : [ "http://www.mendeley.com/documents/?uuid=580fb985-2fa5-4f4a-946a-f9740a008f8e" ] }, { "id" : "ITEM-2", "itemData" : { "DOI" : "10.1016/j.tree.2008.09.010", "ISBN" : "01695347", "ISSN" : "01695347", "PMID" : "19100654", "abstract" : "In species with separate sexes, sex determination often has a genetic basis, and in a wide diversity of taxa a pair of cytologically distinguishable 'sex chromosomes' are found such that the chromosome complements of males and females differ (males are often XY and females XX, but sometimes females are ZW whereas males are ZZ). Recent evidence from sequences of sex-linked genes confirms classical genetic evidence that these chromosomes are a homologous pair, evolved from a normal chromosome pair, between which recombination stopped. We discuss why sex chromosomes evolve reduced recombination and why different parts of the chromosomes stopped recombining at different times, and outline some of the consequences of suppressed recombination, including the evolution of chromosome heteromorphism. ?? 2008 Elsevier Ltd. All rights reserved.", "author" : [ { "dropping-particle" : "", "family" : "Bergero", "given" : "Roberta", "non-dropping-particle" : "", "parse-names" : false, "suffix" : "" }, { "dropping-particle" : "", "family" : "Charlesworth", "given" : "Deborah", "non-dropping-particle" : "", "parse-names" : false, "suffix" : "" } ], "container-title" : "Trends in Ecology and Evolution", "id" : "ITEM-2", "issue" : "2", "issued" : { "date-parts" : [ [ "2009" ] ] }, "page" : "94-102", "title" : "The evolution of restricted recombination in sex chromosomes", "type" : "article-journal", "volume" : "24" }, "uris" : [ "http://www.mendeley.com/documents/?uuid=f3a1c343-a79d-4ac4-a4ff-6bb06a007830" ] }, { "id" : "ITEM-3", "itemData" : { "DOI" : "10.1111/mec.13113", "ISSN" : "1365294X", "PMID" : "25689782", "abstract" : "Higher rates of coding sequence evolution have been observed on the Z chromosome relative to the autosomes across a wide range of species. However, despite a considerable body of theory, we lack empirical evidence explaining variation in the strength of the Faster-Z Effect. To assess the magnitude and drivers of Faster-Z Evolution, we assembled six de novo transcriptomes, spanning 90 million years of avian evolution. Our analysis combines expression, sequence and polymorphism data with measures of sperm competition and promiscuity. In doing so, we present the first empirical evidence demonstrating the positive relationship between Faster-Z Effect and measures of promiscuity, and therefore variance in male mating success. Our results from multiple lines of evidence indicate that selection is less effective on the Z chromosome, particularly in promiscuous species, and that Faster-Z Evolution in birds is due primarily to genetic drift. Our results reveal the power of mating system and sexual selection in shaping broad patterns in genome evolution.", "author" : [ { "dropping-particle" : "", "family" : "Wright", "given" : "Alison E.", "non-dropping-particle" : "", "parse-names" : false, "suffix" : "" }, { "dropping-particle" : "", "family" : "Harrison", "given" : "Peter W.", "non-dropping-particle" : "", "parse-names" : false, "suffix" : "" }, { "dropping-particle" : "", "family" : "Zimmer", "given" : "Fabian", "non-dropping-particle" : "", "parse-names" : false, "suffix" : "" }, { "dropping-particle" : "", "family" : "Montgomery", "given" : "Stephen H.", "non-dropping-particle" : "", "parse-names" : false, "suffix" : "" }, { "dropping-particle" : "", "family" : "Pointer", "given" : "Marie A.", "non-dropping-particle" : "", "parse-names" : false, "suffix" : "" }, { "dropping-particle" : "", "family" : "Mank", "given" : "Judith E.", "non-dropping-particle" : "", "parse-names" : false, "suffix" : "" } ], "container-title" : "Molecular Ecology", "id" : "ITEM-3", "issue" : "6", "issued" : { "date-parts" : [ [ "2015" ] ] }, "page" : "1218-1235", "title" : "Variation in promiscuity and sexual selection drives avian rate of Faster-Z evolution", "type" : "article-journal", "volume" : "24" }, "uris" : [ "http://www.mendeley.com/documents/?uuid=161c24ea-e217-4535-826a-9be86106db5c" ] } ], "mendeley" : { "formattedCitation" : "(Axelsson et al. 2004; Bergero &amp; Charlesworth 2009; Wright et al. 2015)", "plainTextFormattedCitation" : "(Axelsson et al. 2004; Bergero &amp; Charlesworth 2009; Wright et al. 2015)", "previouslyFormattedCitation" : "(Axelsson et al. 2004; Bergero &amp; Charlesworth 2009; Wright et al. 2015)" }, "properties" : { "noteIndex" : 0 }, "schema" : "https://github.com/citation-style-language/schema/raw/master/csl-citation.json" }</w:instrText>
      </w:r>
      <w:r w:rsidR="0019217D">
        <w:fldChar w:fldCharType="separate"/>
      </w:r>
      <w:r w:rsidR="0019217D" w:rsidRPr="0019217D">
        <w:rPr>
          <w:noProof/>
        </w:rPr>
        <w:t>(Axelsson et al. 2004; Bergero &amp; Charlesworth 2009; Wright et al. 2015)</w:t>
      </w:r>
      <w:r w:rsidR="0019217D">
        <w:fldChar w:fldCharType="end"/>
      </w:r>
      <w:r w:rsidR="00C92530">
        <w:t>.</w:t>
      </w:r>
      <w:r w:rsidR="00F1532B">
        <w:t xml:space="preserve"> </w:t>
      </w:r>
    </w:p>
    <w:p w14:paraId="75CD2A4A" w14:textId="1F8BB9B7" w:rsidR="009C6E22" w:rsidRDefault="009C6E22" w:rsidP="00391005">
      <w:pPr>
        <w:pStyle w:val="ListParagraph"/>
      </w:pPr>
    </w:p>
    <w:p w14:paraId="4E6072C7" w14:textId="38A67A3B" w:rsidR="009C6E22" w:rsidRDefault="009C6E22" w:rsidP="009C6E22">
      <w:pPr>
        <w:pStyle w:val="Heading4"/>
      </w:pPr>
      <w:r>
        <w:t xml:space="preserve">Chicken </w:t>
      </w:r>
      <w:r w:rsidR="003516CA">
        <w:t>genomic resources</w:t>
      </w:r>
    </w:p>
    <w:p w14:paraId="67B3B4D4" w14:textId="2A57FDA3" w:rsidR="006E23B7" w:rsidRDefault="00E0371D" w:rsidP="00391005">
      <w:pPr>
        <w:pStyle w:val="ListParagraph"/>
      </w:pPr>
      <w:r>
        <w:t xml:space="preserve">The chicken reference genome has undergone several revisions since the publication of the </w:t>
      </w:r>
      <w:r w:rsidR="006706C3">
        <w:t xml:space="preserve">first </w:t>
      </w:r>
      <w:r>
        <w:t>draft in 2004. At the beginning of this project version 4.0 (Gallus_gallus4.0; Galgal4) was majorly revised to correct errors on the Z chromosome, but still lacked chromosome-level assemblies for nine microchromosomes (29-31, 33-38) and the assemblies for chromosomes 16, 25, 32 and W were far shorter than their known lengths. T</w:t>
      </w:r>
      <w:r w:rsidR="006706C3">
        <w:t>he t</w:t>
      </w:r>
      <w:r>
        <w:t>otal assembly length was 1.05 Gbp, suggesting that at</w:t>
      </w:r>
      <w:r w:rsidR="009C6E22">
        <w:t xml:space="preserve"> least</w:t>
      </w:r>
      <w:r>
        <w:t xml:space="preserve"> 2</w:t>
      </w:r>
      <w:r w:rsidR="00662B8E">
        <w:t>00 M</w:t>
      </w:r>
      <w:r>
        <w:t>b of the genome was yet unsequenced</w:t>
      </w:r>
      <w:r w:rsidR="00C32E0C">
        <w:t xml:space="preserve"> (Gregory 2017)</w:t>
      </w:r>
      <w:r>
        <w:t xml:space="preserve">.  </w:t>
      </w:r>
      <w:r w:rsidR="006706C3">
        <w:t xml:space="preserve">However, the chicken genome is constantly being improved and during this project the new Galgal5 assembly was produced </w:t>
      </w:r>
      <w:r w:rsidR="006706C3">
        <w:fldChar w:fldCharType="begin" w:fldLock="1"/>
      </w:r>
      <w:r w:rsidR="007B5433">
        <w:instrText>ADDIN CSL_CITATION { "citationItems" : [ { "id" : "ITEM-1", "itemData" : { "DOI" : "10.1534/g3.116.035923", "ISSN" : "2160-1836", "PMID" : "27852011", "abstract" : "The importance of the Gallus gallus (chicken) as a model organism and agricultural animal merits a continuation of sequence assembly improvement efforts. We present a new version of the chicken genome assembly (Gallus_gallus-5.0; GCA_000002315.3) built from combined long single molecule sequencing technology, finished BACs, and improved physical maps. In overall assembled bases, we see a gain of 183 Mb including 16.4 Mb in placed chromosomes with a corresponding gain in the percentage of intact repeat elements characterized. Of the 1.21 Gb genome, we include three previously missing autosomes, GGA30, 31 and 33 and improve sequence contig length 10-fold over the previous Gallus_gallus-4.0. Despite the significant base representation improvements made, 138 Mb of sequence is not yet located to chromosomes. Gallus_gallus-5.0 when annotated for gene content shows an increase of 4,679 annotated genes, 2,768 non-coding and 1,911 protein-coding, over those in Gallus_gallus-4.0. We also revisited the question of what genes are missing in the avian lineage, as assessed by the highest quality avian genome assembly to date, and found that a large fraction of the original set of missing genes are still absent in sequenced bird species. Finally, our new data support a detailed map of MHC-B encompassing two segments; one with a highly stable gene copy number and another in which the gene copy number is highly variable. The chicken model has been a critical resource for many other fields of study, and this new reference assembly will substantially further these efforts.", "author" : [ { "dropping-particle" : "", "family" : "Warren", "given" : "Wesley C", "non-dropping-particle" : "", "parse-names" : false, "suffix" : "" }, { "dropping-particle" : "", "family" : "Hillier", "given" : "LaDeana W", "non-dropping-particle" : "", "parse-names" : false, "suffix" : "" }, { "dropping-particle" : "", "family" : "Tomlinson", "given" : "Chad", "non-dropping-particle" : "", "parse-names" : false, "suffix" : "" }, { "dropping-particle" : "", "family" : "Minx", "given" : "Patrick", "non-dropping-particle" : "", "parse-names" : false, "suffix" : "" }, { "dropping-particle" : "", "family" : "Kremitzki", "given" : "Milinn", "non-dropping-particle" : "", "parse-names" : false, "suffix" : "" }, { "dropping-particle" : "", "family" : "Graves", "given" : "Tina", "non-dropping-particle" : "", "parse-names" : false, "suffix" : "" }, { "dropping-particle" : "", "family" : "Markovic", "given" : "Chris", "non-dropping-particle" : "", "parse-names" : false, "suffix" : "" }, { "dropping-particle" : "", "family" : "Bouk", "given" : "Nathan", "non-dropping-particle" : "", "parse-names" : false, "suffix" : "" }, { "dropping-particle" : "", "family" : "Pruitt", "given" : "Kim D",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"Mansour", "given" : "Tamer A", "non-dropping-particle" : "", "parse-names" : false, "suffix" : "" }, { "dropping-particle" : "", "family" : "Brown", "given" : "C Titus", "non-dropping-particle" : "", "parse-names" : false, "suffix" : "" }, { "dropping-particle" : "", "family" : "Zimin", "given" : "Aleksey", "non-dropping-particle" : "", "parse-names" : false, "suffix" : "" }, { "dropping-particle" : "", "family" : "Hawken", "given" : "Rachel", "non-dropping-particle" : "", "parse-names" : false, "suffix" : "" }, { "dropping-particle" : "", "family" : "Abrahamsen", "given" : "Mitch", "non-dropping-particle" : "", "parse-names" : false, "suffix" : "" }, { "dropping-particle" : "", "family" : "Pyrkosz", "given" : "Alexis B", "non-dropping-particle" : "", "parse-names" : false, "suffix" : "" }, { "dropping-particle" : "", "family" : "Morisson", "given" : "Mireille", "non-dropping-particle" : "", "parse-names" : false, "suffix" : "" }, { "dropping-particle" : "", "family" : "Fillon", "given" : "Valerie", "non-dropping-particle" : "", "parse-names" : false, "suffix" : "" }, { "dropping-particle" : "", "family" : "Vignal", "given" : "Alain", "non-dropping-particle" : "", "parse-names" : false, "suffix" : "" }, { "dropping-particle" : "", "family" : "Chow", "given" : "William", "non-dropping-particle" : "", "parse-names" : false, "suffix" : "" }, { "dropping-particle" : "", "family" : "Howe", "given" : "Kerstin", "non-dropping-particle" : "", "parse-names" : false, "suffix" : "" }, { "dropping-particle" : "", "family" : "Fulton", "given" : "Janet E", "non-dropping-particle" : "", "parse-names" : false, "suffix" : "" }, { "dropping-particle" : "", "family" : "Miller", "given" : "Marcia M", "non-dropping-particle" : "", "parse-names" : false, "suffix" : "" }, { "dropping-particle" : "", "family" : "Lovell", "given" : "Peter", "non-dropping-particle" : "", "parse-names" : false, "suffix" : "" }, { "dropping-particle" : "V", "family" : "Mello", "given" : "Claudio", "non-dropping-particle" : "", "parse-names" : false, "suffix" : "" }, { "dropping-particle" : "", "family" : "Wirthlin", "given" : "Morgan", "non-dropping-particle" : "", "parse-names" : false, "suffix" : "" }, { "dropping-particle" : "", "family" : "Mason", "given" : "Andrew S", "non-dropping-particle" : "", "parse-names" : false, "suffix" : "" }, { "dropping-particle" : "", "family" : "Kuo", "given" : "Richard", "non-dropping-particle" : "", "parse-names" : false, "suffix" : "" }, { "dropping-particle" : "", "family" : "Burt", "given" : "David W", "non-dropping-particle" : "", "parse-names" : false, "suffix" : "" }, { "dropping-particle" : "", "family" : "Dodgson", "given" : "Jerry B", "non-dropping-particle" : "", "parse-names" : false, "suffix" : "" }, { "dropping-particle" : "", "family" : "Cheng", "given" : "Hans H", "non-dropping-particle" : "", "parse-names" : false, "suffix" : "" } ], "container-title" : "G3 (Bethesda, Md.)", "id" : "ITEM-1", "issue" : "January", "issued" : { "date-parts" : [ [ "2017" ] ] }, "page" : "g3.116.035923", "title" : "A New Chicken Genome Assembly Provides Insight into Avian Genome Structure.", "type" : "article-journal", "volume" : "7" }, "uris" : [ "http://www.mendeley.com/documents/?uuid=0333b8f9-3b6f-4eee-aa95-22b74aba53b7" ] } ], "mendeley" : { "formattedCitation" : "(Warren et al. 2017)", "plainTextFormattedCitation" : "(Warren et al. 2017)", "previouslyFormattedCitation" : "(Warren et al. 2017)" }, "properties" : { "noteIndex" : 0 }, "schema" : "https://github.com/citation-style-language/schema/raw/master/csl-citation.json" }</w:instrText>
      </w:r>
      <w:r w:rsidR="006706C3">
        <w:fldChar w:fldCharType="separate"/>
      </w:r>
      <w:r w:rsidR="006706C3" w:rsidRPr="006706C3">
        <w:rPr>
          <w:noProof/>
        </w:rPr>
        <w:t>(Warren et al. 2017)</w:t>
      </w:r>
      <w:r w:rsidR="006706C3">
        <w:fldChar w:fldCharType="end"/>
      </w:r>
      <w:r w:rsidR="006706C3">
        <w:t xml:space="preserve">, and the release of Galgal6 is predicted for next year. </w:t>
      </w:r>
    </w:p>
    <w:p w14:paraId="605B18A6" w14:textId="76B36EA7" w:rsidR="00E0371D" w:rsidRDefault="006706C3" w:rsidP="00391005">
      <w:pPr>
        <w:pStyle w:val="ListParagraph"/>
      </w:pPr>
      <w:r>
        <w:lastRenderedPageBreak/>
        <w:t>Such active development is both a blessing and a hindrance for the researcher. The genome sequence is constantly imp</w:t>
      </w:r>
      <w:r w:rsidR="006E23B7">
        <w:t>roving and better reflecting</w:t>
      </w:r>
      <w:r>
        <w:t xml:space="preserve"> true chicken biology, but the release of three assemblies in seven years </w:t>
      </w:r>
      <w:r w:rsidR="006E23B7">
        <w:t>means that annotated genomic coordinates and gene feature models are constantly changing. In addition, the knowledge that a new assembly is just around the corner has made genome database organisations, such as NCB</w:t>
      </w:r>
      <w:r w:rsidR="00C92762">
        <w:t>I or Ensembl, loath to rerun</w:t>
      </w:r>
      <w:r w:rsidR="006E23B7">
        <w:t xml:space="preserve"> their annotation pipelines. Despite this, the chicken genome annotation is one of the best outside mouse and human, due to considerable research effort and the availability of </w:t>
      </w:r>
      <w:r w:rsidR="000D63A0">
        <w:t>NGS</w:t>
      </w:r>
      <w:r w:rsidR="006E23B7">
        <w:t xml:space="preserve"> data across a wide range of tissues and developmental stages. </w:t>
      </w:r>
      <w:r w:rsidR="007B5433">
        <w:t xml:space="preserve">Improvements to both genome and annotation quality during the course of this project have been facilitated by the development of long read sequencing technologies and high resolution optic mapping </w:t>
      </w:r>
      <w:r w:rsidR="007B5433">
        <w:fldChar w:fldCharType="begin" w:fldLock="1"/>
      </w:r>
      <w:r w:rsidR="006B6A7E">
        <w:instrText>ADDIN CSL_CITATION { "citationItems" : [ { "id" : "ITEM-1", "itemData" : { "DOI" : "10.1186/s12864-017-3691-9", "ISSN" : "1471-2164", "author" : [ { "dropping-particle" : "", "family" : "Kuo", "given" : "RI", "non-dropping-particle" : "", "parse-names" : false, "suffix" : "" }, { "dropping-particle" : "", "family" : "Tseng", "given" : "E", "non-dropping-particle" : "", "parse-names" : false, "suffix" : "" }, { "dropping-particle" : "", "family" : "Eory", "given" : "L", "non-dropping-particle" : "", "parse-names" : false, "suffix" : "" }, { "dropping-particle" : "", "family" : "Paton", "given" : "IR", "non-dropping-particle" : "", "parse-names" : false, "suffix" : "" }, { "dropping-particle" : "", "family" : "Archibald", "given" : "AL", "non-dropping-particle" : "", "parse-names" : false, "suffix" : "" }, { "dropping-particle" : "", "family" : "Burt", "given" : "DW", "non-dropping-particle" : "", "parse-names" : false, "suffix" : "" } ], "container-title" : "BMC Genomics", "id" : "ITEM-1", "issue" : "323", "issued" : { "date-parts" : [ [ "2017" ] ] }, "page" : "1-19", "publisher" : "BMC Genomics", "title" : "Normalized long-read RNA sequencing in chicken reveals transcriptome complexity similar to human", "type" : "article-journal", "volume" : "18" }, "uris" : [ "http://www.mendeley.com/documents/?uuid=1948590f-a9d1-4ea9-bc2a-52a9154df6c4" ] }, { "id" : "ITEM-2", "itemData" : { "DOI" : "10.1534/g3.116.035923", "ISSN" : "2160-1836", "PMID" : "27852011", "abstract" : "The importance of the Gallus gallus (chicken) as a model organism and agricultural animal merits a continuation of sequence assembly improvement efforts. We present a new version of the chicken genome assembly (Gallus_gallus-5.0; GCA_000002315.3) built from combined long single molecule sequencing technology, finished BACs, and improved physical maps. In overall assembled bases, we see a gain of 183 Mb including 16.4 Mb in placed chromosomes with a corresponding gain in the percentage of intact repeat elements characterized. Of the 1.21 Gb genome, we include three previously missing autosomes, GGA30, 31 and 33 and improve sequence contig length 10-fold over the previous Gallus_gallus-4.0. Despite the significant base representation improvements made, 138 Mb of sequence is not yet located to chromosomes. Gallus_gallus-5.0 when annotated for gene content shows an increase of 4,679 annotated genes, 2,768 non-coding and 1,911 protein-coding, over those in Gallus_gallus-4.0. We also revisited the question of what genes are missing in the avian lineage, as assessed by the highest quality avian genome assembly to date, and found that a large fraction of the original set of missing genes are still absent in sequenced bird species. Finally, our new data support a detailed map of MHC-B encompassing two segments; one with a highly stable gene copy number and another in which the gene copy number is highly variable. The chicken model has been a critical resource for many other fields of study, and this new reference assembly will substantially further these efforts.", "author" : [ { "dropping-particle" : "", "family" : "Warren", "given" : "Wesley C", "non-dropping-particle" : "", "parse-names" : false, "suffix" : "" }, { "dropping-particle" : "", "family" : "Hillier", "given" : "LaDeana W", "non-dropping-particle" : "", "parse-names" : false, "suffix" : "" }, { "dropping-particle" : "", "family" : "Tomlinson", "given" : "Chad", "non-dropping-particle" : "", "parse-names" : false, "suffix" : "" }, { "dropping-particle" : "", "family" : "Minx", "given" : "Patrick", "non-dropping-particle" : "", "parse-names" : false, "suffix" : "" }, { "dropping-particle" : "", "family" : "Kremitzki", "given" : "Milinn", "non-dropping-particle" : "", "parse-names" : false, "suffix" : "" }, { "dropping-particle" : "", "family" : "Graves", "given" : "Tina", "non-dropping-particle" : "", "parse-names" : false, "suffix" : "" }, { "dropping-particle" : "", "family" : "Markovic", "given" : "Chris", "non-dropping-particle" : "", "parse-names" : false, "suffix" : "" }, { "dropping-particle" : "", "family" : "Bouk", "given" : "Nathan", "non-dropping-particle" : "", "parse-names" : false, "suffix" : "" }, { "dropping-particle" : "", "family" : "Pruitt", "given" : "Kim D",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"Mansour", "given" : "Tamer A", "non-dropping-particle" : "", "parse-names" : false, "suffix" : "" }, { "dropping-particle" : "", "family" : "Brown", "given" : "C Titus", "non-dropping-particle" : "", "parse-names" : false, "suffix" : "" }, { "dropping-particle" : "", "family" : "Zimin", "given" : "Aleksey", "non-dropping-particle" : "", "parse-names" : false, "suffix" : "" }, { "dropping-particle" : "", "family" : "Hawken", "given" : "Rachel", "non-dropping-particle" : "", "parse-names" : false, "suffix" : "" }, { "dropping-particle" : "", "family" : "Abrahamsen", "given" : "Mitch", "non-dropping-particle" : "", "parse-names" : false, "suffix" : "" }, { "dropping-particle" : "", "family" : "Pyrkosz", "given" : "Alexis B", "non-dropping-particle" : "", "parse-names" : false, "suffix" : "" }, { "dropping-particle" : "", "family" : "Morisson", "given" : "Mireille", "non-dropping-particle" : "", "parse-names" : false, "suffix" : "" }, { "dropping-particle" : "", "family" : "Fillon", "given" : "Valerie", "non-dropping-particle" : "", "parse-names" : false, "suffix" : "" }, { "dropping-particle" : "", "family" : "Vignal", "given" : "Alain", "non-dropping-particle" : "", "parse-names" : false, "suffix" : "" }, { "dropping-particle" : "", "family" : "Chow", "given" : "William", "non-dropping-particle" : "", "parse-names" : false, "suffix" : "" }, { "dropping-particle" : "", "family" : "Howe", "given" : "Kerstin", "non-dropping-particle" : "", "parse-names" : false, "suffix" : "" }, { "dropping-particle" : "", "family" : "Fulton", "given" : "Janet E", "non-dropping-particle" : "", "parse-names" : false, "suffix" : "" }, { "dropping-particle" : "", "family" : "Miller", "given" : "Marcia M", "non-dropping-particle" : "", "parse-names" : false, "suffix" : "" }, { "dropping-particle" : "", "family" : "Lovell", "given" : "Peter", "non-dropping-particle" : "", "parse-names" : false, "suffix" : "" }, { "dropping-particle" : "V", "family" : "Mello", "given" : "Claudio", "non-dropping-particle" : "", "parse-names" : false, "suffix" : "" }, { "dropping-particle" : "", "family" : "Wirthlin", "given" : "Morgan", "non-dropping-particle" : "", "parse-names" : false, "suffix" : "" }, { "dropping-particle" : "", "family" : "Mason", "given" : "Andrew S", "non-dropping-particle" : "", "parse-names" : false, "suffix" : "" }, { "dropping-particle" : "", "family" : "Kuo", "given" : "Richard", "non-dropping-particle" : "", "parse-names" : false, "suffix" : "" }, { "dropping-particle" : "", "family" : "Burt", "given" : "David W", "non-dropping-particle" : "", "parse-names" : false, "suffix" : "" }, { "dropping-particle" : "", "family" : "Dodgson", "given" : "Jerry B", "non-dropping-particle" : "", "parse-names" : false, "suffix" : "" }, { "dropping-particle" : "", "family" : "Cheng", "given" : "Hans H", "non-dropping-particle" : "", "parse-names" : false, "suffix" : "" } ], "container-title" : "G3 (Bethesda, Md.)", "id" : "ITEM-2", "issue" : "January", "issued" : { "date-parts" : [ [ "2017" ] ] }, "page" : "g3.116.035923", "title" : "A New Chicken Genome Assembly Provides Insight into Avian Genome Structure.", "type" : "article-journal", "volume" : "7" }, "uris" : [ "http://www.mendeley.com/documents/?uuid=0333b8f9-3b6f-4eee-aa95-22b74aba53b7" ] } ], "mendeley" : { "formattedCitation" : "(Kuo et al. 2017; Warren et al. 2017)", "plainTextFormattedCitation" : "(Kuo et al. 2017; Warren et al. 2017)", "previouslyFormattedCitation" : "(Kuo et al. 2017; Warren et al. 2017)" }, "properties" : { "noteIndex" : 0 }, "schema" : "https://github.com/citation-style-language/schema/raw/master/csl-citation.json" }</w:instrText>
      </w:r>
      <w:r w:rsidR="007B5433">
        <w:fldChar w:fldCharType="separate"/>
      </w:r>
      <w:r w:rsidR="007B5433" w:rsidRPr="007B5433">
        <w:rPr>
          <w:noProof/>
        </w:rPr>
        <w:t>(Kuo et al. 2017; Warren et al. 2017)</w:t>
      </w:r>
      <w:r w:rsidR="007B5433">
        <w:fldChar w:fldCharType="end"/>
      </w:r>
      <w:r w:rsidR="007B5433">
        <w:t>.</w:t>
      </w:r>
      <w:r w:rsidR="001A64C7">
        <w:t xml:space="preserve"> In addition, study of chicken breed variation has been aided by the development of a high density 600K SNP chip </w:t>
      </w:r>
      <w:r w:rsidR="001A64C7">
        <w:fldChar w:fldCharType="begin" w:fldLock="1"/>
      </w:r>
      <w:r w:rsidR="007F76D0">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"plainTextFormattedCitation" : "(Kranis et al. 2013)", "previouslyFormattedCitation" : "(Kranis et al. 2013)" }, "properties" : { "noteIndex" : 0 }, "schema" : "https://github.com/citation-style-language/schema/raw/master/csl-citation.json" }</w:instrText>
      </w:r>
      <w:r w:rsidR="001A64C7">
        <w:fldChar w:fldCharType="separate"/>
      </w:r>
      <w:r w:rsidR="001A64C7" w:rsidRPr="001A64C7">
        <w:rPr>
          <w:noProof/>
        </w:rPr>
        <w:t>(Kranis et al. 2013)</w:t>
      </w:r>
      <w:r w:rsidR="001A64C7">
        <w:fldChar w:fldCharType="end"/>
      </w:r>
      <w:r w:rsidR="001A64C7">
        <w:t>.</w:t>
      </w:r>
    </w:p>
    <w:p w14:paraId="32EFD307" w14:textId="0007483B" w:rsidR="009A647B" w:rsidRDefault="009A647B" w:rsidP="00391005">
      <w:pPr>
        <w:pStyle w:val="ListParagraph"/>
      </w:pPr>
    </w:p>
    <w:p w14:paraId="326AB71B" w14:textId="0F7D468A" w:rsidR="009A647B" w:rsidRDefault="009A647B" w:rsidP="009A647B">
      <w:pPr>
        <w:pStyle w:val="Heading4"/>
      </w:pPr>
      <w:r>
        <w:t>Genome stability</w:t>
      </w:r>
    </w:p>
    <w:p w14:paraId="3994AC52" w14:textId="77D0B3C9" w:rsidR="000E7AAE" w:rsidRDefault="00E53ED3" w:rsidP="00391005">
      <w:pPr>
        <w:pStyle w:val="ListParagraph"/>
      </w:pPr>
      <w:r>
        <w:t>The</w:t>
      </w:r>
      <w:r w:rsidR="00A32B40">
        <w:t xml:space="preserve"> 2n = 78 chicken karyotype is very representative of the entire avian lineage, where the karyotype is largely confined to a 2n = 76 to 80 range, </w:t>
      </w:r>
      <w:r w:rsidR="004F297A">
        <w:t>with</w:t>
      </w:r>
      <w:r>
        <w:t xml:space="preserve"> variation due to</w:t>
      </w:r>
      <w:r w:rsidR="00A32B40">
        <w:t xml:space="preserve"> microchromosome fusion events</w:t>
      </w:r>
      <w:r w:rsidR="002568CF">
        <w:t>.</w:t>
      </w:r>
      <w:r w:rsidR="00A32B40">
        <w:t xml:space="preserve"> Similar genome organisation is also found in the distantly related Lepidosauromorpha reptilian lineage, suggesting that the avian karyotype highly resembles that of the amniote ancestor</w:t>
      </w:r>
      <w:r w:rsidR="009A647B">
        <w:t xml:space="preserve"> 310 MYA </w:t>
      </w:r>
      <w:r w:rsidR="00EF6860">
        <w:fldChar w:fldCharType="begin" w:fldLock="1"/>
      </w:r>
      <w:r w:rsidR="00EF6860">
        <w:instrText>ADDIN CSL_CITATION { "citationItems" : [ { "id" : "ITEM-1", "itemData" : { "DOI" : "10.1016/j.tree.2009.12.004", "ISSN" : "0169-5347", "PMID" : "20363047", "abstract" : "Evolution at the molecular level is manifested in a variety of types of change in DNA sequences, including changes in the structure and organisation of chromosomes. However, in birds chromosomal evolution occurs at an unusually slow rate and recent whole-genome comparisons have shown that many chromosomes have remained more or less intact during avian evolution. Here I discuss progress in the development of genetic maps of natural bird populations, which has revealed that the evolutionary stasis of chromosomes often extends to conservation of gene order. The evolutionary stability of bird chromosomes, which might relate to a low frequency of transposable elements, will facilitate the transfer of genomic information from model to non-model organisms and might have a connection to the rarity of postzygotic incompatibilities observed in birds.", "author" : [ { "dropping-particle" : "", "family" : "Ellegren", "given" : "Hans", "non-dropping-particle" : "", "parse-names" : false, "suffix" : "" } ], "container-title" : "Trends in ecology &amp; evolution", "id" : "ITEM-1", "issue" : "5", "issued" : { "date-parts" : [ [ "2010", "5" ] ] }, "note" : "Bird chromosomal evolution occurs at an unusually slow rate.\nKaryotype is very conserved. Usually found to be between 2n=76 and 2n=80 for most species. When karyotype is less than this (the Accipitridae have 2n = 50 - 68) it is due to the fusion of ancestral microchromosomes. Whne a microchromosome fuses to an existing macrochromosome you can still tell the microchromosome signature by GC content and gene/repeat density.\nW is mostly non recombining. Z and W began to differentiate by suppressed recombination of an autosomal pair about 150MYA. Such events have occurred in many clades of the reptiles (including birds and mammals) such as the Z&amp;amp;W in birds are different to the Z&amp;amp;W in lizards and the X&amp;amp;Y in mammals.\nStill unknown whether there is sex-linked female determinant gene, or if (like in Drosophila) it is due to Z dosage. \nLow rate of chromosomal rearrangement may slow down the rate of speciation in birds. As there are more species of birds than mammals, diversifiication must have been due to species radiation - more allopatric blocks than sympatric.", "page" : "283-91", "publisher" : "Elsevier Ltd", "title" : "Evolutionary stasis: the stable chromosomes of birds.", "type" : "article-journal", "volume" : "25" }, "uris" : [ "http://www.mendeley.com/documents/?uuid=ff8d93b6-547a-4b4b-9521-3a531b769dc5" ] } ], "mendeley" : { "formattedCitation" : "(Ellegren 2010)", "manualFormatting" : "(reviewed by Ellegren 2010)", "plainTextFormattedCitation" : "(Ellegren 2010)", "previouslyFormattedCitation" : "(Ellegren 2010)" }, "properties" : { "noteIndex" : 0 }, "schema" : "https://github.com/citation-style-language/schema/raw/master/csl-citation.json" }</w:instrText>
      </w:r>
      <w:r w:rsidR="00EF6860">
        <w:fldChar w:fldCharType="separate"/>
      </w:r>
      <w:r w:rsidR="00EF6860" w:rsidRPr="00EF6860">
        <w:rPr>
          <w:noProof/>
        </w:rPr>
        <w:t>(</w:t>
      </w:r>
      <w:r w:rsidR="00EF6860">
        <w:rPr>
          <w:noProof/>
        </w:rPr>
        <w:t xml:space="preserve">reviewed by </w:t>
      </w:r>
      <w:r w:rsidR="00EF6860" w:rsidRPr="00EF6860">
        <w:rPr>
          <w:noProof/>
        </w:rPr>
        <w:t>Ellegren 2010)</w:t>
      </w:r>
      <w:r w:rsidR="00EF6860">
        <w:fldChar w:fldCharType="end"/>
      </w:r>
      <w:r w:rsidR="009A647B">
        <w:t>.</w:t>
      </w:r>
      <w:r w:rsidR="00570EFE">
        <w:t xml:space="preserve"> Such chromosomal stability is mediated, at least in part, by</w:t>
      </w:r>
      <w:r w:rsidR="004F297A">
        <w:t xml:space="preserve"> the hexanucleotide</w:t>
      </w:r>
      <w:r w:rsidR="002568CF">
        <w:t xml:space="preserve"> tandem repeats near</w:t>
      </w:r>
      <w:r w:rsidR="00570EFE">
        <w:t xml:space="preserve"> the telomeres, which are ten times more abundant in the chick</w:t>
      </w:r>
      <w:r w:rsidR="00662B8E">
        <w:t>en compared with</w:t>
      </w:r>
      <w:r w:rsidR="00570EFE">
        <w:t xml:space="preserve"> mammals, and are present on all chromosomes in active configurations</w:t>
      </w:r>
      <w:r w:rsidR="000E7AAE">
        <w:t xml:space="preserve"> </w:t>
      </w:r>
      <w:r w:rsidR="000E7AAE">
        <w:fldChar w:fldCharType="begin" w:fldLock="1"/>
      </w:r>
      <w:r w:rsidR="001F5362">
        <w:instrText>ADDIN CSL_CITATION { "citationItems" : [ { "id" : "ITEM-1", "itemData" : { "author" : [ { "dropping-particle" : "", "family" : "Delany", "given" : "ME", "non-dropping-particle" : "", "parse-names" : false, "suffix" : "" }, { "dropping-particle" : "", "family" : "Daniels", "given" : "LM", "non-dropping-particle" : "", "parse-names" : false, "suffix" : "" }, { "dropping-particle" : "", "family" : "Swanberg", "given" : "SE", "non-dropping-particle" : "", "parse-names" : false, "suffix" : "" }, { "dropping-particle" : "", "family" : "Taylor", "given" : "HA", "non-dropping-particle" : "", "parse-names" : false, "suffix" : "" } ], "container-title" : "Poultry science", "id" : "ITEM-1", "issued" : { "date-parts" : [ [ "2003" ] ] }, "note" : "Telomeres constructed of highly conserved (among vertebrates) hexanucleotide tandem repeats - 5'-TTAGGG-3'\nThese are added to shortening telomeres (due to the issue with replicating the ends) by telomerase, a ribonucleoprotein enzyme of the reverse transcriptase family. This enzyme controls telomere length and composition by the addition of the hexanucleotide repeats.\nTelomere structure has been suggested in the control of genome stability, cellular aging and oncogenesis. \n\n\nThe chicken has a very compact genome (thought to be due to having less repetitive sequence than mammals etc.), microchromosomes, and a high recombination rate - so is telomere structure/function similar? Yes! In general.\n\n\nChicken has 10x more telomeric DNA than the human (i.e. 10x more of the TTAGGG sequence found within the genome) - odd for a compact genome lacking repetitive DNA, but found that degenerate telomeric DNA is not present, but very abundant in mammals. What telomeric DNA there is is in use. In vivo, telomeres shorten in an age related fashion and telomerase activity varies dependent on developmental stage (high in embryogenesis and down regulates later). \nTelomeric repeats found in all constructed chromosomes (macro and micro), some of the microchromosomes are found to almost completely stain in FISH studies for telomeric repeats.\n\n\nInteresting observation that telomeres are found to enhance recombination - there are hypervariable telomeric regions in chicken lines that are &amp;gt;99% inbred", "page" : "917-926", "title" : "Telomeres in the chicken: genome stability and chromosome ends", "type" : "article-journal", "volume" : "82" }, "uris" : [ "http://www.mendeley.com/documents/?uuid=90ac829b-970f-4dff-889e-31e80995ca86" ] } ], "mendeley" : { "formattedCitation" : "(Delany et al. 2003)", "plainTextFormattedCitation" : "(Delany et al. 2003)", "previouslyFormattedCitation" : "(Delany et al. 2003)" }, "properties" : { "noteIndex" : 0 }, "schema" : "https://github.com/citation-style-language/schema/raw/master/csl-citation.json" }</w:instrText>
      </w:r>
      <w:r w:rsidR="000E7AAE">
        <w:fldChar w:fldCharType="separate"/>
      </w:r>
      <w:r w:rsidR="000E7AAE" w:rsidRPr="000E7AAE">
        <w:rPr>
          <w:noProof/>
        </w:rPr>
        <w:t>(Delany et al. 2003)</w:t>
      </w:r>
      <w:r w:rsidR="000E7AAE">
        <w:fldChar w:fldCharType="end"/>
      </w:r>
      <w:r w:rsidR="00570EFE">
        <w:t xml:space="preserve">. </w:t>
      </w:r>
      <w:r w:rsidR="004F297A">
        <w:t>Recombination rates are</w:t>
      </w:r>
      <w:r w:rsidR="000E7AAE">
        <w:t xml:space="preserve"> </w:t>
      </w:r>
      <w:r w:rsidR="004F297A">
        <w:t xml:space="preserve">also </w:t>
      </w:r>
      <w:r w:rsidR="002568CF">
        <w:t>elevated near</w:t>
      </w:r>
      <w:r w:rsidR="000E7AAE">
        <w:t xml:space="preserve"> the telomeres relative to the chromosomal average, potentially generating the high frequency of tandem repeats responsible for protecting the chromosome ends. Similar findings were later identified in the zebra finch (</w:t>
      </w:r>
      <w:r w:rsidR="000E7AAE" w:rsidRPr="00662F61">
        <w:rPr>
          <w:i/>
        </w:rPr>
        <w:t xml:space="preserve">Taeniopygia </w:t>
      </w:r>
      <w:r w:rsidR="000E7AAE">
        <w:rPr>
          <w:i/>
        </w:rPr>
        <w:t>guttata</w:t>
      </w:r>
      <w:r w:rsidR="000E7AAE">
        <w:t>, 2n = 80) to a greater extent</w:t>
      </w:r>
      <w:r w:rsidR="004F297A">
        <w:t>, supporting the role of</w:t>
      </w:r>
      <w:r w:rsidR="00407FDD">
        <w:t xml:space="preserve"> telomeric DNA in </w:t>
      </w:r>
      <w:r w:rsidR="004F297A">
        <w:t xml:space="preserve">avian </w:t>
      </w:r>
      <w:r w:rsidR="00407FDD">
        <w:t>chromosomal stability</w:t>
      </w:r>
      <w:r w:rsidR="000E7AAE">
        <w:t xml:space="preserve"> </w:t>
      </w:r>
      <w:r w:rsidR="001F5362">
        <w:fldChar w:fldCharType="begin" w:fldLock="1"/>
      </w:r>
      <w:r w:rsidR="00A01AC3">
        <w:instrText>ADDIN CSL_CITATION { "citationItems" : [ { "id" : "ITEM-1", "itemData" : { "DOI" : "10.1101/gr.101410.109", "ISBN" : "1088-9051", "ISSN" : "1549-5469", "PMID" : "20357052", "abstract" : "Understanding the causes and consequences of variation in the rate of recombination is essential since this parameter is considered to affect levels of genetic variability, the efficacy of selection, and the design of association and linkage mapping studies. However, there is limited knowledge about the factors governing recombination rate variation. We genotyped 1920 single nucleotide polymorphisms in a multigeneration pedigree of more than 1000 zebra finches (Taeniopygia guttata) to develop a genetic linkage map, and then we used these map data together with the recently available draft genome sequence of the zebra finch to estimate recombination rates in 1 Mb intervals across the genome. The average zebra finch recombination rate (1.5 cM/Mb) is higher than in humans, but significantly lower than in chicken. The local rates of recombination in chicken and zebra finch were only weakly correlated, demonstrating evolutionary turnover of the recombination landscape in birds. The distribution of recombination events was heavily biased toward ends of chromosomes, with a stronger telomere effect than so far seen in any organism. In fact, the recombination rate was as low as 0.1 cM/Mb in intervals up to 100 Mb long in the middle of the larger chromosomes. We found a positive correlation between recombination rate and GC content, as well as GC-rich sequence motifs. Levels of linkage disequilibrium (LD) were significantly higher in regions of low recombination, showing that heterogeneity in recombination rates have left a footprint on the genomic landscape of LD in zebra finch populations.", "author" : [ { "dropping-particle" : "", "family" : "Backstr\u00f6m", "given" : "Niclas", "non-dropping-particle" : "", "parse-names" : false, "suffix" : "" }, { "dropping-particle" : "", "family" : "Forstmeier", "given" : "Wolfgang", "non-dropping-particle" : "", "parse-names" : false, "suffix" : "" }, { "dropping-particle" : "", "family" : "Schielzeth", "given" : "Holger", "non-dropping-particle" : "", "parse-names" : false, "suffix" : "" }, { "dropping-particle" : "", "family" : "Mellenius", "given" : "Harriet", "non-dropping-particle" : "", "parse-names" : false, "suffix" : "" }, { "dropping-particle" : "", "family" : "Nam", "given" : "Kiwoong", "non-dropping-particle" : "", "parse-names" : false, "suffix" : "" }, { "dropping-particle" : "", "family" : "Bolund", "given" : "Elisabeth", "non-dropping-particle" : "", "parse-names" : false, "suffix" : "" }, { "dropping-particle" : "", "family" : "Webster", "given" : "Matthew T.", "non-dropping-particle" : "", "parse-names" : false, "suffix" : "" }, { "dropping-particle" : "", "family" : "Ost", "given" : "Torbj\u00f6rn", "non-dropping-particle" : "", "parse-names" : false, "suffix" : "" }, { "dropping-particle" : "", "family" : "Schneider", "given" : "Melanie", "non-dropping-particle" : "", "parse-names" : false, "suffix" : "" }, { "dropping-particle" : "", "family" : "Kempenaers", "given" : "Bart", "non-dropping-particle" : "", "parse-names" : false, "suffix" : "" }, { "dropping-particle" : "", "family" : "Ellegren", "given" : "Hans", "non-dropping-particle" : "", "parse-names" : false, "suffix" : "" } ], "container-title" : "Genome Research", "id" : "ITEM-1", "issue" : "4", "issued" : { "date-parts" : [ [ "2010" ] ] }, "page" : "485-95", "title" : "The recombination landscape of the zebra finch &lt;i&gt;Taeniopygia guttata&lt;/i&gt; genome", "type" : "article-journal", "volume" : "20" }, "uris" : [ "http://www.mendeley.com/documents/?uuid=838acc18-549f-44f6-943a-9bcd12d8d045" ] } ], "mendeley" : { "formattedCitation" : "(Backstr\u00f6m et al. 2010)", "plainTextFormattedCitation" : "(Backstr\u00f6m et al. 2010)", "previouslyFormattedCitation" : "(Backstr\u00f6m et al. 2010)" }, "properties" : { "noteIndex" : 0 }, "schema" : "https://github.com/citation-style-language/schema/raw/master/csl-citation.json" }</w:instrText>
      </w:r>
      <w:r w:rsidR="001F5362">
        <w:fldChar w:fldCharType="separate"/>
      </w:r>
      <w:r w:rsidR="001F5362" w:rsidRPr="001F5362">
        <w:rPr>
          <w:noProof/>
        </w:rPr>
        <w:t>(Backström et al. 2010)</w:t>
      </w:r>
      <w:r w:rsidR="001F5362">
        <w:fldChar w:fldCharType="end"/>
      </w:r>
      <w:r w:rsidR="000E7AAE">
        <w:t>.</w:t>
      </w:r>
      <w:r w:rsidR="001F5362">
        <w:t xml:space="preserve"> </w:t>
      </w:r>
    </w:p>
    <w:p w14:paraId="66527521" w14:textId="7C9B11C9" w:rsidR="004F297A" w:rsidRDefault="00A01AC3" w:rsidP="00391005">
      <w:pPr>
        <w:pStyle w:val="ListParagraph"/>
      </w:pPr>
      <w:r>
        <w:t xml:space="preserve">Chicken genome stability goes beyond the highly conserved karyotype, as avian genomes exhibit extended syntenic blocks, even between phylogenetically distant species </w:t>
      </w:r>
      <w:r>
        <w:fldChar w:fldCharType="begin" w:fldLock="1"/>
      </w:r>
      <w:r w:rsidR="009610A8">
        <w:instrText>ADDIN CSL_CITATION { "citationItems" : [ { "id" : "ITEM-1", "itemData" : { "DOI" : "10.1016/j.tree.2009.12.004", "ISSN" : "0169-5347", "PMID" : "20363047", "abstract" : "Evolution at the molecular level is manifested in a variety of types of change in DNA sequences, including changes in the structure and organisation of chromosomes. However, in birds chromosomal evolution occurs at an unusually slow rate and recent whole-genome comparisons have shown that many chromosomes have remained more or less intact during avian evolution. Here I discuss progress in the development of genetic maps of natural bird populations, which has revealed that the evolutionary stasis of chromosomes often extends to conservation of gene order. The evolutionary stability of bird chromosomes, which might relate to a low frequency of transposable elements, will facilitate the transfer of genomic information from model to non-model organisms and might have a connection to the rarity of postzygotic incompatibilities observed in birds.", "author" : [ { "dropping-particle" : "", "family" : "Ellegren", "given" : "Hans", "non-dropping-particle" : "", "parse-names" : false, "suffix" : "" } ], "container-title" : "Trends in ecology &amp; evolution", "id" : "ITEM-1", "issue" : "5", "issued" : { "date-parts" : [ [ "2010", "5" ] ] }, "note" : "Bird chromosomal evolution occurs at an unusually slow rate.\nKaryotype is very conserved. Usually found to be between 2n=76 and 2n=80 for most species. When karyotype is less than this (the Accipitridae have 2n = 50 - 68) it is due to the fusion of ancestral microchromosomes. Whne a microchromosome fuses to an existing macrochromosome you can still tell the microchromosome signature by GC content and gene/repeat density.\nW is mostly non recombining. Z and W began to differentiate by suppressed recombination of an autosomal pair about 150MYA. Such events have occurred in many clades of the reptiles (including birds and mammals) such as the Z&amp;amp;W in birds are different to the Z&amp;amp;W in lizards and the X&amp;amp;Y in mammals.\nStill unknown whether there is sex-linked female determinant gene, or if (like in Drosophila) it is due to Z dosage. \nLow rate of chromosomal rearrangement may slow down the rate of speciation in birds. As there are more species of birds than mammals, diversifiication must have been due to species radiation - more allopatric blocks than sympatric.", "page" : "283-91", "publisher" : "Elsevier Ltd", "title" : "Evolutionary stasis: the stable chromosomes of birds.", "type" : "article-journal", "volume" : "25" }, "uris" : [ "http://www.mendeley.com/documents/?uuid=ff8d93b6-547a-4b4b-9521-3a531b769dc5" ] } ], "mendeley" : { "formattedCitation" : "(Ellegren 2010)", "plainTextFormattedCitation" : "(Ellegren 2010)", "previouslyFormattedCitation" : "(Ellegren 2010)" }, "properties" : { "noteIndex" : 0 }, "schema" : "https://github.com/citation-style-language/schema/raw/master/csl-citation.json" }</w:instrText>
      </w:r>
      <w:r>
        <w:fldChar w:fldCharType="separate"/>
      </w:r>
      <w:r w:rsidRPr="00A01AC3">
        <w:rPr>
          <w:noProof/>
        </w:rPr>
        <w:t>(Ellegren 2010)</w:t>
      </w:r>
      <w:r>
        <w:fldChar w:fldCharType="end"/>
      </w:r>
      <w:r>
        <w:t xml:space="preserve">. Synteny is </w:t>
      </w:r>
      <w:r w:rsidR="00407FDD">
        <w:t xml:space="preserve">generally </w:t>
      </w:r>
      <w:r>
        <w:t>maintained by the low</w:t>
      </w:r>
      <w:r w:rsidR="002568CF">
        <w:t>er</w:t>
      </w:r>
      <w:r>
        <w:t xml:space="preserve"> rates of recombination </w:t>
      </w:r>
      <w:r>
        <w:lastRenderedPageBreak/>
        <w:t>observed away from the telomeres, with internal macrochromosome regions exhibiting rates as low as 0.1 cM/Mb compa</w:t>
      </w:r>
      <w:r w:rsidR="002568CF">
        <w:t>red to greater than 2.5 cM/Mb near</w:t>
      </w:r>
      <w:r>
        <w:t xml:space="preserve"> the telomeres </w:t>
      </w:r>
      <w:r>
        <w:fldChar w:fldCharType="begin" w:fldLock="1"/>
      </w:r>
      <w:r>
        <w:instrText>ADDIN CSL_CITATION { "citationItems" : [ { "id" : "ITEM-1", "itemData" : { "author" : [ { "dropping-particle" : "", "family" : "Delany", "given" : "ME", "non-dropping-particle" : "", "parse-names" : false, "suffix" : "" }, { "dropping-particle" : "", "family" : "Daniels", "given" : "LM", "non-dropping-particle" : "", "parse-names" : false, "suffix" : "" }, { "dropping-particle" : "", "family" : "Swanberg", "given" : "SE", "non-dropping-particle" : "", "parse-names" : false, "suffix" : "" }, { "dropping-particle" : "", "family" : "Taylor", "given" : "HA", "non-dropping-particle" : "", "parse-names" : false, "suffix" : "" } ], "container-title" : "Poultry science", "id" : "ITEM-1", "issued" : { "date-parts" : [ [ "2003" ] ] }, "note" : "Telomeres constructed of highly conserved (among vertebrates) hexanucleotide tandem repeats - 5'-TTAGGG-3'\nThese are added to shortening telomeres (due to the issue with replicating the ends) by telomerase, a ribonucleoprotein enzyme of the reverse transcriptase family. This enzyme controls telomere length and composition by the addition of the hexanucleotide repeats.\nTelomere structure has been suggested in the control of genome stability, cellular aging and oncogenesis. \n\n\nThe chicken has a very compact genome (thought to be due to having less repetitive sequence than mammals etc.), microchromosomes, and a high recombination rate - so is telomere structure/function similar? Yes! In general.\n\n\nChicken has 10x more telomeric DNA than the human (i.e. 10x more of the TTAGGG sequence found within the genome) - odd for a compact genome lacking repetitive DNA, but found that degenerate telomeric DNA is not present, but very abundant in mammals. What telomeric DNA there is is in use. In vivo, telomeres shorten in an age related fashion and telomerase activity varies dependent on developmental stage (high in embryogenesis and down regulates later). \nTelomeric repeats found in all constructed chromosomes (macro and micro), some of the microchromosomes are found to almost completely stain in FISH studies for telomeric repeats.\n\n\nInteresting observation that telomeres are found to enhance recombination - there are hypervariable telomeric regions in chicken lines that are &amp;gt;99% inbred", "page" : "917-926", "title" : "Telomeres in the chicken: genome stability and chromosome ends", "type" : "article-journal", "volume" : "82" }, "uris" : [ "http://www.mendeley.com/documents/?uuid=90ac829b-970f-4dff-889e-31e80995ca86" ] } ], "mendeley" : { "formattedCitation" : "(Delany et al. 2003)", "plainTextFormattedCitation" : "(Delany et al. 2003)", "previouslyFormattedCitation" : "(Delany et al. 2003)" }, "properties" : { "noteIndex" : 0 }, "schema" : "https://github.com/citation-style-language/schema/raw/master/csl-citation.json" }</w:instrText>
      </w:r>
      <w:r>
        <w:fldChar w:fldCharType="separate"/>
      </w:r>
      <w:r w:rsidRPr="000E7AAE">
        <w:rPr>
          <w:noProof/>
        </w:rPr>
        <w:t>(Delany et al. 2003)</w:t>
      </w:r>
      <w:r>
        <w:fldChar w:fldCharType="end"/>
      </w:r>
      <w:r>
        <w:t xml:space="preserve">. Elferink and colleagues (2010) further categorised the heterogeneity of recombination rates, identifying regions effectively devoid of recombination, even on the generally highly recombining microchromosomes. </w:t>
      </w:r>
      <w:r w:rsidR="009610A8">
        <w:t xml:space="preserve">Concordantly, observed intrachromosomal rearrangements are also rare, occurring ten times less frequently than in mammals </w:t>
      </w:r>
      <w:r w:rsidR="009610A8">
        <w:fldChar w:fldCharType="begin" w:fldLock="1"/>
      </w:r>
      <w:r w:rsidR="00E6420D">
        <w:instrText>ADDIN CSL_CITATION { "citationItems" : [ { "id" : "ITEM-1", "itemData" : { "DOI" : "10.1038/nrg1767", "ISBN" : "1471-0056", "ISSN" : "1471-0056", "PMID" : "16418744", "abstract" : "The first wave of information from the analysis of the human genome revealed SNPs to be the main source of genetic and phenotypic human variation. However, the advent of genome-scanning technologies has now uncovered an unexpectedly large extent of what we term 'structural variation' in the human genome. This comprises microscopic and, more commonly, submicroscopic variants, which include deletions, duplications and large-scale copy-number variants - collectively termed copy-number variants or copy-number polymorphisms - as well as insertions, inversions and translocations. Rapidly accumulating evidence indicates that structural variants can comprise millions of nucleotides of heterogeneity within every genome, and are likely to make an important contribution to human diversity and disease susceptibility.", "author" : [ { "dropping-particle" : "", "family" : "Feuk", "given" : "Lars", "non-dropping-particle" : "", "parse-names" : false, "suffix" : "" }, { "dropping-particle" : "", "family" : "Carson", "given" : "Andrew R.", "non-dropping-particle" : "", "parse-names" : false, "suffix" : "" }, { "dropping-particle" : "", "family" : "Scherer", "given" : "Stephen W.", "non-dropping-particle" : "", "parse-names" : false, "suffix" : "" } ], "container-title" : "Nature Reviews Genetics", "id" : "ITEM-1", "issue" : "2", "issued" : { "date-parts" : [ [ "2006" ] ] }, "page" : "85-97", "title" : "Structural variation in the human genome", "type" : "article-journal", "volume" : "7" }, "uris" : [ "http://www.mendeley.com/documents/?uuid=ce83afd5-6de1-4bb8-b706-986cf19602a9" ] }, { "id" : "ITEM-2", "itemData" : { "DOI" : "10.1101/gr.6380007", "ISBN" : "1088-9051 (Print)\\n1088-9051 (Linking)", "ISSN" : "10889051", "PMID" : "17975172", "abstract" : "The genome sequence (1.9-fold coverage) of an inbred Abyssinian domestic cat was assembled, mapped, and annotated with a comparative approach that involved cross-reference to annotated genome assemblies of six mammals (human, chimpanzee, mouse, rat, dog, and cow). The results resolved chromosomal positions for 663,480 contigs, 20,285 putative feline gene orthologs, and 133,499 conserved sequence blocks (CSBs). Additional annotated features include repetitive elements, endogenous retroviral sequences, nuclear mitochondrial (numt) sequences, micro-RNAs, and evolutionary breakpoints that suggest historic balancing of translocation and inversion incidences in distinct mammalian lineages. Large numbers of single nucleotide polymorphisms (SNPs), deletion insertion polymorphisms (DIPs), and short tandem repeats (STRs), suitable for linkage or association studies were characterized in the context of long stretches of chromosome homozygosity. In spite of the light coverage capturing approximately 65% of euchromatin sequence from the cat genome, these comparative insights shed new light on the tempo and mode of gene/genome evolution in mammals, promise several research applications for the cat, and also illustrate that a comparative approach using more deeply covered mammals provides an informative, preliminary annotation of a light (1.9-fold) coverage mammal genome sequence.", "author" : [ { "dropping-particle" : "", "family" : "Pontius", "given" : "Joan U.", "non-dropping-particle" : "", "parse-names" : false, "suffix" : "" }, { "dropping-particle" : "", "family" : "Mullikin", "given" : "James C.", "non-dropping-particle" : "", "parse-names" : false, "suffix" : "" }, { "dropping-particle" : "", "family" : "Smith", "given" : "Douglas R.", "non-dropping-particle" : "", "parse-names" : false, "suffix" : "" }, { "dropping-particle" : "", "family" : "Lindblad-Toh", "given" : "Kerstin", "non-dropping-particle" : "", "parse-names" : false, "suffix" : "" }, { "dropping-particle" : "", "family" : "Gnerre", "given" : "Sante", "non-dropping-particle" : "", "parse-names" : false, "suffix" : "" }, { "dropping-particle" : "", "family" : "Clamp", "given" : "Michele", "non-dropping-particle" : "", "parse-names" : false, "suffix" : "" }, { "dropping-particle" : "", "family" : "Chang", "given" : "Jean", "non-dropping-particle" : "", "parse-names" : false, "suffix" : "" }, { "dropping-particle" : "", "family" : "Stephens", "given" : "Robert", "non-dropping-particle" : "", "parse-names" : false, "suffix" : "" }, { "dropping-particle" : "", "family" : "Neelam", "given" : "Beena", "non-dropping-particle" : "", "parse-names" : false, "suffix" : "" }, { "dropping-particle" : "", "family" : "Volfovsky", "given" : "Natalia", "non-dropping-particle" : "", "parse-names" : false, "suffix" : "" }, { "dropping-particle" : "", "family" : "Sch\u00e4ffer", "given" : "Alejandro A.", "non-dropping-particle" : "", "parse-names" : false, "suffix" : "" }, { "dropping-particle" : "", "family" : "Agarwala", "given" : "Richa", "non-dropping-particle" : "", "parse-names" : false, "suffix" : "" }, { "dropping-particle" : "", "family" : "Narfstr\u00f6m", "given" : "Kristina", "non-dropping-particle" : "", "parse-names" : false, "suffix" : "" }, { "dropping-particle" : "", "family" : "Murphy", "given" : "William J.", "non-dropping-particle" : "", "parse-names" : false, "suffix" : "" }, { "dropping-particle" : "", "family" : "Giger", "given" : "Urs", "non-dropping-particle" : "", "parse-names" : false, "suffix" : "" }, { "dropping-particle" : "", "family" : "Roca", "given" : "Alfred L.", "non-dropping-particle" : "", "parse-names" : false, "suffix" : "" }, { "dropping-particle" : "", "family" : "Antunes", "given" : "Agostinho", "non-dropping-particle" : "", "parse-names" : false, "suffix" : "" }, { "dropping-particle" : "", "family" : "Menotti-Raymond", "given" : "Marilyn", "non-dropping-particle" : "", "parse-names" : false, "suffix" : "" }, { "dropping-particle" : "", "family" : "Yuhki", "given" : "Naoya", "non-dropping-particle" : "", "parse-names" : false, "suffix" : "" }, { "dropping-particle" : "", "family" : "Pecon-Slattery", "given" : "Jill", "non-dropping-particle" : "", "parse-names" : false, "suffix" : "" }, { "dropping-particle" : "", "family" : "Johnson", "given" : "Warren E.", "non-dropping-particle" : "", "parse-names" : false, "suffix" : "" }, { "dropping-particle" : "", "family" : "Bourque", "given" : "Guillaume", "non-dropping-particle" : "", "parse-names" : false, "suffix" : "" }, { "dropping-particle" : "", "family" : "Tesler", "given" : "Glenn", "non-dropping-particle" : "", "parse-names" : false, "suffix" : "" }, { "dropping-particle" : "", "family" : "O'Brien", "given" : "Stephen J.", "non-dropping-particle" : "", "parse-names" : false, "suffix" : "" }, { "dropping-particle" : "", "family" : "Brand", "given" : "Adrianne", "non-dropping-particle" : "", "parse-names" : false, "suffix" : "" }, { "dropping-particle" : "", "family" : "Ebling", "given" : "Heather", "non-dropping-particle" : "", "parse-names" : false, "suffix" : "" }, { "dropping-particle" : "", "family" : "Saranga", "given" : "David J.", "non-dropping-particle" : "", "parse-names" : false, "suffix" : "" }, { "dropping-particle" : "", "family" : "Rubenfield", "given" : "Marc", "non-dropping-particle" : "", "parse-names" : false, "suffix" : "" }, { "dropping-particle" : "", "family" : "Parisi", "given" : "Matthew J.", "non-dropping-particle" : "", "parse-names" : false, "suffix" : "" }, { "dropping-particle" : "", "family" : "Tao", "given" : "Wei", "non-dropping-particle" : "", "parse-names" : false, "suffix" : "" }, { "dropping-particle" : "", "family" : "Tusneem", "given" : "Nadeem", "non-dropping-particle" : "", "parse-names" : false, "suffix" : "" }, { "dropping-particle" : "", "family" : "David", "given" : "Robert", "non-dropping-particle" : "", "parse-names" : false, "suffix" : "" }, { "dropping-particle" : "", "family" : "Gustafson", "given" : "Erick", "non-dropping-particle" : "", "parse-names" : false, "suffix" : "" }, { "dropping-particle" : "", "family" : "Tsolas", "given" : "Jason", "non-dropping-particle" : "", "parse-names" : false, "suffix" : "" }, { "dropping-particle" : "", "family" : "McKernan", "given" : "Keven", "non-dropping-particle" : "", "parse-names" : false, "suffix" : "" } ], "container-title" : "Genome Research", "id" : "ITEM-2", "issue" : "11", "issued" : { "date-parts" : [ [ "2007" ] ] }, "page" : "1675-1689", "title" : "Initial sequence and comparative analysis of the cat genome", "type" : "article-journal", "volume" : "17" }, "uris" : [ "http://www.mendeley.com/documents/?uuid=0676fec6-fcc9-4958-9151-b166fe84ddcb" ] } ], "mendeley" : { "formattedCitation" : "(Feuk et al. 2006; Pontius et al. 2007)", "plainTextFormattedCitation" : "(Feuk et al. 2006; Pontius et al. 2007)", "previouslyFormattedCitation" : "(Feuk et al. 2006; Pontius et al. 2007)" }, "properties" : { "noteIndex" : 0 }, "schema" : "https://github.com/citation-style-language/schema/raw/master/csl-citation.json" }</w:instrText>
      </w:r>
      <w:r w:rsidR="009610A8">
        <w:fldChar w:fldCharType="separate"/>
      </w:r>
      <w:r w:rsidR="009610A8" w:rsidRPr="009610A8">
        <w:rPr>
          <w:noProof/>
        </w:rPr>
        <w:t>(Feuk et al. 2006; Pontius et al. 2007)</w:t>
      </w:r>
      <w:r w:rsidR="009610A8">
        <w:fldChar w:fldCharType="end"/>
      </w:r>
      <w:r w:rsidR="009610A8">
        <w:t>.</w:t>
      </w:r>
      <w:r w:rsidR="00E6420D">
        <w:t xml:space="preserve"> Furthermore, repetitive elements </w:t>
      </w:r>
      <w:r w:rsidR="009610A8">
        <w:t>are known to facilitate chromosomal rearrangements</w:t>
      </w:r>
      <w:r w:rsidR="00E6420D">
        <w:t xml:space="preserve"> in many species</w:t>
      </w:r>
      <w:r w:rsidR="009610A8">
        <w:t xml:space="preserve"> by non-homologous recombination </w:t>
      </w:r>
      <w:r w:rsidR="00E6420D">
        <w:fldChar w:fldCharType="begin" w:fldLock="1"/>
      </w:r>
      <w:r w:rsidR="00E6420D">
        <w:instrText>ADDIN CSL_CITATION { "citationItems" : [ { "id" : "ITEM-1", "itemData" : { "DOI" : "10.1038/nrg1767", "ISBN" : "1471-0056", "ISSN" : "1471-0056", "PMID" : "16418744", "abstract" : "The first wave of information from the analysis of the human genome revealed SNPs to be the main source of genetic and phenotypic human variation. However, the advent of genome-scanning technologies has now uncovered an unexpectedly large extent of what we term 'structural variation' in the human genome. This comprises microscopic and, more commonly, submicroscopic variants, which include deletions, duplications and large-scale copy-number variants - collectively termed copy-number variants or copy-number polymorphisms - as well as insertions, inversions and translocations. Rapidly accumulating evidence indicates that structural variants can comprise millions of nucleotides of heterogeneity within every genome, and are likely to make an important contribution to human diversity and disease susceptibility.", "author" : [ { "dropping-particle" : "", "family" : "Feuk", "given" : "Lars", "non-dropping-particle" : "", "parse-names" : false, "suffix" : "" }, { "dropping-particle" : "", "family" : "Carson", "given" : "Andrew R.", "non-dropping-particle" : "", "parse-names" : false, "suffix" : "" }, { "dropping-particle" : "", "family" : "Scherer", "given" : "Stephen W.", "non-dropping-particle" : "", "parse-names" : false, "suffix" : "" } ], "container-title" : "Nature Reviews Genetics", "id" : "ITEM-1", "issue" : "2", "issued" : { "date-parts" : [ [ "2006" ] ] }, "page" : "85-97", "title" : "Structural variation in the human genome", "type" : "article-journal", "volume" : "7" }, "uris" : [ "http://www.mendeley.com/documents/?uuid=ce83afd5-6de1-4bb8-b706-986cf19602a9" ] }, { "id" : "ITEM-2", "itemData" : { "DOI" : "10.1038/nrg2268", "ISBN" : "1471-0056", "ISSN" : "1471-0056", "PMID" : "18227811", "abstract" : "Genomic instability in the form of mutations and chromosome rearrangements is usually associated with pathological disorders, and yet it is also crucial for evolution. Two types of elements have a key role in instability leading to rearrangements: those that act in trans to prevent instability--among them are replication, repair and S-phase checkpoint factors--and those that act in cis--chromosomal hotspots of instability such as fragile sites and highly transcribed DNA sequences. Taking these elements as a guide, we review the causes and consequences of instability with the aim of providing a mechanistic perspective on the origin of genomic instability.", "author" : [ { "dropping-particle" : "", "family" : "Aguilera", "given" : "Andr\u00e9s", "non-dropping-particle" : "", "parse-names" : false, "suffix" : "" }, { "dropping-particle" : "", "family" : "G\u00f3mez-Gonz\u00e1lez", "given" : "Bel\u00e9n", "non-dropping-particle" : "", "parse-names" : false, "suffix" : "" } ], "container-title" : "Nature Reviews Genetics", "id" : "ITEM-2", "issue" : "3", "issued" : { "date-parts" : [ [ "2008" ] ] }, "page" : "204-217", "title" : "Genome instability: a mechanistic view of its causes and consequences", "type" : "article-journal", "volume" : "9" }, "uris" : [ "http://www.mendeley.com/documents/?uuid=d68cf9f4-9109-48dd-a37d-a21c7c4924c6" ] }, { "id" : "ITEM-3", "itemData" : { "DOI" : "10.1371/journal.pgen.1000538", "ISBN" : "1553-7404 (Electronic)\\r1553-7390 (Linking)", "ISSN" : "15537390", "PMID" : "19557196", "abstract" : "Gibbon species have accumulated an unusually high number of chromosomal changes since diverging from the common hominoid ancestor 15-18 million years ago. The cause of this increased rate of chromosomal rearrangements is not known, nor is it known if genome architecture has a role. To address this question, we analyzed sequences spanning 57 breaks of synteny between northern white-cheeked gibbons (Nomascus l. leucogenys) and humans. We find that the breakpoint regions are enriched in segmental duplications and repeats, with Alu elements being the most abundant. Alus located near the gibbon breakpoints (&lt;150 bp) have a higher CpG content than other Alus. Bisulphite allelic sequencing reveals that these gibbon Alus have a lower average density of methylated cytosine that their human orthologues. The finding of higher CpG content and lower average CpG methylation suggests that the gibbon Alu elements are epigenetically distinct from their human orthologues. The association between undermethylation and chromosomal rearrangement in gibbons suggests a correlation between epigenetic state and structural genome variation in evolution.", "author" : [ { "dropping-particle" : "", "family" : "Carbone", "given" : "Lucia", "non-dropping-particle" : "", "parse-names" : false, "suffix" : "" }, { "dropping-particle" : "", "family" : "Harris", "given" : "R. Alan", "non-dropping-particle" : "", "parse-names" : false, "suffix" : "" }, { "dropping-particle" : "", "family" : "Vessere", "given" : "Gery M.", "non-dropping-particle" : "", "parse-names" : false, "suffix" : "" }, { "dropping-particle" : "", "family" : "Mootnick", "given" : "Alan R.", "non-dropping-particle" : "", "parse-names" : false, "suffix" : "" }, { "dropping-particle" : "", "family" : "Humphray", "given" : "Sean", "non-dropping-particle" : "", "parse-names" : false, "suffix" : "" }, { "dropping-particle" : "", "family" : "Rogers", "given" : "Jane", "non-dropping-particle" : "", "parse-names" : false, "suffix" : "" }, { "dropping-particle" : "", "family" : "Kim", "given" : "Sung K.", "non-dropping-particle" : "", "parse-names" : false, "suffix" : "" }, { "dropping-particle" : "", "family" : "Wall", "given" : "Jeffrey D.", "non-dropping-particle" : "", "parse-names" : false, "suffix" : "" }, { "dropping-particle" : "", "family" : "Martin", "given" : "David", "non-dropping-particle" : "", "parse-names" : false, "suffix" : "" }, { "dropping-particle" : "", "family" : "Jurka", "given" : "Jerzy", "non-dropping-particle" : "", "parse-names" : false, "suffix" : "" }, { "dropping-particle" : "", "family" : "Milosavljevic", "given" : "Aleksandar", "non-dropping-particle" : "", "parse-names" : false, "suffix" : "" }, { "dropping-particle" : "", "family" : "Jong", "given" : "Pieter J.", "non-dropping-particle" : "De", "parse-names" : false, "suffix" : "" } ], "container-title" : "PLoS Genetics", "id" : "ITEM-3", "issue" : "6", "issued" : { "date-parts" : [ [ "2009" ] ] }, "title" : "Evolutionary breakpoints in the gibbon suggest association between cytosine methylation and karyotype evolution", "type" : "article-journal", "volume" : "5" }, "uris" : [ "http://www.mendeley.com/documents/?uuid=ab0e0fd9-6dd3-436c-87c4-62c39b0ff1ac" ] } ], "mendeley" : { "formattedCitation" : "(Feuk et al. 2006; Aguilera &amp; G\u00f3mez-Gonz\u00e1lez 2008; Carbone et al. 2009)", "plainTextFormattedCitation" : "(Feuk et al. 2006; Aguilera &amp; G\u00f3mez-Gonz\u00e1lez 2008; Carbone et al. 2009)", "previouslyFormattedCitation" : "(Feuk et al. 2006; Aguilera &amp; G\u00f3mez-Gonz\u00e1lez 2008; Carbone et al. 2009)" }, "properties" : { "noteIndex" : 0 }, "schema" : "https://github.com/citation-style-language/schema/raw/master/csl-citation.json" }</w:instrText>
      </w:r>
      <w:r w:rsidR="00E6420D">
        <w:fldChar w:fldCharType="separate"/>
      </w:r>
      <w:r w:rsidR="00E6420D" w:rsidRPr="00E6420D">
        <w:rPr>
          <w:noProof/>
        </w:rPr>
        <w:t>(Feuk et al. 2006; Aguilera &amp; Gómez-González 2008; Carbone et al. 2009)</w:t>
      </w:r>
      <w:r w:rsidR="00E6420D">
        <w:fldChar w:fldCharType="end"/>
      </w:r>
      <w:r w:rsidR="00A6726B">
        <w:t>, b</w:t>
      </w:r>
      <w:r w:rsidR="004E2AA3">
        <w:t>ut such effects are</w:t>
      </w:r>
      <w:r w:rsidR="00E6420D">
        <w:t xml:space="preserve"> limited in the chicken and other galliform birds due to the paucity of annotated repetitive elements in the genome </w:t>
      </w:r>
      <w:r w:rsidR="00E6420D">
        <w:fldChar w:fldCharType="begin" w:fldLock="1"/>
      </w:r>
      <w:r w:rsidR="00EA6B3E">
        <w:instrText>ADDIN CSL_CITATION { "citationItems" : [ { "id" : "ITEM-1", "itemData" : { "DOI" : "10.1186/1471-2164-9-168", "ISSN" : "1471-2164", "PMID" : "18410676", "abstract" : "BACKGROUND: Comparative genomics is a powerful means of establishing inter-specific relationships between gene function/location and allows insight into genomic rearrangements, conservation and evolutionary phylogeny. The availability of the complete sequence of the chicken genome has initiated the development of detailed genomic information in other birds including turkey, an agriculturally important species where mapping has hitherto focused on linkage with limited physical information. No molecular study has yet examined conservation of avian microchromosomes, nor differences in copy number variants (CNVs) between birds.\n\nRESULTS: We present a detailed comparative cytogenetic map between chicken and turkey based on reciprocal chromosome painting and mapping of 338 chicken BACs to turkey metaphases. Two inter-chromosomal changes (both involving centromeres) and three pericentric inversions have been identified between chicken and turkey; and array CGH identified 16 inter-specific CNVs.\n\nCONCLUSION: This is the first study to combine the modalities of zoo-FISH and array CGH between different avian species. The first insight into the conservation of microchromosomes, the first comparative cytogenetic map of any bird and the first appraisal of CNVs between birds is provided. Results suggest that avian genomes have remained relatively stable during evolution compared to mammalian equivalents.", "author" : [ { "dropping-particle" : "", "family" : "Griffin", "given" : "Darren K", "non-dropping-particle" : "", "parse-names" : false, "suffix" : "" }, { "dropping-particle" : "", "family" : "Robertson", "given" : "Lindsay B", "non-dropping-particle" : "", "parse-names" : false, "suffix" : "" }, { "dropping-particle" : "", "family" : "Tempest", "given" : "Helen G", "non-dropping-particle" : "", "parse-names" : false, "suffix" : "" }, { "dropping-particle" : "", "family" : "Vignal", "given" : "Alain", "non-dropping-particle" : "", "parse-names" : false, "suffix" : "" }, { "dropping-particle" : "", "family" : "Fillon", "given" : "Val\u00e9rie", "non-dropping-particle" : "", "parse-names" : false, "suffix" : "" }, { "dropping-particle" : "", "family" : "Crooijmans", "given" : "Richard P M a", "non-dropping-particle" : "", "parse-names" : false, "suffix" : "" }, { "dropping-particle" : "", "family" : "Groenen", "given" : "Martien a M", "non-dropping-particle" : "", "parse-names" : false, "suffix" : "" }, { "dropping-particle" : "", "family" : "Deryusheva", "given" : "Svetlana", "non-dropping-particle" : "", "parse-names" : false, "suffix" : "" }, { "dropping-particle" : "", "family" : "Gaginskaya", "given" : "Elena", "non-dropping-particle" : "", "parse-names" : false, "suffix" : "" }, { "dropping-particle" : "", "family" : "Carr\u00e9", "given" : "Wilfrid", "non-dropping-particle" : "", "parse-names" : false, "suffix" : "" }, { "dropping-particle" : "", "family" : "Waddington", "given" : "David", "non-dropping-particle" : "", "parse-names" : false, "suffix" : "" }, { "dropping-particle" : "", "family" : "Talbot", "given" : "Richard", "non-dropping-particle" : "", "parse-names" : false, "suffix" : "" }, { "dropping-particle" : "", "family" : "V\u00f6lker", "given" : "Martin", "non-dropping-particle" : "", "parse-names" : false, "suffix" : "" }, { "dropping-particle" : "", "family" : "Masabanda", "given" : "Julio S", "non-dropping-particle" : "", "parse-names" : false, "suffix" : "" }, { "dropping-particle" : "", "family" : "Burt", "given" : "Dave W", "non-dropping-particle" : "", "parse-names" : false, "suffix" : "" } ], "container-title" : "BMC genomics", "id" : "ITEM-1", "issued" : { "date-parts" : [ [ "2008", "1" ] ] }, "note" : "Chicken 2n=78, Turkey 2n=80\n10 pairs of macro and 28-30 pairs of microchromosomes in each species. ~28MYA divergence.\n\n\nCNVs are at a lower frequency in the genome compared to mammalian studies (1/3 as frequent) - this may be due to the 3 more compactness of the genome providing fewer opportunities for CNV generation. There are a great deal of CNV similarities between chicken and turkey (50%) suggesting a similar generation mechanism. \n\n\nIs this near a tipping point? Repetitive regions stimulate further rearrangements and CNV. This means that mammals keep extending regions where the birds remain compact.", "page" : "168", "title" : "Whole genome comparative studies between chicken and turkey and their implications for avian genome evolution.", "type" : "article-journal", "volume" : "9" }, "uris" : [ "http://www.mendeley.com/documents/?uuid=d35dd0c6-8b45-4ecf-90cf-1db0fa223178" ] } ], "mendeley" : { "formattedCitation" : "(Griffin et al. 2008)", "plainTextFormattedCitation" : "(Griffin et al. 2008)", "previouslyFormattedCitation" : "(Griffin et al. 2008)" }, "properties" : { "noteIndex" : 0 }, "schema" : "https://github.com/citation-style-language/schema/raw/master/csl-citation.json" }</w:instrText>
      </w:r>
      <w:r w:rsidR="00E6420D">
        <w:fldChar w:fldCharType="separate"/>
      </w:r>
      <w:r w:rsidR="00E6420D" w:rsidRPr="00E6420D">
        <w:rPr>
          <w:noProof/>
        </w:rPr>
        <w:t>(Griffin et al. 2008)</w:t>
      </w:r>
      <w:r w:rsidR="00E6420D">
        <w:fldChar w:fldCharType="end"/>
      </w:r>
      <w:r w:rsidR="00E6420D">
        <w:t xml:space="preserve">. </w:t>
      </w:r>
    </w:p>
    <w:p w14:paraId="61898BE1" w14:textId="418C56AA" w:rsidR="00315AC3" w:rsidRDefault="00315AC3" w:rsidP="00391005">
      <w:pPr>
        <w:pStyle w:val="ListParagraph"/>
      </w:pPr>
    </w:p>
    <w:p w14:paraId="3FE57D5E" w14:textId="699EF2AD" w:rsidR="00EA6B3E" w:rsidRDefault="00EA6B3E" w:rsidP="00EA6B3E">
      <w:pPr>
        <w:pStyle w:val="Heading4"/>
      </w:pPr>
      <w:r>
        <w:t>Genomic repeat content</w:t>
      </w:r>
    </w:p>
    <w:p w14:paraId="6AC7583A" w14:textId="4F0E93B1" w:rsidR="005838A3" w:rsidRPr="00791A9D" w:rsidRDefault="00EA6B3E" w:rsidP="00391005">
      <w:pPr>
        <w:pStyle w:val="ListParagraph"/>
      </w:pPr>
      <w:r>
        <w:t xml:space="preserve">Annotation of the original chicken genome draft sequence identified a significantly lower proportion of the genome as interspersed repeats </w:t>
      </w:r>
      <w:r w:rsidR="00662B8E">
        <w:t>(approximately 10 %) compared with</w:t>
      </w:r>
      <w:r>
        <w:t xml:space="preserve"> mammalian genomes (typically 40 – 50 %) </w:t>
      </w:r>
      <w:r>
        <w:fldChar w:fldCharType="begin" w:fldLock="1"/>
      </w:r>
      <w:r w:rsidR="00791A9D">
        <w:instrText>ADDIN CSL_CITATION { "citationItems" : [ { "id" : "ITEM-1", "itemData" : { "DOI" : "10.1038/nature03154", "ISSN" : "1476-4687", "PMID" : "15592404", "abstract" : "We present here a draft genome sequence of the red jungle fowl, Gallus gallus. Because the chicken is a modern descendant of the dinosaurs and the first non-mammalian amniote to have its genome sequenced, the draft sequence of its genome--composed of approximately one billion base pairs of sequence and an estimated 20,000-23,000 genes--provides a new perspective on vertebrate genome evolution, while also improving the annotation of mammalian genomes. For example, the evolutionary distance between chicken and human provides high specificity in detecting functional elements, both non-coding and coding. Notably, many conserved non-coding sequences are far from genes and cannot be assigned to defined functional classes. In coding regions the evolutionary dynamics of protein domains and orthologous groups illustrate processes that distinguish the lineages leading to birds and mammals. The distinctive properties of avian microchromosomes, together with the inferred patterns of conserved synteny, provide additional insights into vertebrate chromosome architecture.", "author" : [ { "dropping-particle" : "", "family" : "Hillier", "given" : "LW", "non-dropping-particle" : "", "parse-names" : false, "suffix" : "" }, { "dropping-particle" : "", "family" : "Miller", "given" : "W", "non-dropping-particle" : "", "parse-names" : false, "suffix" : "" }, { "dropping-particle" : "", "family" : "Birney", "given" : "E", "non-dropping-particle" : "", "parse-names" : false, "suffix" : "" }, { "dropping-particle" : "", "family" : "Warren", "given" : "W", "non-dropping-particle" : "", "parse-names" : false, "suffix" : "" }, { "dropping-particle" : "", "family" : "Hardison", "given" : "RC", "non-dropping-particle" : "", "parse-names" : false, "suffix" : "" }, { "dropping-particle" : "", "family" : "Ponting", "given" : "CP", "non-dropping-particle" : "", "parse-names" : false, "suffix" : "" }, { "dropping-particle" : "", "family" : "Bork", "given" : "P", "non-dropping-particle" : "", "parse-names" : false, "suffix" : "" }, { "dropping-particle" : "", "family" : "Burt", "given" : "DW", "non-dropping-particle" : "", "parse-names" : false, "suffix" : "" }, { "dropping-particle" : "", "family" : "Groenen", "given" : "MAM", "non-dropping-particle" : "", "parse-names" : false, "suffix" : "" }, { "dropping-particle" : "", "family" : "Delany", "given" : "ME", "non-dropping-particle" : "", "parse-names" : false, "suffix" : "" }, { "dropping-particle" : "", "family" : "Dodgson", "given" : "JB", "non-dropping-particle" : "", "parse-names" : false, "suffix" : "" }, { "dropping-particle" : "", "family" : "et al", "given" : "", "non-dropping-particle" : "", "parse-names" : false, "suffix" : "" } ], "container-title" : "Nature", "id" : "ITEM-1", "issue" : "7018", "issued" : { "date-parts" : [ [ "2004", "12", "9" ] ] }, "note" : "Overview of the first chicken genome assembly with the key stats on karyotype, recombination rates, CpG island distribution, genome length, differences between meta and micro chromosomes etc. Small section on ERVs.", "page" : "695-716", "title" : "Sequence and comparative analysis of the chicken genome provide unique perspectives on vertebrate evolution.", "type" : "article-journal", "volume" : "432" }, "uris" : [ "http://www.mendeley.com/documents/?uuid=28c0bf93-c2dc-49e7-8d46-18d86c6dba6b" ] } ], "mendeley" : { "formattedCitation" : "(Hillier et al. 2004)", "plainTextFormattedCitation" : "(Hillier et al. 2004)", "previouslyFormattedCitation" : "(Hillier et al. 2004)" }, "properties" : { "noteIndex" : 0 }, "schema" : "https://github.com/citation-style-language/schema/raw/master/csl-citation.json" }</w:instrText>
      </w:r>
      <w:r>
        <w:fldChar w:fldCharType="separate"/>
      </w:r>
      <w:r w:rsidRPr="00EA6B3E">
        <w:rPr>
          <w:noProof/>
        </w:rPr>
        <w:t>(Hillier et al. 2004)</w:t>
      </w:r>
      <w:r>
        <w:fldChar w:fldCharType="end"/>
      </w:r>
      <w:r>
        <w:t>. This was later shown to be a more widespread avian phenomenon with similar levels identified in the genomes of other fowl such as the duck (</w:t>
      </w:r>
      <w:r>
        <w:rPr>
          <w:i/>
        </w:rPr>
        <w:t>Anas platyrhync</w:t>
      </w:r>
      <w:r w:rsidR="002568CF">
        <w:rPr>
          <w:i/>
        </w:rPr>
        <w:t>h</w:t>
      </w:r>
      <w:r>
        <w:rPr>
          <w:i/>
        </w:rPr>
        <w:t>os</w:t>
      </w:r>
      <w:r>
        <w:t>) and turkey (</w:t>
      </w:r>
      <w:r w:rsidRPr="00EA6B3E">
        <w:rPr>
          <w:i/>
        </w:rPr>
        <w:t>Meleagris gallopavo</w:t>
      </w:r>
      <w:r>
        <w:t xml:space="preserve">), as well as in </w:t>
      </w:r>
      <w:r w:rsidR="00791A9D">
        <w:t>the</w:t>
      </w:r>
      <w:r w:rsidR="00A6726B">
        <w:t xml:space="preserve"> higher order passerines such as the</w:t>
      </w:r>
      <w:r>
        <w:t xml:space="preserve"> budgerigar (</w:t>
      </w:r>
      <w:r w:rsidRPr="00EA6B3E">
        <w:rPr>
          <w:i/>
        </w:rPr>
        <w:t>Melopsittacus undulatus</w:t>
      </w:r>
      <w:r>
        <w:t>), collared flycatcher (</w:t>
      </w:r>
      <w:r w:rsidRPr="00EA6B3E">
        <w:rPr>
          <w:i/>
        </w:rPr>
        <w:t>Ficedula albicollis</w:t>
      </w:r>
      <w:r>
        <w:t xml:space="preserve">) and zebra finch </w:t>
      </w:r>
      <w:r>
        <w:fldChar w:fldCharType="begin" w:fldLock="1"/>
      </w:r>
      <w:r w:rsidR="00791A9D">
        <w:instrText>ADDIN CSL_CITATION { "citationItems" : [ { "id" : "ITEM-1", "itemData" : { "DOI" : "10.1371/journal.pbio.1000475", "ISBN" : "2007352051788", "ISSN" : "1545-7885", "PMID" : "20838655", "abstract" : "A synergistic combination of two next-generation sequencing platforms with a detailed comparative BAC physical contig map provided a cost-effective assembly of the genome sequence of the domestic turkey (Meleagris gallopavo). Heterozygosity of the sequenced source genome allowed discovery of more than 600,000 high quality single nucleotide variants. Despite this heterozygosity, the current genome assembly (\u223c1.1 Gb) includes 917 Mb of sequence assigned to specific turkey chromosomes. Annotation identified nearly 16,000 genes, with 15,093 recognized as protein coding and 611 as non-coding RNA genes. Comparative analysis of the turkey, chicken, and zebra finch genomes, and comparing avian to mammalian species, supports the characteristic stability of avian genomes and identifies genes unique to the avian lineage. Clear differences are seen in number and variety of genes of the avian immune system where expansions and novel genes are less frequent than examples of gene loss. The turkey genome sequence provides resources to further understand the evolution of vertebrate genomes and genetic variation underlying economically important quantitative traits in poultry. This integrated approach may be a model for providing both gene and chromosome level assemblies of other species with agricultural, ecological, and evolutionary interest.", "author" : [ { "dropping-particle" : "", "family" : "Dalloul", "given" : "Rami a", "non-dropping-particle" : "", "parse-names" : false, "suffix" : "" }, { "dropping-particle" : "", "family" : "Long", "given" : "Julie a", "non-dropping-particle" : "", "parse-names" : false, "suffix" : "" }, { "dropping-particle" : "V", "family" : "Zimin", "given" : "Aleksey", "non-dropping-particle" : "", "parse-names" : false, "suffix" : "" }, { "dropping-particle" : "", "family" : "Aslam", "given" : "Luqman", "non-dropping-particle" : "", "parse-names" : false, "suffix" : "" }, { "dropping-particle" : "", "family" : "Beal", "given" : "Kathryn", "non-dropping-particle" : "", "parse-names" : false, "suffix" : "" }, { "dropping-particle" : "", "family" : "Blomberg", "given" : "Le Ann", "non-dropping-particle" : "", "parse-names" : false, "suffix" : "" }, { "dropping-particle" : "", "family" : "Bouffard", "given" : "Pascal", "non-dropping-particle" : "", "parse-names" : false, "suffix" : "" }, { "dropping-particle" : "", "family" : "Burt", "given" : "David W", "non-dropping-particle" : "", "parse-names" : false, "suffix" : "" }, { "dropping-particle" : "", "family" : "Crasta", "given" : "Oswald", "non-dropping-particle" : "", "parse-names" : false, "suffix" : "" }, { "dropping-particle" : "", "family" : "Crooijmans", "given" : "Richard P M a", "non-dropping-particle" : "", "parse-names" : false, "suffix" : "" }, { "dropping-particle" : "", "family" : "Cooper", "given" : "Kristal", "non-dropping-particle" : "", "parse-names" : false, "suffix" : "" }, { "dropping-particle" : "", "family" : "Coulombe", "given" : "Roger a", "non-dropping-particle" : "", "parse-names" : false, "suffix" : "" }, { "dropping-particle" : "", "family" : "De", "given" : "Supriyo", "non-dropping-particle" : "", "parse-names" : false, "suffix" : "" }, { "dropping-particle" : "", "family" : "Delany", "given" : "Mary E", "non-dropping-particle" : "", "parse-names" : false, "suffix" : "" }, { "dropping-particle" : "", "family" : "Dodgson", "given" : "Jerry B", "non-dropping-particle" : "", "parse-names" : false, "suffix" : "" }, { "dropping-particle" : "", "family" : "Dong", "given" : "Jennifer J", "non-dropping-particle" : "", "parse-names" : false, "suffix" : "" }, { "dropping-particle" : "", "family" : "Evans", "given" : "Clive", "non-dropping-particle" : "", "parse-names" : false, "suffix" : "" }, { "dropping-particle" : "", "family" : "Frederickson", "given" : "Karin M", "non-dropping-particle" : "", "parse-names" : false, "suffix" : "" }, { "dropping-particle" : "", "family" : "Flicek", "given" : "Paul", "non-dropping-particle" : "", "parse-names" : false, "suffix" : "" }, { "dropping-particle" : "", "family" : "Florea", "given" : "Liliana", "non-dropping-particle" : "", "parse-names" : false, "suffix" : "" }, { "dropping-particle" : "", "family" : "Folkerts", "given" : "Otto", "non-dropping-particle" : "", "parse-names" : false, "suffix" : "" }, { "dropping-particle" : "", "family" : "Groenen", "given" : "Martien a M", "non-dropping-particle" : "", "parse-names" : false, "suffix" : "" }, { "dropping-particle" : "", "family" : "Harkins", "given" : "Tim T", "non-dropping-particle" : "", "parse-names" : false, "suffix" : "" }, { "dropping-particle" : "", "family" : "Herrero", "given" : "Javier", "non-dropping-particle" : "", "parse-names" : false, "suffix" : "" }, { "dropping-particle" : "", "family" : "Hoffmann", "given" : "Steve", "non-dropping-particle" : "", "parse-names" : false, "suffix" : "" }, { "dropping-particle" : "", "family" : "Megens", "given" : "Hendrik-Jan", "non-dropping-particle" : "", "parse-names" : false, "suffix" : "" }, { "dropping-particle" : "", "family" : "Jiang", "given" : "Andrew", "non-dropping-particle" : "", "parse-names" : false, "suffix" : "" }, { "dropping-particle" : "", "family" : "Jong", "given" : "Pieter", "non-dropping-particle" : "de", "parse-names" : false, "suffix" : "" }, { "dropping-particle" : "", "family" : "Kaiser", "given" : "Pete", "non-dropping-particle" : "", "parse-names" : false, "suffix" : "" }, { "dropping-particle" : "", "family" : "Kim", "given" : "Heebal", "non-dropping-particle" : "", "parse-names" : false, "suffix" : "" }, { "dropping-particle" : "", "family" : "Kim", "given" : "Kyu-Won", "non-dropping-particle" : "", "parse-names" : false, "suffix" : "" }, { "dropping-particle" : "", "family" : "Kim", "given" : "Sungwon", "non-dropping-particle" : "", "parse-names" : false, "suffix" : "" }, { "dropping-particle" : "", "family" : "Langenberger", "given" : "David", "non-dropping-particle" : "", "parse-names" : false, "suffix" : "" }, { "dropping-particle" : "", "family" : "Lee", "given" : "Mi-Kyung", "non-dropping-particle" : "", "parse-names" : false, "suffix" : "" }, { "dropping-particle" : "", "family" : "Lee", "given" : "Taeheon", "non-dropping-particle" : "", "parse-names" : false, "suffix" : "" }, { "dropping-particle" : "", "family" : "Mane", "given" : "Shrinivasrao", "non-dropping-particle" : "", "parse-names" : false, "suffix" : "" }, { "dropping-particle" : "", "family" : "Marcais", "given" : "Guillaume", "non-dropping-particle" : "", "parse-names" : false, "suffix" : "" }, { "dropping-particle" : "", "family" : "Marz", "given" : "Manja", "non-dropping-particle" : "", "parse-names" : false, "suffix" : "" }, { "dropping-particle" : "", "family" : "McElroy", "given" : "Audrey P", "non-dropping-particle" : "", "parse-names" : false, "suffix" : "" }, { "dropping-particle" : "", "family" : "Modise", "given" : "Thero", "non-dropping-particle" : "", "parse-names" : false, "suffix" : "" }, { "dropping-particle" : "", "family" : "Nefedov", "given" : "Mikhail", "non-dropping-particle" : "", "parse-names" : false, "suffix" : "" }, { "dropping-particle" : "", "family" : "Notredame", "given" : "C\u00e9dric", "non-dropping-particle" : "", "parse-names" : false, "suffix" : "" }, { "dropping-particle" : "", "family" : "Paton", "given" : "Ian R", "non-dropping-particle" : "", "parse-names" : false, "suffix" : "" }, { "dropping-particle" : "", "family" : "Payne", "given" : "William S", "non-dropping-particle" : "", "parse-names" : false, "suffix" : "" }, { "dropping-particle" : "", "family" : "Pertea", "given" : "Geo", "non-dropping-particle" : "", "parse-names" : false, "suffix" : "" }, { "dropping-particle" : "", "family" : "Prickett", "given" : "Dennis", "non-dropping-particle" : "", "parse-names" : false, "suffix" : "" }, { "dropping-particle" : "", "family" : "Puiu", "given" : "Daniela", "non-dropping-particle" : "", "parse-names" : false, "suffix" : "" }, { "dropping-particle" : "", "family" : "Qioa", "given" : "Dan", "non-dropping-particle" : "", "parse-names" : false, "suffix" : "" }, { "dropping-particle" : "", "family" : "Raineri", "given" : "Emanuele", "non-dropping-particle" : "", "parse-names" : false, "suffix" : "" }, { "dropping-particle" : "", "family" : "Ruffier", "given" : "Magali", "non-dropping-particle" : "", "parse-names" : false, "suffix" : "" }, { "dropping-particle" : "", "family" : "Salzberg", "given" : "Steven L", "non-dropping-particle" : "", "parse-names" : false, "suffix" : "" }, { "dropping-particle" : "", "family" : "Schatz", "given" : "Michael C", "non-dropping-particle" : "", "parse-names" : false, "suffix" : "" }, { "dropping-particle" : "", "family" : "Scheuring", "given" : "Chantel", "non-dropping-particle" : "", "parse-names" : false, "suffix" : "" }, { "dropping-particle" : "", "family" : "Schmidt", "given" : "Carl J", "non-dropping-particle" : "", "parse-names" : false, "suffix" : "" }, { "dropping-particle" : "", "family" : "Schroeder", "given" : "Steven", "non-dropping-particle" : "", "parse-names" : false, "suffix" : "" }, { "dropping-particle" : "", "family" : "Searle", "given" : "Stephen M J", "non-dropping-particle" : "", "parse-names" : false, "suffix" : "" }, { "dropping-particle" : "", "family" : "Smith", "given" : "Edward J", "non-dropping-particle" : "", "parse-names" : false, "suffix" : "" }, { "dropping-particle" : "", "family" : "Smith", "given" : "Jacqueline", "non-dropping-particle" : "", "parse-names" : false, "suffix" : "" }, { "dropping-particle" : "", "family" : "Sonstegard", "given" : "Tad S", "non-dropping-particle" : "", "parse-names" : false, "suffix" : "" }, { "dropping-particle" : "", "family" : "Stadler", "given" : "Peter F", "non-dropping-particle" : "", "parse-names" : false, "suffix" : "" }, { "dropping-particle" : "", "family" : "Tafer", "given" : "Hakim", "non-dropping-particle" : "", "parse-names" : false, "suffix" : "" }, { "dropping-particle" : "", "family" : "Tu", "given" : "Zhijian Jake", "non-dropping-particle" : "", "parse-names" : false, "suffix" : "" }, { "dropping-particle" : "", "family" : "Tassell", "given" : "Curtis P", "non-dropping-particle" : "Van", "parse-names" : false, "suffix" : "" }, { "dropping-particle" : "", "family" : "Vilella", "given" : "Albert J", "non-dropping-particle" : "", "parse-names" : false, "suffix" : "" }, { "dropping-particle" : "", "family" : "Williams", "given" : "Kelly P", "non-dropping-particle" : "", "parse-names" : false, "suffix" : "" }, { "dropping-particle" : "", "family" : "Yorke", "given" : "James a", "non-dropping-particle" : "", "parse-names" : false, "suffix" : "" }, { "dropping-particle" : "", "family" : "Zhang", "given" : "Liqing", "non-dropping-particle" : "", "parse-names" : false, "suffix" : "" }, { "dropping-particle" : "", "family" : "Zhang", "given" : "Hong-Bin", "non-dropping-particle" : "", "parse-names" : false, "suffix" : "" }, { "dropping-particle" : "", "family" : "Zhang", "given" : "Xiaojun", "non-dropping-particle" : "", "parse-names" : false, "suffix" : "" }, { "dropping-particle" : "", "family" : "Zhang", "given" : "Yang", "non-dropping-particle" : "", "parse-names" : false, "suffix" : "" }, { "dropping-particle" : "", "family" : "Reed", "given" : "Kent M", "non-dropping-particle" : "", "parse-names" : false, "suffix" : "" } ], "container-title" : "PLoS biology", "id" : "ITEM-1", "issue" : "9", "issued" : { "date-parts" : [ [ "2010", "1" ] ] }, "title" : "Multi-platform next-generation sequencing of the domestic turkey (Meleagris gallopavo): genome assembly and analysis.", "type" : "article-journal", "volume" : "8" }, "uris" : [ "http://www.mendeley.com/documents/?uuid=1bfe50f3-bbb4-4d54-b80f-06765cd18b07" ] }, { "id" : "ITEM-2", "itemData" : { "DOI" : "10.1038/nature08819", "ISSN" : "1476-4687", "PMID" : "20360741", "abstract" : "The zebra finch is an important model organism in several fields with unique relevance to human neuroscience. Like other songbirds, the zebra finch communicates through learned vocalizations, an ability otherwise documented only in humans and a few other animals and lacking in the chicken-the only bird with a sequenced genome until now. Here we present a structural, functional and comparative analysis of the genome sequence of the zebra finch (Taeniopygia guttata), which is a songbird belonging to the large avian order Passeriformes. We find that the overall structures of the genomes are similar in zebra finch and chicken, but they differ in many intrachromosomal rearrangements, lineage-specific gene family expansions, the number of long-terminal-repeat-based retrotransposons, and mechanisms of sex chromosome dosage compensation. We show that song behaviour engages gene regulatory networks in the zebra finch brain, altering the expression of long non-coding RNAs, microRNAs, transcription factors and their targets. We also show evidence for rapid molecular evolution in the songbird lineage of genes that are regulated during song experience. These results indicate an active involvement of the genome in neural processes underlying vocal communication and identify potential genetic substrates for the evolution and regulation of this behaviour.", "author" : [ { "dropping-particle" : "", "family" : "Warren", "given" : "Wesley C", "non-dropping-particle" : "", "parse-names" : false, "suffix" : "" }, { "dropping-particle" : "", "family" : "Clayton", "given" : "David F", "non-dropping-particle" : "", "parse-names" : false, "suffix" : "" }, { "dropping-particle" : "", "family" : "Ellegren", "given" : "Hans", "non-dropping-particle" : "", "parse-names" : false, "suffix" : "" }, { "dropping-particle" : "", "family" : "Arnold", "given" : "Arthur P", "non-dropping-particle" : "", "parse-names" : false, "suffix" : "" }, { "dropping-particle" : "", "family" : "Hillier", "given" : "Ladeana W", "non-dropping-particle" : "", "parse-names" : false, "suffix" : "" }, { "dropping-particle" : "", "family" : "K\u00fcnstner", "given" : "Axel", "non-dropping-particle" : "", "parse-names" : false, "suffix" : "" }, { "dropping-particle" : "", "family" : "Searle", "given" : "Steve", "non-dropping-particle" : "", "parse-names" : false, "suffix" : "" }, { "dropping-particle" : "", "family" : "White", "given" : "Simon", "non-dropping-particle" : "", "parse-names" : false, "suffix" : "" }, { "dropping-particle" : "", "family" : "Vilella", "given" : "Albert J", "non-dropping-particle" : "", "parse-names" : false, "suffix" : "" }, { "dropping-particle" : "", "family" : "Fairley", "given" : "Susan", "non-dropping-particle" : "", "parse-names" : false, "suffix" : "" }, { "dropping-particle" : "", "family" : "Heger", "given" : "Andreas", "non-dropping-particle" : "", "parse-names" : false, "suffix" : "" }, { "dropping-particle" : "", "family" : "Kong", "given" : "Lesheng", "non-dropping-particle" : "", "parse-names" : false, "suffix" : "" }, { "dropping-particle" : "", "family" : "Ponting", "given" : "Chris P", "non-dropping-particle" : "", "parse-names" : false, "suffix" : "" }, { "dropping-particle" : "", "family" : "Jarvis", "given" : "Erich D", "non-dropping-particle" : "", "parse-names" : false, "suffix" : "" }, { "dropping-particle" : "V", "family" : "Mello", "given" : "Claudio", "non-dropping-particle" : "", "parse-names" : false, "suffix" : "" }, { "dropping-particle" : "", "family" : "Minx", "given" : "Pat", "non-dropping-particle" : "", "parse-names" : false, "suffix" : "" }, { "dropping-particle" : "", "family" : "Lovell", "given" : "Peter", "non-dropping-particle" : "", "parse-names" : false, "suffix" : "" }, { "dropping-particle" : "", "family" : "Velho", "given" : "Tarciso a F", "non-dropping-particle" : "", "parse-names" : false, "suffix" : "" }, { "dropping-particle" : "", "family" : "Ferris", "given" : "Margaret", "non-dropping-particle" : "", "parse-names" : false, "suffix" : "" }, { "dropping-particle" : "", "family" : "Balakrishnan", "given" : "Christopher N", "non-dropping-particle" : "", "parse-names" : false, "suffix" : "" }, { "dropping-particle" : "", "family" : "Sinha", "given" : "Saurabh", "non-dropping-particle" : "", "parse-names" : false, "suffix" : "" }, { "dropping-particle" : "", "family" : "Blatti", "given" : "Charles", "non-dropping-particle" : "", "parse-names" : false, "suffix" : "" }, { "dropping-particle" : "", "family" : "London", "given" : "Sarah E", "non-dropping-particle" : "", "parse-names" : false, "suffix" : "" }, { "dropping-particle" : "", "family" : "Li", "given" : "Yun", "non-dropping-particle" : "", "parse-names" : false, "suffix" : "" }, { "dropping-particle" : "", "family" : "Lin", "given" : "Ya-Chi", "non-dropping-particle" : "", "parse-names" : false, "suffix" : "" }, { "dropping-particle" : "", "family" : "George", "given" : "Julia", "non-dropping-particle" : "", "parse-names" : false, "suffix" : "" }, { "dropping-particle" : "", "family" : "Sweedler", "given" : "Jonathan", "non-dropping-particle" : "", "parse-names" : false, "suffix" : "" }, { "dropping-particle" : "", "family" : "Southey", "given" : "Bruce", "non-dropping-particle" : "", "parse-names" : false, "suffix" : "" }, { "dropping-particle" : "", "family" : "Gunaratne", "given" : "Preethi", "non-dropping-particle" : "", "parse-names" : false, "suffix" : "" }, { "dropping-particle" : "", "family" : "Watson", "given" : "Michael", "non-dropping-particle" : "", "parse-names" : false, "suffix" : "" }, { "dropping-particle" : "", "family" : "Nam", "given" : "Kiwoong", "non-dropping-particle" : "", "parse-names" : false, "suffix" : "" }, { "dropping-particle" : "", "family" : "Backstr\u00f6m", "given" : "Niclas", "non-dropping-particle" : "", "parse-names" : false, "suffix" : "" }, { "dropping-particle" : "", "family" : "Smeds", "given" : "Linnea", "non-dropping-particle" : "", "parse-names" : false, "suffix" : "" }, { "dropping-particle" : "", "family" : "Nabholz", "given" : "Benoit", "non-dropping-particle" : "", "parse-names" : false, "suffix" : "" }, { "dropping-particle" : "", "family" : "Itoh", "given" : "Yuichiro", "non-dropping-particle" : "", "parse-names" : false, "suffix" : "" }, { "dropping-particle" : "", "family" : "Whitney", "given" : "Osceola", "non-dropping-particle" : "", "parse-names" : false, "suffix" : "" }, { "dropping-particle" : "", "family" : "Pfenning", "given" : "Andreas R", "non-dropping-particle" : "", "parse-names" : false, "suffix" : "" }, { "dropping-particle" : "", "family" : "Howard", "given" : "Jason", "non-dropping-particle" : "", "parse-names" : false, "suffix" : "" }, { "dropping-particle" : "", "family" : "V\u00f6lker", "given" : "Martin", "non-dropping-particle" : "", "parse-names" : false, "suffix" : "" }, { "dropping-particle" : "", "family" : "Skinner", "given" : "Bejamin M", "non-dropping-particle" : "", "parse-names" : false, "suffix" : "" }, { "dropping-particle" : "", "family" : "Griffin", "given" : "Darren K", "non-dropping-particle" : "", "parse-names" : false, "suffix" : "" }, { "dropping-particle" : "", "family" : "Ye", "given" : "Liang", "non-dropping-particle" : "", "parse-names" : false, "suffix" : "" }, { "dropping-particle" : "", "family" : "McLaren", "given" : "William M", "non-dropping-particle" : "", "parse-names" : false, "suffix" : "" }, { "dropping-particle" : "", "family" : "Flicek", "given" : "Paul", "non-dropping-particle" : "", "parse-names" : false, "suffix" : "" }, { "dropping-particle" : "", "family" : "Quesada", "given" : "Victor", "non-dropping-particle" : "", "parse-names" : false, "suffix" : "" }, { "dropping-particle" : "", "family" : "Velasco", "given" : "Gloria", "non-dropping-particle" : "", "parse-names" : false, "suffix" : "" }, { "dropping-particle" : "", "family" : "Lopez-Otin", "given" : "Carlos", "non-dropping-particle" : "", "parse-names" : false, "suffix" : "" }, { "dropping-particle" : "", "family" : "Puente", "given" : "Xose S", "non-dropping-particle" : "", "parse-names" : false, "suffix" : "" }, { "dropping-particle" : "", "family" : "Olender", "given" : "Tsviya", "non-dropping-particle" : "", "parse-names" : false, "suffix" : "" }, { "dropping-particle" : "", "family" : "Lancet", "given" : "Doron", "non-dropping-particle" : "", "parse-names" : false, "suffix" : "" }, { "dropping-particle" : "", "family" : "Smit", "given" : "Arian F a", "non-dropping-particle" : "", "parse-names" : false, "suffix" : "" }, { "dropping-particle" : "", "family" : "Hubley", "given" : "Robert", "non-dropping-particle" : "", "parse-names" : false, "suffix" : "" }, { "dropping-particle" : "", "family" : "Konkel", "given" : "Miriam K", "non-dropping-particle" : "", "parse-names" : false, "suffix" : "" }, { "dropping-particle" : "", "family" : "Walker", "given" : "Jerilyn a", "non-dropping-particle" : "", "parse-names" : false, "suffix" : "" }, { "dropping-particle" : "", "family" : "Batzer", "given" : "Mark a", "non-dropping-particle" : "", "parse-names" : false, "suffix" : "" }, { "dropping-particle" : "", "family" : "Gu", "given" : "Wanjun", "non-dropping-particle" : "", "parse-names" : false, "suffix" : "" }, { "dropping-particle" : "", "family" : "Pollock", "given" : "David D", "non-dropping-particle" : "", "parse-names" : false, "suffix" : "" }, { "dropping-particle" : "", "family" : "Chen", "given" : "Lin", "non-dropping-particle" : "", "parse-names" : false, "suffix" : "" }, { "dropping-particle" : "", "family" : "Cheng", "given" : "Ze", "non-dropping-particle" : "", "parse-names" : false, "suffix" : "" }, { "dropping-particle" : "", "family" : "Eichler", "given" : "Evan E", "non-dropping-particle" : "", "parse-names" : false, "suffix" : "" }, { "dropping-particle" : "", "family" : "Stapley", "given" : "Jessica", "non-dropping-particle" : "", "parse-names" : false, "suffix" : "" }, { "dropping-particle" : "", "family" : "Slate", "given" : "Jon", "non-dropping-particle" : "", "parse-names" : false, "suffix" : "" }, { "dropping-particle" : "", "family" : "Ekblom", "given" : "Robert", "non-dropping-particle" : "", "parse-names" : false, "suffix" : "" }, { "dropping-particle" : "", "family" : "Birkhead", "given" : "Tim", "non-dropping-particle" : "", "parse-names" : false, "suffix" : "" }, { "dropping-particle" : "", "family" : "Burke", "given" : "Terry", "non-dropping-particle" : "", "parse-names" : false, "suffix" : "" }, { "dropping-particle" : "", "family" : "Burt", "given" : "David", "non-dropping-particle" : "", "parse-names" : false, "suffix" : "" }, { "dropping-particle" : "", "family" : "Scharff", "given" : "Constance", "non-dropping-particle" : "", "parse-names" : false, "suffix" : "" }, { "dropping-particle" : "", "family" : "Adam", "given" : "Iris", "non-dropping-particle" : "", "parse-names" : false, "suffix" : "" }, { "dropping-particle" : "", "family" : "Richard", "given" : "Hugues", "non-dropping-particle" : "", "parse-names" : false, "suffix" : "" }, { "dropping-particle" : "", "family" : "Sultan", "given" : "Marc", "non-dropping-particle" : "", "parse-names" : false, "suffix" : "" }, { "dropping-particle" : "", "family" : "Soldatov", "given" : "Alexey", "non-dropping-particle" : "", "parse-names" : false, "suffix" : "" }, { "dropping-particle" : "", "family" : "Lehrach", "given" : "Hans", "non-dropping-particle" : "", "parse-names" : false, "suffix" : "" }, { "dropping-particle" : "V", "family" : "Edwards", "given" : "Scott", "non-dropping-particle" : "", "parse-names" : false, "suffix" : "" }, { "dropping-particle" : "", "family" : "Yang", "given" : "Shiaw-Pyng", "non-dropping-particle" : "", "parse-names" : false, "suffix" : "" }, { "dropping-particle" : "", "family" : "Li", "given" : "Xiaoching", "non-dropping-particle" : "", "parse-names" : false, "suffix" : "" }, { "dropping-particle" : "", "family" : "Graves", "given" : "Tina", "non-dropping-particle" : "", "parse-names" : false, "suffix" : "" }, { "dropping-particle" : "", "family" : "Fulton", "given" : "Lucinda", "non-dropping-particle" : "", "parse-names" : false, "suffix" : "" }, { "dropping-particle" : "", "family" : "Nelson", "given" : "Joanne", "non-dropping-particle" : "", "parse-names" : false, "suffix" : "" }, { "dropping-particle" : "", "family" : "Chinwalla", "given" : "Asif", "non-dropping-particle" : "", "parse-names" : false, "suffix" : "" }, { "dropping-particle" : "", "family" : "Hou", "given" : "Shunfeng", "non-dropping-particle" : "", "parse-names" : false, "suffix" : "" }, { "dropping-particle" : "", "family" : "Mardis", "given" : "Elaine R", "non-dropping-particle" : "", "parse-names" : false, "suffix" : "" }, { "dropping-particle" : "", "family" : "Wilson", "given" : "Richard K", "non-dropping-particle" : "", "parse-names" : false, "suffix" : "" } ], "container-title" : "Nature", "id" : "ITEM-2", "issue" : "7289", "issued" : { "date-parts" : [ [ "2010", "4", "1" ] ] }, "page" : "757-62", "title" : "The genome of a songbird.", "type" : "article-journal", "volume" : "464" }, "uris" : [ "http://www.mendeley.com/documents/?uuid=1d5ffe7b-66a0-4976-b843-f2d6b5a0a4b9" ] }, { "id" : "ITEM-3", "itemData" : { "DOI" : "10.1038/ng.2657", "ISBN" : "1061-4036", "ISSN" : "1061-4036", "PMID" : "23749191", "abstract" : "The duck (Anas platyrhynchos) is one of the principal natural hosts of influenza A viruses. We present the duck genome sequence and perform deep transcriptome analyses to investigate immune-related genes. Our data indicate that the duck possesses a contractive immune gene repertoire, as in chicken and zebra finch, and this repertoire has been shaped through lineage-specific duplications. We identify genes that are responsive to influenza A viruses using the lung transcriptomes of control ducks and ones that were infected with either a highly pathogenic (A/duck/Hubei/49/05) or a weakly pathogenic (A/goose/Hubei/65/05) H5N1 virus. Further, we show how the duck's defense mechanisms against influenza infection have been optimized through the diversification of its \u03b2-defensin and butyrophilin-like repertoires. These analyses, in combination with the genomic and transcriptomic data, provide a resource for characterizing the interaction between host and influenza viruses.", "author" : [ { "dropping-particle" : "", "family" : "Huang", "given" : "Yinhua", "non-dropping-particle" : "", "parse-names" : false, "suffix" : "" }, { "dropping-particle" : "", "family" : "Li", "given" : "Yingrui", "non-dropping-particle" : "", "parse-names" : false, "suffix" : "" }, { "dropping-particle" : "", "family" : "Burt", "given" : "David W", "non-dropping-particle" : "", "parse-names" : false, "suffix" : "" }, { "dropping-particle" : "", "family" : "Chen", "given" : "Hualan", "non-dropping-particle" : "", "parse-names" : false, "suffix" : "" }, { "dropping-particle" : "", "family" : "Zhang", "given" : "Yong", "non-dropping-particle" : "", "parse-names" : false, "suffix" : "" }, { "dropping-particle" : "", "family" : "Qian", "given" : "Wubin", "non-dropping-particle" : "", "parse-names" : false, "suffix" : "" }, { "dropping-particle" : "", "family" : "Kim", "given" : "Heebal", "non-dropping-particle" : "", "parse-names" : false, "suffix" : "" }, { "dropping-particle" : "", "family" : "Gan", "given" : "Shangquan", "non-dropping-particle" : "", "parse-names" : false, "suffix" : "" }, { "dropping-particle" : "", "family" : "Zhao", "given" : "Yiqiang", "non-dropping-particle" : "", "parse-names" : false, "suffix" : "" }, { "dropping-particle" : "", "family" : "Li", "given" : "Jianwen", "non-dropping-particle" : "", "parse-names" : false, "suffix" : "" }, { "dropping-particle" : "", "family" : "Yi", "given" : "Kang", "non-dropping-particle" : "", "parse-names" : false, "suffix" : "" }, { "dropping-particle" : "", "family" : "Feng", "given" : "Huapeng", "non-dropping-particle" : "", "parse-names" : false, "suffix" : "" }, { "dropping-particle" : "", "family" : "Zhu", "given" : "Pengyang", "non-dropping-particle" : "", "parse-names" : false, "suffix" : "" }, { "dropping-particle" : "", "family" : "Li", "given" : "Bo", "non-dropping-particle" : "", "parse-names" : false, "suffix" : "" }, { "dropping-particle" : "", "family" : "Liu", "given" : "Qiuyue", "non-dropping-particle" : "", "parse-names" : false, "suffix" : "" }, { "dropping-particle" : "", "family" : "Fairley", "given" : "Suan", "non-dropping-particle" : "", "parse-names" : false, "suffix" : "" }, { "dropping-particle" : "", "family" : "Magor", "given" : "Katharine E", "non-dropping-particle" : "", "parse-names" : false, "suffix" : "" }, { "dropping-particle" : "", "family" : "Du", "given" : "Zhenlin", "non-dropping-particle" : "", "parse-names" : false, "suffix" : "" }, { "dropping-particle" : "", "family" : "Hu", "given" : "Xiaoxiang", "non-dropping-particle" : "", "parse-names" : false, "suffix" : "" }, { "dropping-particle" : "", "family" : "Goodman", "given" : "Laurie", "non-dropping-particle" : "", "parse-names" : false, "suffix" : "" }, { "dropping-particle" : "", "family" : "Tafer", "given" : "Hakim", "non-dropping-particle" : "", "parse-names" : false, "suffix" : "" }, { "dropping-particle" : "", "family" : "Vignal", "given" : "Alain", "non-dropping-particle" : "", "parse-names" : false, "suffix" : "" }, { "dropping-particle" : "", "family" : "Lee", "given" : "Taeheon", "non-dropping-particle" : "", "parse-names" : false, "suffix" : "" }, { "dropping-particle" : "", "family" : "Kim", "given" : "Kyu-Won", "non-dropping-particle" : "", "parse-names" : false, "suffix" : "" }, { "dropping-particle" : "", "family" : "Sheng", "given" : "Zheya", "non-dropping-particle" : "", "parse-names" : false, "suffix" : "" }, { "dropping-particle" : "", "family" : "An", "given" : "Yang", "non-dropping-particle" : "", "parse-names" : false, "suffix" : "" }, { "dropping-particle" : "", "family" : "Searle", "given" : "Steve", "non-dropping-particle" : "", "parse-names" : false, "suffix" : "" }, { "dropping-particle" : "", "family" : "Herrero", "given" : "Javier", "non-dropping-particle" : "", "parse-names" : false, "suffix" : "" }, { "dropping-particle" : "", "family" : "Groenen", "given" : "Martien A M", "non-dropping-particle" : "", "parse-names" : false, "suffix" : "" }, { "dropping-particle" : "", "family" : "Crooijmans", "given" : "Richard P M A", "non-dropping-particle" : "", "parse-names" : false, "suffix" : "" }, { "dropping-particle" : "", "family" : "Faraut", "given" : "Thomas", "non-dropping-particle" : "", "parse-names" : false, "suffix" : "" }, { "dropping-particle" : "", "family" : "Cai", "given" : "Qingle", "non-dropping-particle" : "", "parse-names" : false, "suffix" : "" }, { "dropping-particle" : "", "family" : "Webster", "given" : "Robert G", "non-dropping-particle" : "", "parse-names" : false, "suffix" : "" }, { "dropping-particle" : "", "family" : "Aldridge", "given" : "Jerry R", "non-dropping-particle" : "", "parse-names" : false, "suffix" : "" }, { "dropping-particle" : "", "family" : "Warren", "given" : "Wesley C", "non-dropping-particle" : "", "parse-names" : false, "suffix" : "" }, { "dropping-particle" : "", "family" : "Bartschat", "given" : "Sebastian", "non-dropping-particle" : "", "parse-names" : false, "suffix" : "" }, { "dropping-particle" : "", "family" : "Kehr", "given" : "Stephanie", "non-dropping-particle" : "", "parse-names" : false, "suffix" : "" }, { "dropping-particle" : "", "family" : "Marz", "given" : "Manja", "non-dropping-particle" : "", "parse-names" : false, "suffix" : "" }, { "dropping-particle" : "", "family" : "Stadler", "given" : "Peter F", "non-dropping-particle" : "", "parse-names" : false, "suffix" : "" }, { "dropping-particle" : "", "family" : "Smith", "given" : "Jacqueline", "non-dropping-particle" : "", "parse-names" : false, "suffix" : "" }, { "dropping-particle" : "", "family" : "Kraus", "given" : "Robert H S", "non-dropping-particle" : "", "parse-names" : false, "suffix" : "" }, { "dropping-particle" : "", "family" : "Zhao", "given" : "Yaofeng", "non-dropping-particle" : "", "parse-names" : false, "suffix" : "" }, { "dropping-particle" : "", "family" : "Ren", "given" : "Liming", "non-dropping-particle" : "", "parse-names" : false, "suffix" : "" }, { "dropping-particle" : "", "family" : "Fei", "given" : "Jing", "non-dropping-particle" : "", "parse-names" : false, "suffix" : "" }, { "dropping-particle" : "", "family" : "Morisson", "given" : "Mireille", "non-dropping-particle" : "", "parse-names" : false, "suffix" : "" }, { "dropping-particle" : "", "family" : "Kaiser", "given" : "Pete", "non-dropping-particle" : "", "parse-names" : false, "suffix" : "" }, { "dropping-particle" : "", "family" : "Griffin", "given" : "Darren K", "non-dropping-particle" : "", "parse-names" : false, "suffix" : "" }, { "dropping-particle" : "", "family" : "Rao", "given" : "Man", "non-dropping-particle" : "", "parse-names" : false, "suffix" : "" }, { "dropping-particle" : "", "family" : "Pitel", "given" : "Frederique", "non-dropping-particle" : "", "parse-names" : false, "suffix" : "" }, { "dropping-particle" : "", "family" : "Wang", "given" : "Jun", "non-dropping-particle" : "", "parse-names" : false, "suffix" : "" }, { "dropping-particle" : "", "family" : "Li", "given" : "Ning", "non-dropping-particle" : "", "parse-names" : false, "suffix" : "" } ], "container-title" : "Nature Genetics", "id" : "ITEM-3", "issue" : "7", "issued" : { "date-parts" : [ [ "2013" ] ] }, "page" : "776-783", "title" : "The duck genome and transcriptome provide insight into an avian influenza virus reservoir species", "type" : "article-journal", "volume" : "45" }, "uris" : [ "http://www.mendeley.com/documents/?uuid=62241f0c-2931-475d-b559-6f270fdeee51" ] }, { "id" : "ITEM-4", "itemData" : { "DOI" : "10.1111/mec.12810", "ISBN" : "1365-294X", "ISSN" : "1365294X", "PMID" : "24863701", "abstract" : "Detailed linkage and recombination rate maps are necessary to use the full potential of genome sequencing and population genomic analyses. We used a custom collared flycatcher 50 K SNP array to develop a high-density linkage map with 37 262 markers assigned to 34 linkage groups in 33 autosomes and the Z chromosome. The best-order map contained 4215 markers, with a total distance of 3132 cM and a mean genetic distance between markers of 0.12 cM. Facilitated by the array being designed to include markers from most scaffolds, we obtained a second-generation assembly of the flycatcher genome that approaches full chromosome sequences (N50 super-scaffold size 20.2 Mb and with 1.042 Gb (of 1.116 Gb) anchored to and mostly ordered and oriented along chromosomes). We found that flycatcher and zebra finch chromosomes are entirely syntenic but that inversions at mean rates of 1.5\u20132.0 event (6.6\u20137.5 Mb) per My have changed the organization within chromosomes, rates high enough for inversions to potentially have been involved with many speciation events during avian evolution. The mean recombination rate was 3.1 cM/Mb and correlated closely with chromosome size, from 2 cM/Mb for chromosomes &gt;100 Mb to &gt;10 cM/Mb for chromosomes &lt;10 Mb. This size dependence seemed entirely due to an obligate recombination event per chromosome; if 50 cM was subtracted from the genetic lengths of chromosomes, the rate per physical unit DNA was constant across chromosomes. Flycatcher recombi- nation rate showed similar variation along chromosomes as chicken but lacked the large interior recombination deserts characteristic of zebra finch chromosomes.", "author" : [ { "dropping-particle" : "", "family" : "Kawakami", "given" : "Takeshi", "non-dropping-particle" : "", "parse-names" : false, "suffix" : "" }, { "dropping-particle" : "", "family" : "Smeds", "given" : "Linn\u00e9a", "non-dropping-particle" : "", "parse-names" : false, "suffix" : "" }, { "dropping-particle" : "", "family" : "Backstr\u00f6m", "given" : "Niclas", "non-dropping-particle" : "", "parse-names" : false, "suffix" : "" }, { "dropping-particle" : "", "family" : "Husby", "given" : "Arild", "non-dropping-particle" : "", "parse-names" : false, "suffix" : "" }, { "dropping-particle" : "", "family" : "Qvarnstr\u00f6m", "given" : "Anna", "non-dropping-particle" : "", "parse-names" : false, "suffix" : "" }, { "dropping-particle" : "", "family" : "Mugal", "given" : "Carina F.", "non-dropping-particle" : "", "parse-names" : false, "suffix" : "" }, { "dropping-particle" : "", "family" : "Olason", "given" : "Pall", "non-dropping-particle" : "", "parse-names" : false, "suffix" : "" }, { "dropping-particle" : "", "family" : "Ellegren", "given" : "Hans", "non-dropping-particle" : "", "parse-names" : false, "suffix" : "" } ], "container-title" : "Molecular Ecology", "id" : "ITEM-4", "issue" : "16", "issued" : { "date-parts" : [ [ "2014" ] ] }, "page" : "4035-4058", "title" : "A high-density linkage map enables a second-generation collared flycatcher genome assembly and reveals the patterns of avian recombination rate variation and chromosomal evolution", "type" : "article-journal", "volume" : "23" }, "uris" : [ "http://www.mendeley.com/documents/?uuid=d97a4304-a3bf-4e65-acba-bb80a53070cf" ] }, { "id" : "ITEM-5", "itemData" : { "DOI" : "10.1186/2047-217X-3-11", "ISBN" : "2047-217X", "ISSN" : "2047-217X", "PMID" : "25061512", "abstract" : "BACKGROUND: Parrots belong to a group of behaviorally advanced vertebrates and have an advanced ability of vocal learning relative to other vocal-learning birds. They can imitate human speech, synchronize their body movements to a rhythmic beat, and understand complex concepts of referential meaning to sounds. However, little is known about the genetics of these traits. Elucidating the genetic bases would require whole genome sequencing and a robust assembly of a parrot genome.\\n\\nFINDINGS: We present a genomic resource for the budgerigar, an Australian Parakeet (Melopsittacus undulatus) -- the most widely studied parrot species in neuroscience and behavior. We present genomic sequence data that includes over 300\u00d7 raw read coverage from multiple sequencing technologies and chromosome optical maps from a single male animal. The reads and optical maps were used to create three hybrid assemblies representing some of the largest genomic scaffolds to date for a bird; two of which were annotated based on similarities to reference sets of non-redundant human, zebra finch and chicken proteins, and budgerigar transcriptome sequence assemblies. The sequence reads for this project were in part generated and used for both the Assemblathon 2 competition and the first de novo assembly of a giga-scale vertebrate genome utilizing PacBio single-molecule sequencing.\\n\\nCONCLUSIONS: Across several quality metrics, these budgerigar assemblies are comparable to or better than the chicken and zebra finch genome assemblies built from traditional Sanger sequencing reads, and are sufficient to analyze regions that are difficult to sequence and assemble, including those not yet assembled in prior bird genomes, and promoter regions of genes differentially regulated in vocal learning brain regions. This work provides valuable data and material for genome technology development and for investigating the genomics of complex behavioral traits.", "author" : [ { "dropping-particle" : "", "family" : "Ganapathy", "given" : "Ganeshkumar", "non-dropping-particle" : "", "parse-names" : false, "suffix" : "" }, { "dropping-particle" : "", "family" : "Howard", "given" : "Jason T", "non-dropping-particle" : "", "parse-names" : false, "suffix" : "" }, { "dropping-particle" : "", "family" : "Ward", "given" : "James M", "non-dropping-particle" : "", "parse-names" : false, "suffix" : "" }, { "dropping-particle" : "", "family" : "Li", "given" : "Jianwen", "non-dropping-particle" : "", "parse-names" : false, "suffix" : "" }, { "dropping-particle" : "", "family" : "Li", "given" : "Bo", "non-dropping-particle" : "", "parse-names" : false, "suffix" : "" }, { "dropping-particle" : "", "family" : "Li", "given" : "Yingrui", "non-dropping-particle" : "", "parse-names" : false, "suffix" : "" }, { "dropping-particle" : "", "family" : "Xiong", "given" : "Yingqi", "non-dropping-particle" : "", "parse-names" : false, "suffix" : "" }, { "dropping-particle" : "", "family" : "Zhang", "given" : "Yong", "non-dropping-particle" : "", "parse-names" : false, "suffix" : "" }, { "dropping-particle" : "", "family" : "Zhou", "given" : "Shiguo", "non-dropping-particle" : "", "parse-names" : false, "suffix" : "" }, { "dropping-particle" : "", "family" : "Schwartz", "given" : "David C", "non-dropping-particle" : "", "parse-names" : false, "suffix" : "" }, { "dropping-particle" : "", "family" : "Schatz", "given" : "Michael", "non-dropping-particle" : "", "parse-names" : false, "suffix" : "" }, { "dropping-particle" : "", "family" : "Aboukhalil", "given" : "Robert", "non-dropping-particle" : "", "parse-names" : false, "suffix" : "" }, { "dropping-particle" : "", "family" : "Fedrigo", "given" : "Olivier", "non-dropping-particle" : "", "parse-names" : false, "suffix" : "" }, { "dropping-particle" : "", "family" : "Bukovnik", "given" : "Lisa", "non-dropping-particle" : "", "parse-names" : false, "suffix" : "" }, { "dropping-particle" : "", "family" : "Wang", "given" : "Ty", "non-dropping-particle" : "", "parse-names" : false, "suffix" : "" }, { "dropping-particle" : "", "family" : "Wray", "given" : "Greg", "non-dropping-particle" : "", "parse-names" : false, "suffix" : "" }, { "dropping-particle" : "", "family" : "Rasolonjatovo", "given" : "Isabelle", "non-dropping-particle" : "", "parse-names" : false, "suffix" : "" }, { "dropping-particle" : "", "family" : "Winer", "given" : "Roger", "non-dropping-particle" : "", "parse-names" : false, "suffix" : "" }, { "dropping-particle" : "", "family" : "Knight", "given" : "James R", "non-dropping-particle" : "", "parse-names" : false, "suffix" : "" }, { "dropping-particle" : "", "family" : "Koren", "given" : "Sergey", "non-dropping-particle" : "", "parse-names" : false, "suffix" : "" }, { "dropping-particle" : "", "family" : "Warren", "given" : "Wesley C", "non-dropping-particle" : "", "parse-names" : false, "suffix" : "" }, { "dropping-particle" : "", "family" : "Zhang", "given" : "Guojie", "non-dropping-particle" : "", "parse-names" : false, "suffix" : "" }, { "dropping-particle" : "", "family" : "Phillippy", "given" : "Adam M", "non-dropping-particle" : "", "parse-names" : false, "suffix" : "" }, { "dropping-particle" : "", "family" : "Jarvis", "given" : "Erich D", "non-dropping-particle" : "", "parse-names" : false, "suffix" : "" } ], "container-title" : "GigaScience", "id" : "ITEM-5", "issue" : "1", "issued" : { "date-parts" : [ [ "2014" ] ] }, "page" : "11", "title" : "High-coverage sequencing and annotated assemblies of the budgerigar genome", "type" : "article-journal", "volume" : "3" }, "uris" : [ "http://www.mendeley.com/documents/?uuid=d96b12e4-4b3a-4af9-9bf8-e9c3702aad70" ] } ], "mendeley" : { "formattedCitation" : "(Dalloul et al. 2010; Warren et al. 2010; Huang et al. 2013; Kawakami et al. 2014; Ganapathy et al. 2014)", "plainTextFormattedCitation" : "(Dalloul et al. 2010; Warren et al. 2010; Huang et al. 2013; Kawakami et al. 2014; Ganapathy et al. 2014)", "previouslyFormattedCitation" : "(Dalloul et al. 2010; Warren et al. 2010; Huang et al. 2013; Kawakami et al. 2014; Ganapathy et al. 2014)" }, "properties" : { "noteIndex" : 0 }, "schema" : "https://github.com/citation-style-language/schema/raw/master/csl-citation.json" }</w:instrText>
      </w:r>
      <w:r>
        <w:fldChar w:fldCharType="separate"/>
      </w:r>
      <w:r w:rsidRPr="00EA6B3E">
        <w:rPr>
          <w:noProof/>
        </w:rPr>
        <w:t>(Dalloul et al. 2010; Warren et al. 2010; Huang et al. 2013; Kawakami et al. 2014; Ganapathy et al. 2014)</w:t>
      </w:r>
      <w:r>
        <w:fldChar w:fldCharType="end"/>
      </w:r>
      <w:r>
        <w:t>.</w:t>
      </w:r>
      <w:r w:rsidR="00791A9D">
        <w:t xml:space="preserve"> </w:t>
      </w:r>
      <w:r w:rsidR="00CD34C5">
        <w:t>Additionally, the most abundant chicken repetitive element, Ch</w:t>
      </w:r>
      <w:r w:rsidR="00342630">
        <w:t>icken Repeat 1 (CR1; a LINE family</w:t>
      </w:r>
      <w:r w:rsidR="00CD34C5">
        <w:t xml:space="preserve"> element), is </w:t>
      </w:r>
      <w:r w:rsidR="00B016F4">
        <w:t xml:space="preserve">present </w:t>
      </w:r>
      <w:r w:rsidR="00342630">
        <w:t>in approximately two hundred thousand</w:t>
      </w:r>
      <w:r w:rsidR="00CD34C5">
        <w:t xml:space="preserve"> copies, </w:t>
      </w:r>
      <w:r w:rsidR="001A64C7">
        <w:t>significantly fewer</w:t>
      </w:r>
      <w:r w:rsidR="00CD34C5">
        <w:t xml:space="preserve"> than the </w:t>
      </w:r>
      <w:r w:rsidR="001A64C7">
        <w:t>over</w:t>
      </w:r>
      <w:r w:rsidR="00342630">
        <w:t xml:space="preserve"> one million</w:t>
      </w:r>
      <w:r w:rsidR="00CD34C5">
        <w:t xml:space="preserve"> L1 copies in mammalian genomes, even when scaled for the three-fold difference in genome size </w:t>
      </w:r>
      <w:r w:rsidR="00CD34C5">
        <w:fldChar w:fldCharType="begin" w:fldLock="1"/>
      </w:r>
      <w:r w:rsidR="003867EC">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"mendeley" : { "formattedCitation" : "(Ellegren 2005)", "plainTextFormattedCitation" : "(Ellegren 2005)", "previouslyFormattedCitation" : "(Ellegren 2005)" }, "properties" : { "noteIndex" : 0 }, "schema" : "https://github.com/citation-style-language/schema/raw/master/csl-citation.json" }</w:instrText>
      </w:r>
      <w:r w:rsidR="00CD34C5">
        <w:fldChar w:fldCharType="separate"/>
      </w:r>
      <w:r w:rsidR="00CD34C5" w:rsidRPr="00791A9D">
        <w:rPr>
          <w:noProof/>
        </w:rPr>
        <w:t>(Ellegren 2005)</w:t>
      </w:r>
      <w:r w:rsidR="00CD34C5">
        <w:fldChar w:fldCharType="end"/>
      </w:r>
      <w:r w:rsidR="00CD34C5">
        <w:t>. These initial draft genomes also began to show that whilst overall repeat content was similar between birds, the represented repeat families and their relative proportions were highly lineage specific. It was not until after the start of this project, with the release of further genomes, that this could be studi</w:t>
      </w:r>
      <w:r w:rsidR="00342630">
        <w:t>ed more completely, including through</w:t>
      </w:r>
      <w:r w:rsidR="00CD34C5">
        <w:t xml:space="preserve"> the analysis presented here in Chapter 4. Subsequent work on avian genomic repeat content has been reviewed in the introduction to that chapter (page </w:t>
      </w:r>
      <w:r w:rsidR="005B09FF">
        <w:fldChar w:fldCharType="begin" w:fldLock="1"/>
      </w:r>
      <w:r w:rsidR="005B09FF">
        <w:instrText xml:space="preserve"> PAGEREF  _Ref483313519 \h </w:instrText>
      </w:r>
      <w:r w:rsidR="005B09FF">
        <w:fldChar w:fldCharType="separate"/>
      </w:r>
      <w:r w:rsidR="00C26134">
        <w:rPr>
          <w:noProof/>
        </w:rPr>
        <w:t>5</w:t>
      </w:r>
      <w:r w:rsidR="005B09FF">
        <w:fldChar w:fldCharType="end"/>
      </w:r>
      <w:r w:rsidR="00CD34C5">
        <w:t>).</w:t>
      </w:r>
    </w:p>
    <w:p w14:paraId="38BB125B" w14:textId="4332D0CA" w:rsidR="001A64C7" w:rsidRDefault="00434D1D" w:rsidP="00391005">
      <w:pPr>
        <w:pStyle w:val="ListParagraph"/>
      </w:pPr>
      <w:r>
        <w:lastRenderedPageBreak/>
        <w:t>This observed deficit of repetitive elements in avian genomes</w:t>
      </w:r>
      <w:r w:rsidR="00662B8E">
        <w:t xml:space="preserve"> compared with mammals</w:t>
      </w:r>
      <w:r>
        <w:t xml:space="preserve"> is </w:t>
      </w:r>
      <w:r w:rsidR="00F43B0E">
        <w:t xml:space="preserve">at least </w:t>
      </w:r>
      <w:r>
        <w:t xml:space="preserve">partially responsible for their observed compactness. </w:t>
      </w:r>
      <w:r w:rsidR="00DE5DC9">
        <w:t>Such a deficit could be due to limited</w:t>
      </w:r>
      <w:r w:rsidR="007F2ED3">
        <w:t xml:space="preserve"> numbers of</w:t>
      </w:r>
      <w:r w:rsidR="00DE5DC9">
        <w:t xml:space="preserve"> new retrotransposition events, and the common</w:t>
      </w:r>
      <w:r w:rsidR="00342630">
        <w:t>ly observed</w:t>
      </w:r>
      <w:r w:rsidR="00DE5DC9">
        <w:t xml:space="preserve"> </w:t>
      </w:r>
      <w:r w:rsidR="002568CF">
        <w:t>truncation</w:t>
      </w:r>
      <w:r w:rsidR="00DE5DC9">
        <w:t xml:space="preserve"> of the 5’ CR1 promoter region in avian genome</w:t>
      </w:r>
      <w:r w:rsidR="007F2ED3">
        <w:t>s could</w:t>
      </w:r>
      <w:r w:rsidR="00342630">
        <w:t xml:space="preserve"> have</w:t>
      </w:r>
      <w:r w:rsidR="007F2ED3">
        <w:t xml:space="preserve"> limit</w:t>
      </w:r>
      <w:r w:rsidR="00342630">
        <w:t>ed</w:t>
      </w:r>
      <w:r w:rsidR="007F2ED3">
        <w:t xml:space="preserve"> expansion of this group</w:t>
      </w:r>
      <w:r w:rsidR="00DE5DC9">
        <w:t xml:space="preserve"> </w:t>
      </w:r>
      <w:r w:rsidR="003867EC">
        <w:fldChar w:fldCharType="begin" w:fldLock="1"/>
      </w:r>
      <w:r w:rsidR="00050CEC">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"mendeley" : { "formattedCitation" : "(Ellegren 2005)", "plainTextFormattedCitation" : "(Ellegren 2005)", "previouslyFormattedCitation" : "(Ellegren 2005)" }, "properties" : { "noteIndex" : 0 }, "schema" : "https://github.com/citation-style-language/schema/raw/master/csl-citation.json" }</w:instrText>
      </w:r>
      <w:r w:rsidR="003867EC">
        <w:fldChar w:fldCharType="separate"/>
      </w:r>
      <w:r w:rsidR="003867EC" w:rsidRPr="003867EC">
        <w:rPr>
          <w:noProof/>
        </w:rPr>
        <w:t>(Ellegren 2005)</w:t>
      </w:r>
      <w:r w:rsidR="003867EC">
        <w:fldChar w:fldCharType="end"/>
      </w:r>
      <w:r w:rsidR="00DE5DC9">
        <w:t xml:space="preserve">. However, as avian genomes are generally very similar in size despite highly lineage-specific repeat content composition, it is likely that birds are particularly efficient at controlling </w:t>
      </w:r>
      <w:r w:rsidR="003867EC">
        <w:t>and removing transposable elements</w:t>
      </w:r>
      <w:r w:rsidR="00DE5DC9">
        <w:t>.</w:t>
      </w:r>
      <w:r w:rsidR="003867EC">
        <w:t xml:space="preserve"> </w:t>
      </w:r>
    </w:p>
    <w:p w14:paraId="57BC97F6" w14:textId="09B5F533" w:rsidR="005838A3" w:rsidRDefault="003867EC" w:rsidP="00391005">
      <w:pPr>
        <w:pStyle w:val="ListParagraph"/>
      </w:pPr>
      <w:r>
        <w:t xml:space="preserve">There is a great deal of literature supporting the physiological costs of large genomes, including </w:t>
      </w:r>
      <w:r w:rsidR="007F2ED3">
        <w:t>reduced organism-level</w:t>
      </w:r>
      <w:r>
        <w:t xml:space="preserve"> size, slower cell division, reduced metabolic rates, and even issues with circulation and neurological capacity </w:t>
      </w:r>
      <w:r w:rsidR="00050CEC">
        <w:fldChar w:fldCharType="begin" w:fldLock="1"/>
      </w:r>
      <w:r w:rsidR="00F62CD6">
        <w:instrText>ADDIN CSL_CITATION { "citationItems" : [ { "id" : "ITEM-1", "itemData" : { "DOI" : "10.1146/annurev.es.24.110193.002441", "ISBN" : "00664162", "ISSN" : "0066-4162", "PMID" : "952", "abstract" : "Miniaturization, or the evolution of extremely small adult body size, is a widespread phenomenon in animals. It has important consequences for both organismal biology and phyletic diversification above the species level. The miniaturized phenotype is a complex combination of ancestral and derived traits, including reduction and structural simplification, increased variability, and morphological novelty. Many features likely represent secondary consequences of size decrease, which may be the result of selection primarily for small body size or some related attribute such as life history characteristics. In some cases, miniaturization has resulted in novel bauplans associated with the origin of higher taxa. Evaluation of causes and consequences of miniaturization should consider obvious feattlres of physical . size as well as less obvious, but biologically important, features such as genome and cell size.", "author" : [ { "dropping-particle" : "", "family" : "Hanken", "given" : "James", "non-dropping-particle" : "", "parse-names" : false, "suffix" : "" }, { "dropping-particle" : "", "family" : "Wake", "given" : "David B.", "non-dropping-particle" : "", "parse-names" : false, "suffix" : "" } ], "container-title" : "Annual Review of Ecology and Systematics", "id" : "ITEM-1", "issue" : "1", "issued" : { "date-parts" : [ [ "1993" ] ] }, "page" : "501-519", "title" : "Miniaturization of Body Size: Organismal Consequences and Evolutionary Significance", "type" : "article-journal", "volume" : "24" }, "uris" : [ "http://www.mendeley.com/documents/?uuid=36081315-1974-4715-92d0-72e34cb62eda" ] }, { "id" : "ITEM-2", "itemData" : { "DOI" : "10.1159/000113321", "ISBN" : "0006-8977 (Print)\\n0006-8977 (Linking)", "ISSN" : "0006-8977", "PMID" : "9209766", "abstract" : "Compared to other vertebrates, even including lampreys and hagfishes in some respects, salamanders exhibit a relatively simple organization of brain and sense organs which is illustrated here using the visual system as an example. The greatest simplicity is found in the bolitoglossine salamanders, yet all bolitoglossines possess highly projectile tongues and rely on vision for survival; furthermore, some species are agile and acrobatic. The unusual features of the visual system of salamanders include small numbers of large neurons, a low degree of morphological differentiation among neurons, a small proportion of myelinated axons in the optic nerve, and an optic tectum consisting essentially of a periventricular cellular layer and a superficial fiber layer. Similar features are found throughout the central nervous system of salamanders and in the lateral line, auditory and olfactory systems as well. Phylogenetic analysis shows that the most parsimonious interpretation of these data is that the simple organization of the brain and sense organs of salamanders was derived secondarily from a more complex ancestral state. We hypothesize that increased genome size has led to simplification of the nervous system in salamanders. Increased genome size appears to have had profound effects on neural development in salamanders, leading to paedomorphosis, the retention of juvenile or even embryonic characteristics into adulthood. In particular, large genome size is associated with large cell size and reduced rates of cell proliferation, migration and differentiation. Secondary simplification has constrained the function of the salamanders' visual system, primarily by increasing cell size and decreasing cell numbers. However, it also has provided an opportunity for the evolution of compensating mechanisms, which have helped to restore or even enhance visual function. Most apparent among the compensatory mechanisms of bolitoglossine salamanders is the presence of well developed ipsilateral retinotectal projections, which apparently enhance depth perception. It is difficult to explain the unusual history of the nervous system in salamanders solely in terms of natural selection and adaptation. Increasing genome size through selfish replication appears to have played a major role in the evolution of salamander brains by imposing functional constraints as well as creating opportunities for overcoming them.", "author" : [ { "dropping-particle" : "", "family" : "Roth", "given" : "G", "non-dropping-particle" : "", "parse-names" : false, "suffix" : "" }, { "dropping-particle" : "", "family" : "Nishikawa", "given" : "K C", "non-dropping-particle" : "", "parse-names" : false, "suffix" : "" }, { "dropping-particle" : "", "family" : "Wake", "given" : "D B", "non-dropping-particle" : "", "parse-names" : false, "suffix" : "" } ], "container-title" : "Brain, behavior and evolution", "id" : "ITEM-2", "issue" : "1", "issued" : { "date-parts" : [ [ "1997" ] ] }, "page" : "50-59", "title" : "Genome size, secondary simplification, and the evolution of the brain in salamanders.", "type" : "article-journal", "volume" : "50" }, "uris" : [ "http://www.mendeley.com/documents/?uuid=cb6646d3-4379-4bc4-b424-5f700c728fa2" ] }, { "id" : "ITEM-3", "itemData" : { "DOI" : "10.1023/a:1003957323876", "ISBN" : "0016-6707 (Print)", "ISSN" : "0016-6707", "PMID" : "10952206", "abstract" : "Transposable elements (TEs) are sequences capable of multiplying in their host's genome. They survive by increasing copy numbers due to transpositions, and natural selection washes them out because hosts with heavier loads of TEs have lower fitness. The available phylogenetic evidence supports the view that TEs have existed in living organisms for hundreds of millions of years. A fundamental question facing the field is how can an equilibrium be attained between transposition and selection which allows these parasitic genetic elements to persist for such a long time period? To answer this question, it is necessary to understand how the rate of TE transposition is controlled and to describe the mechanisms with which natural selection opposes TE accumulation. Perhaps the best models for such a study are copia and gypsy retrotransposons in Drosophila. Their average rate of transposition in nature is between 10(-5) - 10(-4) transpositions per copy per generation. Unlike nature, transposition rates vary widely, from zero to 10(-2), between laboratory lines. This variability in transposition rate is controlled by host genes. It is probable that in nature TE site heterogeneity is caused by frequent transpositions in rare flies with permissive alleles, and no transpositions happen in the rest of flies. The average rate of TE transposition in nature may thus depend on the frequency of permissive alleles, which is a function of the rate of mutation from restrictive to permissive alleles, the mechanism and the strength of selection opposing TE multiplication, and population size. Thus, evolution of the frequency of permissive alleles of genes controlling transposition must be accounted for to understand evolution of TE copy numbers.", "author" : [ { "dropping-particle" : "V.", "family" : "Nuzhdin", "given" : "Sergey", "non-dropping-particle" : "", "parse-names" : false, "suffix" : "" } ], "container-title" : "Genetica", "id" : "ITEM-3", "issue" : "1-3", "issued" : { "date-parts" : [ [ "1999" ] ] }, "page" : "129-137", "title" : "Sure facts, speculations, and open questions about the evolution of transposable element copy number", "type" : "article-journal", "volume" : "107" }, "uris" : [ "http://www.mendeley.com/documents/?uuid=b63490bc-1228-45ae-b484-e8bccd23f366" ] }, { "id" : "ITEM-4", "itemData" : { "DOI" : "10.1093/aob/mci010", "ISBN" : "0305-7364 (Print) 0305-7364 (Linking)", "ISSN" : "03057364", "PMID" : "15596464", "abstract" : "BACKGROUND: Nuclear genome size varies 300 000-fold, whereas transcriptome size varies merely 17-fold. In the largest genomes nearly all DNA is non-genic secondary DNA, mostly intergenic but also within introns. There is now compelling evidence that secondary DNA is functional, i.e. positively selected by organismal selection, not the purely neutral or 'selfish' outcome of mutation pressure. The skeletal DNA theory argued that nuclear volumes are genetically determined primarily by nuclear DNA amounts, modulated somewhat by genes affecting the degree of DNA packing or unfolding; the huge spread of nuclear genome sizes is the necessary consequence of the origin of the nuclear envelope and the nucleation of its assembly by DNA, plus the adaptively significant 300 000-fold range of cell volumes and selection for balanced growth by optimizing karyoplasmic volume ratios (essentially invariant with cell volume in growing/multiplying cells). This simple explanation of the C-value paradox is refined here in the light of new insights into the nature of heterochromatin and the nuclear lamina, the genetic control of cell volume, and large-scale eukaryote phylogeny, placing special emphasis on protist test cases of the basic principles of nuclear genome size evolution.\\n\\nGENOME MINIATURIZATION: and Expansion Intracellular parasites (e.g. Plasmodium, microsporidia) dwarfed their genomes by gene loss and eliminating virtually all secondary DNA. The primary driving forces for genome reduction are metabolic and spatial economy and cell multiplication speed. Most extreme nuclear shrinkage yielded genomes as tiny as 0.38 Mb (making the nuclear genome size range effectively 1.8 million-fold!) in some minute enslaved nuclei (nucleomorphs) of cryptomonads and chlorarachneans, chimaeric cells that also retain a separate normal large nucleus. The latter shows typical correlation between genome size and cell volume, but nucleomorphs do not despite co-existing in the same cell for &gt;500 My. Thus mutation pressure does not inexorably increase genome size; selection can eliminate essentially all non-coding DNA if need be. Nucleomorphs and microsporidia even reduced gene size. Expansion of secondary DNA in the main nucleus, and in large-celled eukaryotes generally, must be positively selected for function. Ciliate nuclear dimorphism provides a key test that refutes the selfish DNA and strongly supports the skeletal DNA/karyoplasmic ratio interpretation of genome size evolution.\\n\\\u2026", "author" : [ { "dropping-particle" : "", "family" : "Cavalier-Smith", "given" : "Thomas", "non-dropping-particle" : "", "parse-names" : false, "suffix" : "" } ], "container-title" : "Annals of Botany", "id" : "ITEM-4", "issue" : "1", "issued" : { "date-parts" : [ [ "2005" ] ] }, "page" : "147-175", "title" : "Economy, speed and size matter: Evolutionary forces driving nuclear genome miniaturization and expansion", "type" : "article-journal", "volume" : "95" }, "uris" : [ "http://www.mendeley.com/documents/?uuid=5b9feca7-448f-4bcf-976e-785b847d50f2" ] }, { "id" : "ITEM-5", "itemData" : { "DOI" : "10.1038/nrg1674", "ISBN" : "1471-0056 (Print)", "ISSN" : "1471-0056", "PMID" : "16151375", "abstract" : "Until recently the study of individual DNA sequences and of total DNA content (the C-value) sat at opposite ends of the spectrum in genome biology. For gene sequencers, the vast stretches of non-coding DNA found in eukaryotic genomes were largely considered to be an annoyance, whereas genome-size researchers attributed little relevance to specific nucleotide sequences. However, the dawn of comprehensive genome sequencing has allowed a new synergy between these fields, with sequence data providing novel insights into genome-size evolution, and with genome-size data being of both practical and theoretical significance for large-scale sequence analysis. In combination, these formerly disconnected disciplines are poised to deliver a greatly improved understanding of genome structure and evolution.", "author" : [ { "dropping-particle" : "", "family" : "Gregory", "given" : "T. Ryan", "non-dropping-particle" : "", "parse-names" : false, "suffix" : "" } ], "container-title" : "Nature Reviews Genetics", "id" : "ITEM-5", "issue" : "9", "issued" : { "date-parts" : [ [ "2005" ] ] }, "page" : "699-708", "title" : "Synergy between sequence and size in Large-scale genomics", "type" : "article-journal", "volume" : "6" }, "uris" : [ "http://www.mendeley.com/documents/?uuid=2518a3f7-0965-4294-b081-af77275cd700" ] }, { "id" : "ITEM-6", "itemData" : { "DOI" : "10.1093/gbe/evr139", "ISBN" : "22200636", "ISSN" : "17596653", "PMID" : "22200636", "abstract" : "Among vertebrates, most of the largest genomes are found within the salamanders, a clade of amphibians that includes 613 species. Salamander genome sizes range from ~14 to ~120 Gb. Because genome size is correlated with nucleus and cell sizes, as well as other traits, morphological evolution in salamanders has been profoundly affected by genomic gigantism. However, the molecular mechanisms driving genomic expansion in this clade remain largely unknown. Here, we present the first comparative analysis of transposable element (TE) content in salamanders. Using high-throughput sequencing, we generated genomic shotgun data for six species from the Plethodontidae, the largest family of salamanders. We then developed a pipeline to mine TE sequences from shotgun data in taxa with limited genomic resources, such as salamanders. Our summaries of overall TE abundance and diversity for each species demonstrate that TEs make up a substantial portion of salamander genomes, and that all of the major known types of TEs are represented in salamanders. The most abundant TE superfamilies found in the genomes of our six focal species are similar, despite substantial variation in genome size. However, our results demonstrate a major difference between salamanders and other vertebrates: salamander genomes contain much larger amounts of long terminal repeat (LTR) retrotransposons, primarily Ty3/gypsy elements. Thus, the extreme increase in genome size that occurred in salamanders was likely accompanied by a shift in TE landscape. These results suggest that increased proliferation of LTR retrotransposons was a major molecular mechanism contributing to genomic expansion in salamanders.", "author" : [ { "dropping-particle" : "", "family" : "Sun", "given" : "Cheng", "non-dropping-particle" : "", "parse-names" : false, "suffix" : "" }, { "dropping-particle" : "", "family" : "Shepard", "given" : "Donald B.", "non-dropping-particle" : "", "parse-names" : false, "suffix" : "" }, { "dropping-particle" : "", "family" : "Chong", "given" : "Rebecca A.", "non-dropping-particle" : "", "parse-names" : false, "suffix" : "" }, { "dropping-particle" : "", "family" : "Arriaza", "given" : "Jos?? L??pez", "non-dropping-particle" : "", "parse-names" : false, "suffix" : "" }, { "dropping-particle" : "", "family" : "Hall", "given" : "Kathryn", "non-dropping-particle" : "", "parse-names" : false, "suffix" : "" }, { "dropping-particle" : "", "family" : "Castoe", "given" : "Todd A.", "non-dropping-particle" : "", "parse-names" : false, "suffix" : "" }, { "dropping-particle" : "", "family" : "Feschotte", "given" : "C??dric", "non-dropping-particle" : "", "parse-names" : false, "suffix" : "" }, { "dropping-particle" : "", "family" : "Pollock", "given" : "David D.", "non-dropping-particle" : "", "parse-names" : false, "suffix" : "" }, { "dropping-particle" : "", "family" : "Mueller", "given" : "Rachel Lockridge", "non-dropping-particle" : "", "parse-names" : false, "suffix" : "" } ], "container-title" : "Genome Biology and Evolution", "id" : "ITEM-6", "issue" : "2", "issued" : { "date-parts" : [ [ "2012" ] ] }, "page" : "168-183", "title" : "LTR retrotransposons contribute to genomic gigantism in plethodontid salamanders", "type" : "article-journal", "volume" : "4" }, "uris" : [ "http://www.mendeley.com/documents/?uuid=d9bd8703-fb6e-490a-8e11-321b676b2d9c" ] } ], "mendeley" : { "formattedCitation" : "(Hanken &amp; Wake 1993; Roth et al. 1997; Nuzhdin 1999; Cavalier-Smith 2005; Gregory 2005; Sun et al. 2012)", "plainTextFormattedCitation" : "(Hanken &amp; Wake 1993; Roth et al. 1997; Nuzhdin 1999; Cavalier-Smith 2005; Gregory 2005; Sun et al. 2012)", "previouslyFormattedCitation" : "(Hanken &amp; Wake 1993; Roth et al. 1997; Nuzhdin 1999; Cavalier-Smith 2005; Gregory 2005; Sun et al. 2012)" }, "properties" : { "noteIndex" : 0 }, "schema" : "https://github.com/citation-style-language/schema/raw/master/csl-citation.json" }</w:instrText>
      </w:r>
      <w:r w:rsidR="00050CEC">
        <w:fldChar w:fldCharType="separate"/>
      </w:r>
      <w:r w:rsidR="000F1CF5" w:rsidRPr="000F1CF5">
        <w:rPr>
          <w:noProof/>
        </w:rPr>
        <w:t>(Hanken &amp; Wake 1993; Roth et al. 1997; Nuzhdin 1999; Cavalier-Smith 2005; Gregory 2005; Sun et al. 2012)</w:t>
      </w:r>
      <w:r w:rsidR="00050CEC">
        <w:fldChar w:fldCharType="end"/>
      </w:r>
      <w:r>
        <w:t>. For birds, flight requires a high metabolic rate, and a number of studies have linked this to</w:t>
      </w:r>
      <w:r w:rsidR="00B016F4">
        <w:t xml:space="preserve"> the</w:t>
      </w:r>
      <w:r>
        <w:t xml:space="preserve"> </w:t>
      </w:r>
      <w:r w:rsidR="00B016F4">
        <w:t xml:space="preserve">observed </w:t>
      </w:r>
      <w:r w:rsidR="00342630">
        <w:t xml:space="preserve">compact </w:t>
      </w:r>
      <w:r>
        <w:t xml:space="preserve">genome sizes </w:t>
      </w:r>
      <w:r w:rsidR="00050CEC">
        <w:fldChar w:fldCharType="begin" w:fldLock="1"/>
      </w:r>
      <w:r w:rsidR="000F1CF5">
        <w:instrText>ADDIN CSL_CITATION { "citationItems" : [ { "id" : "ITEM-1", "itemData" : { "DOI" : "10.1038/377391a0", "ISBN" : "0028-0836 (Print)\\r0028-0836 (Linking)", "ISSN" : "0028-0836", "PMID" : "7566113", "abstract" : "N/a.", "author" : [ { "dropping-particle" : "", "family" : "Hughes", "given" : "Austin L.", "non-dropping-particle" : "", "parse-names" : false, "suffix" : "" }, { "dropping-particle" : "", "family" : "Hughes", "given" : "Marlanne K.", "non-dropping-particle" : "", "parse-names" : false, "suffix" : "" } ], "container-title" : "Nature", "id" : "ITEM-1", "issue" : "5", "issued" : { "date-parts" : [ [ "1995" ] ] }, "page" : "391", "title" : "Small genomes for better flyers", "type" : "article", "volume" : "377" }, "uris" : [ "http://www.mendeley.com/documents/?uuid=752a7a37-1b12-4ee6-9c72-2b2e7f6f4a6a" ] }, { "id" : "ITEM-2", "itemData" : { "DOI" : "10.1098/rspb.2008", "author" : [ { "dropping-particle" : "", "family" : "Gregory", "given" : "T. Ryan", "non-dropping-particle" : "", "parse-names" : false, "suffix" : "" }, { "dropping-particle" : "", "family" : "Andrews", "given" : "CB", "non-dropping-particle" : "", "parse-names" : false, "suffix" : "" }, { "dropping-particle" : "", "family" : "McGuire", "given" : "JA", "non-dropping-particle" : "", "parse-names" : false, "suffix" : "" }, { "dropping-particle" : "", "family" : "Witt", "given" : "CC", "non-dropping-particle" : "", "parse-names" : false, "suffix" : "" } ], "container-title" : "Proceedings of the Royal Society B: Biological Sciences", "id" : "ITEM-2", "issue" : "1674", "issued" : { "date-parts" : [ [ "2009" ] ] }, "page" : "3753-3757", "title" : "The smallest avian genomes are found in hummingbirds", "type" : "article-journal", "volume" : "276" }, "uris" : [ "http://www.mendeley.com/documents/?uuid=f470d407-1521-44cb-a5d3-1758eb80cb7f" ] }, { "id" : "ITEM-3", "itemData" : { "DOI" : "10.1098/rspb.2013.2780", "ISBN" : "1471-2954", "ISSN" : "0962-8452", "PMID" : "24478299", "abstract" : "The tendency for flying organisms to possess small genomes has been interpreted as evidence of natural selection acting on the physical size of the genome. Nonetheless, the flight-genome link and its mechanistic basis have yet to be well established by comparative studies within a volant clade. Is there a particular functional aspect of flight such as brisk metabolism, lift production or maneuverability that impinges on the physical genome? We measured genome sizes, wing dimensions and heart, flight muscle and body masses from a phylogenetically diverse set of bird species. In phylogenetically controlled analyses, we found that genome size was negatively correlated with relative flight muscle size and heart index (i.e. ratio of heart to body mass), but positively correlated with body mass and wing loading. The proportional masses of the flight muscles and heart were the most important parameters explaining variation in genome size in multivariate models. Hence, the metabolic intensity of powered flight appears to have driven genome size reduction in birds.", "author" : [ { "dropping-particle" : "", "family" : "Wright", "given" : "N. A.", "non-dropping-particle" : "", "parse-names" : false, "suffix" : "" }, { "dropping-particle" : "", "family" : "Gregory", "given" : "T. R.", "non-dropping-particle" : "", "parse-names" : false, "suffix" : "" }, { "dropping-particle" : "", "family" : "Witt", "given" : "C. C.", "non-dropping-particle" : "", "parse-names" : false, "suffix" : "" } ], "container-title" : "Proceedings of the Royal Society B: Biological Sciences", "id" : "ITEM-3", "issue" : "1779", "issued" : { "date-parts" : [ [ "2014" ] ] }, "page" : "20132780-20132780", "title" : "Metabolic 'engines' of flight drive genome size reduction in birds", "type" : "article-journal", "volume" : "281" }, "uris" : [ "http://www.mendeley.com/documents/?uuid=65ef31b9-d18a-49e4-a74c-f2ffb51a2220" ] } ], "mendeley" : { "formattedCitation" : "(Hughes &amp; Hughes 1995; Gregory et al. 2009; Wright et al. 2014)", "plainTextFormattedCitation" : "(Hughes &amp; Hughes 1995; Gregory et al. 2009; Wright et al. 2014)", "previouslyFormattedCitation" : "(Hughes &amp; Hughes 1995; Gregory et al. 2009; Wright et al. 2014)" }, "properties" : { "noteIndex" : 0 }, "schema" : "https://github.com/citation-style-language/schema/raw/master/csl-citation.json" }</w:instrText>
      </w:r>
      <w:r w:rsidR="00050CEC">
        <w:fldChar w:fldCharType="separate"/>
      </w:r>
      <w:r w:rsidR="000F1CF5" w:rsidRPr="000F1CF5">
        <w:rPr>
          <w:noProof/>
        </w:rPr>
        <w:t>(Hughes &amp; Hughes 1995; Gregory et al. 2009; Wright et al. 2014)</w:t>
      </w:r>
      <w:r w:rsidR="00050CEC">
        <w:fldChar w:fldCharType="end"/>
      </w:r>
      <w:r>
        <w:t xml:space="preserve">. </w:t>
      </w:r>
      <w:r w:rsidR="007F2ED3">
        <w:t>S</w:t>
      </w:r>
      <w:r w:rsidR="00B016F4">
        <w:t>imilarly</w:t>
      </w:r>
      <w:r w:rsidR="004A4193">
        <w:t>,</w:t>
      </w:r>
      <w:r w:rsidR="00B016F4">
        <w:t xml:space="preserve"> compact genomes are also </w:t>
      </w:r>
      <w:r w:rsidR="00342630">
        <w:t>seen</w:t>
      </w:r>
      <w:r w:rsidR="00662B8E">
        <w:t xml:space="preserve"> in bats compared with</w:t>
      </w:r>
      <w:r w:rsidR="00B016F4">
        <w:t xml:space="preserve"> other mammalian groups, again due to the reduction of transposable element content </w:t>
      </w:r>
      <w:r w:rsidR="00B016F4">
        <w:fldChar w:fldCharType="begin" w:fldLock="1"/>
      </w:r>
      <w:r w:rsidR="000F1CF5">
        <w:instrText>ADDIN CSL_CITATION { "citationItems" : [ { "id" : "ITEM-1", "itemData" : { "DOI" : "10.1007/BF00356168", "ISBN" : "0938-8990 (Print)\\r0938-8990 (Linking)", "ISSN" : "09388990", "PMID" : "8589520", "abstract" : "Bats possess a genome approximately 50-87% the size of other eutherian mammals. We document that the events that have achieved or maintained a small genome size in the Mexican leaf-nosed bat Macrotus waterhousii have resulted in a lower copy number of interspersed and tandemly repetitive elements. These conclusions are based on examination of 1726 randomly chosen recombinant cosmids, with an average insert size of 35.7 kb and representing 2.6% of the haploid genome of M. waterhousii. Probes representative of microsatellites [(GT)n, (CT)n, (AT)n, (GC)n] and a tandem repeat (rDNA) were used to estimate frequency of repetitive elements in the M. waterhousii genome. Of the four dinucleotides, (GT)n was present in 33.5% of the clones, (CT)n was present in 31.0% of the clones, and (AT)n and (GC)n were not represented in any of the clones examined. The 28S rDNA and a repetitive element from M. californicus were found in three and four clones, respectively. The dinucleotides (GT)n and (CT)n occurred together in the same clone more frequently than expected from chance. Although our data do not allow us to empirically test which mechanisms are maintaining copy number of repetitive DNA in the bat genome, the nonrandom association of these different families of repetitive DNA may provide insight into a mechanism that proportionately reduces diverse families of repetitive DNA that are known to be amplified by very different mechanisms.", "author" : [ { "dropping-particle" : "", "family" : "Bussche", "given" : "R. A.", "non-dropping-particle" : "Van Den", "parse-names" : false, "suffix" : "" }, { "dropping-particle" : "", "family" : "Longmire", "given" : "J. L.", "non-dropping-particle" : "", "parse-names" : false, "suffix" : "" }, { "dropping-particle" : "", "family" : "Baker", "given" : "R. J.", "non-dropping-particle" : "", "parse-names" : false, "suffix" : "" } ], "container-title" : "Mammalian Genome", "id" : "ITEM-1", "issue" : "8", "issued" : { "date-parts" : [ [ "1995" ] ] }, "page" : "521-525", "title" : "How bats achieve a small C-value: frequency of repetitive DNA in Macrotus", "type" : "article-journal", "volume" : "6" }, "uris" : [ "http://www.mendeley.com/documents/?uuid=df264226-f0bb-4e2a-a441-9c8cfa1685d0" ] } ], "mendeley" : { "formattedCitation" : "(Van Den Bussche et al. 1995)", "plainTextFormattedCitation" : "(Van Den Bussche et al. 1995)", "previouslyFormattedCitation" : "(Van Den Bussche et al. 1995)" }, "properties" : { "noteIndex" : 0 }, "schema" : "https://github.com/citation-style-language/schema/raw/master/csl-citation.json" }</w:instrText>
      </w:r>
      <w:r w:rsidR="00B016F4">
        <w:fldChar w:fldCharType="separate"/>
      </w:r>
      <w:r w:rsidR="00B016F4" w:rsidRPr="00B016F4">
        <w:rPr>
          <w:noProof/>
        </w:rPr>
        <w:t>(Van Den Bussche et al. 1995)</w:t>
      </w:r>
      <w:r w:rsidR="00B016F4">
        <w:fldChar w:fldCharType="end"/>
      </w:r>
      <w:r w:rsidR="00B016F4">
        <w:t>.</w:t>
      </w:r>
      <w:r w:rsidR="00342630">
        <w:t xml:space="preserve"> A greater understanding of avian transposable element content is therefore necessary to understand not only the effects of individual elements on the host, but also wha</w:t>
      </w:r>
      <w:r w:rsidR="00A5141A">
        <w:t>t the content reveals about avian genome evolution.</w:t>
      </w:r>
    </w:p>
    <w:p w14:paraId="7741DC15" w14:textId="796B4FCC" w:rsidR="00141710" w:rsidRDefault="00141710" w:rsidP="00391005">
      <w:pPr>
        <w:pStyle w:val="ListParagraph"/>
      </w:pPr>
    </w:p>
    <w:p w14:paraId="5B248056" w14:textId="14F28AB1" w:rsidR="00141710" w:rsidRDefault="007F76D0" w:rsidP="00141710">
      <w:pPr>
        <w:pStyle w:val="Heading3"/>
      </w:pPr>
      <w:bookmarkStart w:id="58" w:name="_Toc485721565"/>
      <w:bookmarkStart w:id="59" w:name="_Toc486787145"/>
      <w:bookmarkStart w:id="60" w:name="_Toc486787293"/>
      <w:r>
        <w:t>C</w:t>
      </w:r>
      <w:r w:rsidR="002E6B90">
        <w:t>hicken LTR retrotransposon content</w:t>
      </w:r>
      <w:bookmarkEnd w:id="58"/>
      <w:bookmarkEnd w:id="59"/>
      <w:bookmarkEnd w:id="60"/>
    </w:p>
    <w:p w14:paraId="4D958E5A" w14:textId="75D6CBD0" w:rsidR="0018143B" w:rsidRDefault="0018143B" w:rsidP="00391005">
      <w:pPr>
        <w:pStyle w:val="ListParagraph"/>
      </w:pPr>
      <w:r>
        <w:t>Until the release of the reference genome very little was known about the wider LTR retrotransposon content of the chicken. Most research had focused on individual ERVs which were known to have phenotypic and commercial relevance, particularly the alpharetroviral Avian Leukosis Virus subgroup E (ALV</w:t>
      </w:r>
      <w:r w:rsidR="00E5497C">
        <w:t>E</w:t>
      </w:r>
      <w:r>
        <w:t>) and Endogenous Avian Virus (E</w:t>
      </w:r>
      <w:r w:rsidR="00E5497C">
        <w:t>AV</w:t>
      </w:r>
      <w:r>
        <w:t xml:space="preserve">) insertions </w:t>
      </w:r>
      <w:r>
        <w:fldChar w:fldCharType="begin" w:fldLock="1"/>
      </w:r>
      <w:r w:rsidR="00E5497C">
        <w:instrText>ADDIN CSL_CITATION { "citationItems" : [ { "id" : "ITEM-1", "itemData" : { "DOI" : "10.1128/JVI.75.23.11935", "abstract" : "Avian leukosis virus subgroup J (ALV-J), an exogenous avian retrovirus, is thought to have evolved by recombination with the highly identical env gene of the endogenous avian retrovirus EAV-HP. Embryonic expression of EAV-HP env has been suggested to be associated with the induction of immunological tolerance, a feature observed in a significant proportion of meat-type chickens infected with ALV-J. In support of this hypothesis, we demonstrate that EAV-HP loci, some of which could be associated with tolerance, are still segregating within the chicken population.", "author" : [ { "dropping-particle" : "", "family" : "Sacco", "given" : "MA", "non-dropping-particle" : "", "parse-names" : false, "suffix" : "" }, { "dropping-particle" : "", "family" : "Venugopal", "given" : "K", "non-dropping-particle" : "", "parse-names" : false, "suffix" : "" } ], "container-title" : "Journal of virology", "id" : "ITEM-1", "issue" : "23", "issued" : { "date-parts" : [ [ "2001" ] ] }, "note" : "ALV-J arisen by recombination between EAV-HP and an exogenous ALV. Sequence identiy of over 97% in the env genes of ALVJ and EAV-HP (about 80% identity between env of ALVJ and other exogenous ALVs).", "page" : "11935-11938", "title" : "Segregation of EAV-HP ancient endogenous retroviruses within the chicken population", "type" : "article-journal", "volume" : "75" }, "uris" : [ "http://www.mendeley.com/documents/?uuid=1308d95a-ad70-47ed-878b-f03111c5c45e" ] }, { "id" : "ITEM-2", "itemData" : { "ISBN" : "0380442663", "ISSN" : "0015-5500", "PMID" : "14680291", "abstract" : "Recent data about the diversity of AER, their structure, expression and possible ways of evolution are summarized and analysed in the present review. Additionally, the role of endogenous retroviruses in ontogenesis and pathology is discussed.", "author" : [ { "dropping-particle" : "", "family" : "Borisenko", "given" : "L", "non-dropping-particle" : "", "parse-names" : false, "suffix" : "" } ], "container-title" : "Folia biologica", "id" : "ITEM-2", "issue" : "5", "issued" : { "date-parts" : [ [ "2003", "1" ] ] }, "note" : "A nice clear review of the three groups of known avian endogenous retroviruses, their relatedness, proposed age and other information on evolution. Hints at the need to know more about distribution throughout the genome. Also gives a diagram of the structure of some of the resolved Ev genes in Chicken and gives a brief list of the numbers of Ev genes identified. Good read.", "page" : "177-82", "title" : "Avian endogenous retroviruses.", "type" : "article-journal", "volume" : "49" }, "uris" : [ "http://www.mendeley.com/documents/?uuid=ea772d88-5f9c-4c06-b558-1253b6308437" ] }, { "id" : "ITEM-3", "itemData" : { "DOI" : "10.1080/03079457.2011.646237", "ISSN" : "1465-3338", "PMID" : "22845317", "abstract" : "The present review is aimed at the non-specialist reader and is one of a number being written on important diseases of poultry to celebrate the 40th anniversary of the birth of Avian Pathology, the journal of the World Veterinary Poultry Association. The diseases of the avian leukosis complex have a number of features of distinction. They were the first neoplastic diseases in any species to be shown, 100 years ago, to be transmissible and caused by viruses, and have consequently been studied extensively by biomedical scientists as models for the role of viruses in cancer. They also became, from around the 1920s, the major cause of mortality and economic loss to the developed poultry industry, and were studied by agricultural scientists searching to understand and control them. The remit of the review is to cover research carried out over the 40 years since 1971, when the journal was founded. In this review on avian leukosis, an introductory summary is given of knowledge acquired over the preceding 60 years. Subsequently a selection is provided of discoveries, both fundamental and more applied, that seem to us to be of particular importance and interest. Much of the work was carried out by biomedical scientists interested in cancer. Probably the most significant was the discovery in the avian retroviruses of oncogenes that cause leukosis and other tumours and of their origin from proto-oncogenes in normal cells. These oncogenes are involved in cancer in many species, including chickens and humans. Other work was performed by agricultural scientists interested in poultry disease. Interests of the two groups have overlapped, particularly as a result of a shift of emphasis to molecular biology research.", "author" : [ { "dropping-particle" : "", "family" : "Payne", "given" : "L N", "non-dropping-particle" : "", "parse-names" : false, "suffix" : "" }, { "dropping-particle" : "", "family" : "Nair", "given" : "V", "non-dropping-particle" : "", "parse-names" : false, "suffix" : "" } ], "container-title" : "Avian pathology : journal of the W.V.P.A", "id" : "ITEM-3", "issue" : "1", "issued" : { "date-parts" : [ [ "2012", "1" ] ] }, "note" : "Broad overview \u2013 nice as an introduction to the subject. Starts with Ev genes and then moves on to detrimental effects of ev21, but only briefly. Last chunk is all about ALV-J and its spread.", "page" : "11-19", "title" : "The long view: 40 years of avian leukosis research.", "type" : "article-journal", "volume" : "41" }, "uris" : [ "http://www.mendeley.com/documents/?uuid=42cb0588-e47e-49f5-a783-3501c75ac896" ] } ], "mendeley" : { "formattedCitation" : "(Sacco &amp; Venugopal 2001; Borisenko 2003; Payne &amp; Nair 2012)", "plainTextFormattedCitation" : "(Sacco &amp; Venugopal 2001; Borisenko 2003; Payne &amp; Nair 2012)", "previouslyFormattedCitation" : "(Sacco &amp; Venugopal 2001; Borisenko 2003; Payne &amp; Nair 2012)" }, "properties" : { "noteIndex" : 0 }, "schema" : "https://github.com/citation-style-language/schema/raw/master/csl-citation.json" }</w:instrText>
      </w:r>
      <w:r>
        <w:fldChar w:fldCharType="separate"/>
      </w:r>
      <w:r w:rsidRPr="0018143B">
        <w:rPr>
          <w:noProof/>
        </w:rPr>
        <w:t>(Sacco &amp; Venugopal 2001; Borisenko 2003; Payne &amp; Nair 2012)</w:t>
      </w:r>
      <w:r>
        <w:fldChar w:fldCharType="end"/>
      </w:r>
      <w:r>
        <w:t>.</w:t>
      </w:r>
      <w:r w:rsidR="00EC7A1E">
        <w:t xml:space="preserve"> These elements are relatively recent</w:t>
      </w:r>
      <w:r>
        <w:t xml:space="preserve"> insertions and are therefore more likely to be structurally intact and able to elicit a modulatory phenotypic effect</w:t>
      </w:r>
      <w:r w:rsidR="00E5497C">
        <w:t xml:space="preserve"> (introduced fully below)</w:t>
      </w:r>
      <w:r w:rsidR="00EC7A1E">
        <w:t>. However, t</w:t>
      </w:r>
      <w:r w:rsidR="00356425">
        <w:t>hey are also at</w:t>
      </w:r>
      <w:r>
        <w:t xml:space="preserve"> relatively low </w:t>
      </w:r>
      <w:r w:rsidR="00E5497C">
        <w:t>copy number</w:t>
      </w:r>
      <w:r w:rsidR="00356425">
        <w:t>s</w:t>
      </w:r>
      <w:r w:rsidR="00E5497C">
        <w:t>, and therefore make up only a small fraction of the total LTR retrotransposon content.</w:t>
      </w:r>
    </w:p>
    <w:p w14:paraId="294C70EF" w14:textId="3E0D4160" w:rsidR="00E5497C" w:rsidRDefault="0082378F" w:rsidP="00391005">
      <w:pPr>
        <w:pStyle w:val="ListParagraph"/>
      </w:pPr>
      <w:r>
        <w:lastRenderedPageBreak/>
        <w:t xml:space="preserve">In the 2004 first draft </w:t>
      </w:r>
      <w:r w:rsidR="004B5F91">
        <w:t xml:space="preserve">release </w:t>
      </w:r>
      <w:r>
        <w:t xml:space="preserve">of the chicken reference genome, Hillier and colleagues identified approximately 30,000 distinct LTR retrotransposon-derived elements, accounting for 1.3 % of the assembled genome. </w:t>
      </w:r>
      <w:r w:rsidR="00E5497C">
        <w:t xml:space="preserve">All identified sites were from ERVs, with no </w:t>
      </w:r>
      <w:r w:rsidR="00E5497C" w:rsidRPr="00662B8E">
        <w:t>gypsy, copia</w:t>
      </w:r>
      <w:r w:rsidR="00E5497C">
        <w:rPr>
          <w:i/>
        </w:rPr>
        <w:t xml:space="preserve"> </w:t>
      </w:r>
      <w:r w:rsidR="00E5497C">
        <w:t xml:space="preserve">or bel/pao homologues detected. Only one of the two known ALVEs in the reference genome bird were assembled and detectable, and it was only recently that the second ALVE was detected in one of the unassembled contigs localised to the very 5’ end of chromosome 1 </w:t>
      </w:r>
      <w:r w:rsidR="00E5497C">
        <w:fldChar w:fldCharType="begin" w:fldLock="1"/>
      </w:r>
      <w:r w:rsidR="00144710">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rsidR="00E5497C">
        <w:fldChar w:fldCharType="separate"/>
      </w:r>
      <w:r w:rsidR="00E5497C" w:rsidRPr="00E5497C">
        <w:rPr>
          <w:noProof/>
        </w:rPr>
        <w:t>(Benkel &amp; Rutherford 2014)</w:t>
      </w:r>
      <w:r w:rsidR="00E5497C">
        <w:fldChar w:fldCharType="end"/>
      </w:r>
      <w:r w:rsidR="00E5497C">
        <w:t>. ERVs were identified from each of the three retroviral clades, and many of the GGERVK10 (class II; betaretrovirus) and GGERVL (class III; spumavirus</w:t>
      </w:r>
      <w:r w:rsidR="004B5F91">
        <w:t>) family elements</w:t>
      </w:r>
      <w:r w:rsidR="00E5497C">
        <w:t xml:space="preserve"> were found to be less than 3 % divergent</w:t>
      </w:r>
      <w:r w:rsidR="00EC7A1E">
        <w:t>,</w:t>
      </w:r>
      <w:r w:rsidR="00E5497C">
        <w:t xml:space="preserve"> and therefore predicted to still b</w:t>
      </w:r>
      <w:r w:rsidR="00144710">
        <w:t xml:space="preserve">e active within the genome. </w:t>
      </w:r>
      <w:r w:rsidR="00737210">
        <w:t>Gammaretroviral (class I) sequences</w:t>
      </w:r>
      <w:r w:rsidR="00F139C8">
        <w:t xml:space="preserve"> identified</w:t>
      </w:r>
      <w:r w:rsidR="00737210">
        <w:t xml:space="preserve"> in the chicken genome were heavily degraded. These elements are most closely related to exogenous Murine Leukosis Virus and the human endogenous retrovirus group HERV-I, and are likely the remnants of ancestral insertions common to all amniotes </w:t>
      </w:r>
      <w:r w:rsidR="00737210">
        <w:fldChar w:fldCharType="begin" w:fldLock="1"/>
      </w:r>
      <w:r w:rsidR="00427F9A">
        <w:instrText>ADDIN CSL_CITATION { "citationItems" : [ { "id" : "ITEM-1", "itemData" : { "author" : [ { "dropping-particle" : "", "family" : "Martin", "given" : "Joanne", "non-dropping-particle" : "", "parse-names" : false, "suffix" : "" }, { "dropping-particle" : "", "family" : "Herniou", "given" : "Elisabeth", "non-dropping-particle" : "", "parse-names" : false, "suffix" : "" }, { "dropping-particle" : "", "family" : "Cook", "given" : "James", "non-dropping-particle" : "", "parse-names" : false, "suffix" : "" }, { "dropping-particle" : "", "family" : "Neill", "given" : "Rachel Waugh O", "non-dropping-particle" : "", "parse-names" : false, "suffix" : "" }, { "dropping-particle" : "", "family" : "Tristem", "given" : "Michael", "non-dropping-particle" : "", "parse-names" : false, "suffix" : "" } ], "container-title" : "Journal of Virology", "id" : "ITEM-1", "issue" : "1", "issued" : { "date-parts" : [ [ "1997" ] ] }, "page" : "437-443", "title" : "Human Endogenous Retrovirus Type I-Related Viruses Have an Apparently Widespread Distribution within Vertebrates", "type" : "article-journal", "volume" : "71" }, "uris" : [ "http://www.mendeley.com/documents/?uuid=8ca8eeae-5c71-4855-a313-a11545776bb3" ] }, { "id" : "ITEM-2", "itemData" : { "ISBN" : "0022-538X (Print)\\n0022-538X (Linking)", "ISSN" : "0022-538X", "PMID" : "9971829", "abstract" : "Retroviruses are capable of infectious horizontal transmission between hosts, usually between individuals within a single species, although a number of probable zoonotic infections resulting from transmission between different species of placental mammals have also been reported. Despite these data, it remains unclear how often interspecies transmission events occur or whether their frequency is influenced by the evolutionary distance between host taxa. To address this problem we used PCR to amplify and characterize endogenous retroviruses related to the murine leukemia viruses. We show that members of this retroviral genus are harbored by considerably more organisms than previously thought and that phylogenetic analysis demonstrates that viruses isolated from a particular host class generally cluster together, suggesting that infectious virus horizontal transfer between vertebrate classes occurs only rarely. However, two recent instances of transmission of zoonotic infections between distantly related host organisms were identified. One, from mammals to birds, has led to a rapid adaptive radiation into other avian hosts. The other, between placental and marsupial mammals, involves viruses clustering with recently described porcine retroviruses, adding to concerns regarding the xenotransplantation of pig organs to humans.", "author" : [ { "dropping-particle" : "", "family" : "Martin", "given" : "J", "non-dropping-particle" : "", "parse-names" : false, "suffix" : "" }, { "dropping-particle" : "", "family" : "Herniou", "given" : "E", "non-dropping-particle" : "", "parse-names" : false, "suffix" : "" }, { "dropping-particle" : "", "family" : "Cook", "given" : "J", "non-dropping-particle" : "", "parse-names" : false, "suffix" : "" }, { "dropping-particle" : "", "family" : "O'Neill", "given" : "R W", "non-dropping-particle" : "", "parse-names" : false, "suffix" : "" }, { "dropping-particle" : "", "family" : "Tristem", "given" : "M", "non-dropping-particle" : "", "parse-names" : false, "suffix" : "" } ], "container-title" : "J Virol", "id" : "ITEM-2", "issue" : "3", "issued" : { "date-parts" : [ [ "1999" ] ] }, "page" : "2442-2449", "title" : "Interclass transmission and phyletic host tracking in murine leukemia virus-related retroviruses", "type" : "article-journal", "volume" : "73" }, "uris" : [ "http://www.mendeley.com/documents/?uuid=c5c5bbc7-2635-4f7a-81e0-803bb8b52e48" ] }, { "id" : "ITEM-3", "itemData" : { "DOI" : "10.1016/j.virol.2008.03.006", "ISSN" : "0042-6822", "PMID" : "18440041", "abstract" : "We report the first full-length sequence of an endogenous retrovirus from the genome of domestic chicken, that is not related to the Avian leukemia viruses (ALV). This retrovirus, designated ChiRV1, clusters with Murine leukemia virus (MLV)-related retroviruses and hence is the first complete gammaretrovirus from the genome of a bird. Nevertheless it is not related to exogenous MLV-related retroviruses infecting chicken. The provirus is 9133 bp long and contains 90%-identical LTRs as well as reading frames for the gag, pol and env genes, interrupted by in-frame stop codons. Expression analysis showed that ChiRV1 is a transcribed provirus. Screening of the chicken genome database revealed 100 ChiRV1-related sequences that are grouped into three classes based upon LTR alignment and subsequent phylogenetic analysis.", "author" : [ { "dropping-particle" : "", "family" : "Borysenko", "given" : "Leonid", "non-dropping-particle" : "", "parse-names" : false, "suffix" : "" }, { "dropping-particle" : "", "family" : "Stepanets", "given" : "Volodymir", "non-dropping-particle" : "", "parse-names" : false, "suffix" : "" }, { "dropping-particle" : "V", "family" : "Rynditch", "given" : "Alla", "non-dropping-particle" : "", "parse-names" : false, "suffix" : "" } ], "container-title" : "Virology", "id" : "ITEM-3", "issue" : "1", "issued" : { "date-parts" : [ [ "2008", "6", "20" ] ] }, "note" : "First sequence characterisation of a chicken non-ALV ERV - ChiRV1, a murine leukemia virus (MLV). This is the first gammaretrovirus sequence from a bird. Analysis suggests the sequence is actively transcribed in host cells and that there are over 100 elements, grouped into three subclasses. \n\n\nThough complete, ChiRV1 has multiple stop codons that mean it is a degenerative retrovirus.", "page" : "199-204", "title" : "Molecular characterization of full-length MLV-related endogenous retrovirus ChiRV1 from the chicken, Gallus gallus.", "type" : "article-journal", "volume" : "376" }, "uris" : [ "http://www.mendeley.com/documents/?uuid=26ebb6eb-fbe1-4440-b52e-89e3a7753aae" ] } ], "mendeley" : { "formattedCitation" : "(Martin et al. 1997; Martin et al. 1999; Borysenko et al. 2008)", "plainTextFormattedCitation" : "(Martin et al. 1997; Martin et al. 1999; Borysenko et al. 2008)", "previouslyFormattedCitation" : "(Martin et al. 1997; Martin et al. 1999; Borysenko et al. 2008)" }, "properties" : { "noteIndex" : 0 }, "schema" : "https://github.com/citation-style-language/schema/raw/master/csl-citation.json" }</w:instrText>
      </w:r>
      <w:r w:rsidR="00737210">
        <w:fldChar w:fldCharType="separate"/>
      </w:r>
      <w:r w:rsidR="00737210" w:rsidRPr="00737210">
        <w:rPr>
          <w:noProof/>
        </w:rPr>
        <w:t>(Martin et al. 1997; Martin et al. 1999; Borysenko et al. 2008)</w:t>
      </w:r>
      <w:r w:rsidR="00737210">
        <w:fldChar w:fldCharType="end"/>
      </w:r>
      <w:r w:rsidR="00737210">
        <w:t xml:space="preserve">. </w:t>
      </w:r>
      <w:r w:rsidR="00F139C8">
        <w:t>Interestingly, no ERVs from current gammaret</w:t>
      </w:r>
      <w:r w:rsidR="00EC7A1E">
        <w:t>roviruses</w:t>
      </w:r>
      <w:r w:rsidR="00F139C8">
        <w:t xml:space="preserve">, such as chicken syncytial virus (CSV) or </w:t>
      </w:r>
      <w:r w:rsidR="00107648">
        <w:t xml:space="preserve">REV </w:t>
      </w:r>
      <w:r w:rsidR="00F139C8">
        <w:t xml:space="preserve">in turkeys, are detectable in bird genomes </w:t>
      </w:r>
      <w:r w:rsidR="00F139C8">
        <w:fldChar w:fldCharType="begin" w:fldLock="1"/>
      </w:r>
      <w:r w:rsidR="00F139C8">
        <w:instrText>ADDIN CSL_CITATION { "citationItems" : [ { "id" : "ITEM-1", "itemData" : { "DOI" : "10.1016/j.virol.2008.03.006", "ISSN" : "0042-6822", "PMID" : "18440041", "abstract" : "We report the first full-length sequence of an endogenous retrovirus from the genome of domestic chicken, that is not related to the Avian leukemia viruses (ALV). This retrovirus, designated ChiRV1, clusters with Murine leukemia virus (MLV)-related retroviruses and hence is the first complete gammaretrovirus from the genome of a bird. Nevertheless it is not related to exogenous MLV-related retroviruses infecting chicken. The provirus is 9133 bp long and contains 90%-identical LTRs as well as reading frames for the gag, pol and env genes, interrupted by in-frame stop codons. Expression analysis showed that ChiRV1 is a transcribed provirus. Screening of the chicken genome database revealed 100 ChiRV1-related sequences that are grouped into three classes based upon LTR alignment and subsequent phylogenetic analysis.", "author" : [ { "dropping-particle" : "", "family" : "Borysenko", "given" : "Leonid", "non-dropping-particle" : "", "parse-names" : false, "suffix" : "" }, { "dropping-particle" : "", "family" : "Stepanets", "given" : "Volodymir", "non-dropping-particle" : "", "parse-names" : false, "suffix" : "" }, { "dropping-particle" : "V", "family" : "Rynditch", "given" : "Alla", "non-dropping-particle" : "", "parse-names" : false, "suffix" : "" } ], "container-title" : "Virology", "id" : "ITEM-1", "issue" : "1", "issued" : { "date-parts" : [ [ "2008", "6", "20" ] ] }, "note" : "First sequence characterisation of a chicken non-ALV ERV - ChiRV1, a murine leukemia virus (MLV). This is the first gammaretrovirus sequence from a bird. Analysis suggests the sequence is actively transcribed in host cells and that there are over 100 elements, grouped into three subclasses. \n\n\nThough complete, ChiRV1 has multiple stop codons that mean it is a degenerative retrovirus.", "page" : "199-204", "title" : "Molecular characterization of full-length MLV-related endogenous retrovirus ChiRV1 from the chicken, Gallus gallus.", "type" : "article-journal", "volume" : "376" }, "uris" : [ "http://www.mendeley.com/documents/?uuid=26ebb6eb-fbe1-4440-b52e-89e3a7753aae" ] } ], "mendeley" : { "formattedCitation" : "(Borysenko et al. 2008)", "plainTextFormattedCitation" : "(Borysenko et al. 2008)", "previouslyFormattedCitation" : "(Borysenko et al. 2008)" }, "properties" : { "noteIndex" : 0 }, "schema" : "https://github.com/citation-style-language/schema/raw/master/csl-citation.json" }</w:instrText>
      </w:r>
      <w:r w:rsidR="00F139C8">
        <w:fldChar w:fldCharType="separate"/>
      </w:r>
      <w:r w:rsidR="00F139C8" w:rsidRPr="00274F67">
        <w:rPr>
          <w:noProof/>
        </w:rPr>
        <w:t>(Borysenko et al. 2008)</w:t>
      </w:r>
      <w:r w:rsidR="00F139C8">
        <w:fldChar w:fldCharType="end"/>
      </w:r>
      <w:r w:rsidR="00F139C8">
        <w:t xml:space="preserve">. </w:t>
      </w:r>
    </w:p>
    <w:p w14:paraId="5B50BD88" w14:textId="17A19B45" w:rsidR="00F139C8" w:rsidRDefault="00144710" w:rsidP="00391005">
      <w:pPr>
        <w:pStyle w:val="ListParagraph"/>
      </w:pPr>
      <w:r>
        <w:t>The following year, Wicker a</w:t>
      </w:r>
      <w:r w:rsidR="004E2AA3">
        <w:t>nd colleagues (2005) performed C</w:t>
      </w:r>
      <w:r>
        <w:t xml:space="preserve">ot-based cloning and sequencing (CBCS) to identify repeats present at large copy numbers. This enabled better definition of some of the observed LTR retrotransposon element families, before the first full-genome bioinformatic analysis of the chicken in 2008 </w:t>
      </w:r>
      <w:r>
        <w:fldChar w:fldCharType="begin" w:fldLock="1"/>
      </w:r>
      <w:r>
        <w:instrText>ADDIN CSL_CITATION { "citationItems" : [ { "id" : "ITEM-1", "itemData" : { "DOI" : "10.1186/1745-6150-3-9", "ISSN" : "1745-6150", "PMID" : "18361801", "abstract" : "We analyzed the chicken (Gallus gallus) genome sequence to search for previously uncharacterized endogenous retrovirus (ERV) sequences using ab initio and combined evidence approaches. We discovered 11 novel families of ERVs that occupy more than 21 million base pairs, approximately 2%, of the chicken genome. These novel families include a number of recently active full-length elements possessing identical long terminal repeats (LTRs) as well as intact gag and pol open reading frames. The abundance and diversity of chicken ERVs we discovered underscore the utility of an approach that combines multiple methods for the identification of interspersed repeats in vertebrate genomes.", "author" : [ { "dropping-particle" : "", "family" : "Huda", "given" : "Ahsan", "non-dropping-particle" : "", "parse-names" : false, "suffix" : "" }, { "dropping-particle" : "", "family" : "Polavarapu", "given" : "Nalini", "non-dropping-particle" : "", "parse-names" : false, "suffix" : "" }, { "dropping-particle" : "", "family" : "Jordan", "given" : "I King", "non-dropping-particle" : "", "parse-names" : false, "suffix" : "" }, { "dropping-particle" : "", "family" : "McDonald", "given" : "John F", "non-dropping-particle" : "", "parse-names" : false, "suffix" : "" } ], "container-title" : "Biology direct", "id" : "ITEM-1", "issue" : "9", "issued" : { "date-parts" : [ [ "2008", "1" ] ] }, "note" : "Paper records the finding of new ERVs in the chicken genome. It also details some of the methods for finding these kinds of sequences de novo \u2013 talks about LTR_STRUC and RepeatMasker (papers downloaded). Paper states key features usually found with retroviral elements: characteristic repeats and characteristic sizes. Reminder that at the point of insertion the 5\u2019 and 3\u2019 LTRs should be identical.", "title" : "Endogenous retroviruses of the chicken genome.", "type" : "article-journal", "volume" : "3" }, "uris" : [ "http://www.mendeley.com/documents/?uuid=9b2a35cf-d5a3-4f90-b55d-7cb0c3d3ff52" ] } ], "mendeley" : { "formattedCitation" : "(Huda et al. 2008)", "plainTextFormattedCitation" : "(Huda et al. 2008)", "previouslyFormattedCitation" : "(Huda et al. 2008)" }, "properties" : { "noteIndex" : 0 }, "schema" : "https://github.com/citation-style-language/schema/raw/master/csl-citation.json" }</w:instrText>
      </w:r>
      <w:r>
        <w:fldChar w:fldCharType="separate"/>
      </w:r>
      <w:r w:rsidRPr="00144710">
        <w:rPr>
          <w:noProof/>
        </w:rPr>
        <w:t>(Huda et al. 2008)</w:t>
      </w:r>
      <w:r>
        <w:fldChar w:fldCharType="end"/>
      </w:r>
      <w:r>
        <w:t xml:space="preserve">. Wicker identified four high copy number groups of LTR retrotransposons: </w:t>
      </w:r>
      <w:r>
        <w:rPr>
          <w:i/>
        </w:rPr>
        <w:t xml:space="preserve">Birddawg </w:t>
      </w:r>
      <w:r>
        <w:t xml:space="preserve">(7,404), </w:t>
      </w:r>
      <w:r>
        <w:rPr>
          <w:i/>
        </w:rPr>
        <w:t xml:space="preserve">Kronos </w:t>
      </w:r>
      <w:r>
        <w:t xml:space="preserve">(4,961), </w:t>
      </w:r>
      <w:r>
        <w:rPr>
          <w:i/>
        </w:rPr>
        <w:t xml:space="preserve">Hitchcock </w:t>
      </w:r>
      <w:r>
        <w:t xml:space="preserve">(3,324) and </w:t>
      </w:r>
      <w:r>
        <w:rPr>
          <w:i/>
        </w:rPr>
        <w:t>Soprano</w:t>
      </w:r>
      <w:r>
        <w:t xml:space="preserve"> (1,362). Most identified elements were short, solo LTRs, but internal sequences were identified in </w:t>
      </w:r>
      <w:r>
        <w:rPr>
          <w:i/>
        </w:rPr>
        <w:t xml:space="preserve">Birddawg </w:t>
      </w:r>
      <w:r>
        <w:t xml:space="preserve">(894; 12.1 %), </w:t>
      </w:r>
      <w:r>
        <w:rPr>
          <w:i/>
        </w:rPr>
        <w:t>Kronos</w:t>
      </w:r>
      <w:r>
        <w:t xml:space="preserve"> (1,517; 30.6 %) and </w:t>
      </w:r>
      <w:r>
        <w:rPr>
          <w:i/>
        </w:rPr>
        <w:t xml:space="preserve">Soprano </w:t>
      </w:r>
      <w:r>
        <w:t>(75; 5.5 %) elements, enabling family classification. All three were initially classified as</w:t>
      </w:r>
      <w:r w:rsidR="004B5F91">
        <w:t xml:space="preserve"> previously unseen</w:t>
      </w:r>
      <w:r>
        <w:t xml:space="preserve"> </w:t>
      </w:r>
      <w:r>
        <w:rPr>
          <w:i/>
        </w:rPr>
        <w:t>gypsy</w:t>
      </w:r>
      <w:r>
        <w:t xml:space="preserve"> elements, but were later reclassified as endogenous spumaviruses</w:t>
      </w:r>
      <w:r w:rsidR="00EC7A1E">
        <w:t xml:space="preserve"> (GGERVL-related, class III)</w:t>
      </w:r>
      <w:r>
        <w:t xml:space="preserve"> when clustered with a larger number of reference LTR retrotransposon sequences </w:t>
      </w:r>
      <w:r>
        <w:fldChar w:fldCharType="begin" w:fldLock="1"/>
      </w:r>
      <w:r w:rsidR="00274F67">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fldChar w:fldCharType="separate"/>
      </w:r>
      <w:r w:rsidRPr="00144710">
        <w:rPr>
          <w:noProof/>
        </w:rPr>
        <w:t>(Bolisetty et al. 2012)</w:t>
      </w:r>
      <w:r>
        <w:fldChar w:fldCharType="end"/>
      </w:r>
      <w:r>
        <w:t xml:space="preserve">. The </w:t>
      </w:r>
      <w:r>
        <w:rPr>
          <w:i/>
        </w:rPr>
        <w:t>Hitchcock</w:t>
      </w:r>
      <w:r>
        <w:t xml:space="preserve"> </w:t>
      </w:r>
      <w:r w:rsidR="00356425">
        <w:t xml:space="preserve">elements could be defined as </w:t>
      </w:r>
      <w:r>
        <w:t xml:space="preserve">solo LTRs due to the presence of TSDs at the termini and the absence of SINE-like features. </w:t>
      </w:r>
    </w:p>
    <w:p w14:paraId="479DDD7E" w14:textId="5095F8E6" w:rsidR="006C523D" w:rsidRDefault="007279FB" w:rsidP="00391005">
      <w:pPr>
        <w:pStyle w:val="ListParagraph"/>
      </w:pPr>
      <w:r>
        <w:t xml:space="preserve">The development of a range of bioinformatic tools for the identification of LTR retrotransposons based on </w:t>
      </w:r>
      <w:r w:rsidR="00184634">
        <w:t>their</w:t>
      </w:r>
      <w:r w:rsidR="00F139C8">
        <w:t xml:space="preserve"> canonical </w:t>
      </w:r>
      <w:r>
        <w:t xml:space="preserve">structure, rather than </w:t>
      </w:r>
      <w:r w:rsidR="00F12553">
        <w:t>purely</w:t>
      </w:r>
      <w:r>
        <w:t xml:space="preserve"> sequence </w:t>
      </w:r>
      <w:r>
        <w:lastRenderedPageBreak/>
        <w:t>homology, facilitated the next stage of annotation of these elements in the chicken genome (</w:t>
      </w:r>
      <w:r w:rsidR="00184634">
        <w:t>all methods for</w:t>
      </w:r>
      <w:r w:rsidR="00212768">
        <w:t xml:space="preserve"> detecting LTR retrotransposons have been</w:t>
      </w:r>
      <w:r>
        <w:t xml:space="preserve"> reviewed in the introduction to chapter 3, page </w:t>
      </w:r>
      <w:r w:rsidR="005B09FF">
        <w:fldChar w:fldCharType="begin" w:fldLock="1"/>
      </w:r>
      <w:r w:rsidR="005B09FF">
        <w:instrText xml:space="preserve"> PAGEREF  _Ref483492786 \h </w:instrText>
      </w:r>
      <w:r w:rsidR="005B09FF">
        <w:fldChar w:fldCharType="separate"/>
      </w:r>
      <w:r w:rsidR="00C26134">
        <w:rPr>
          <w:noProof/>
        </w:rPr>
        <w:t>5</w:t>
      </w:r>
      <w:r w:rsidR="005B09FF">
        <w:fldChar w:fldCharType="end"/>
      </w:r>
      <w:r w:rsidR="00212768">
        <w:t xml:space="preserve">). Huda and colleagues (2008) </w:t>
      </w:r>
      <w:r w:rsidR="00184634">
        <w:t xml:space="preserve">used </w:t>
      </w:r>
      <w:r w:rsidR="00356425">
        <w:t>one structure-based method</w:t>
      </w:r>
      <w:r w:rsidR="00184634">
        <w:t xml:space="preserve"> and </w:t>
      </w:r>
      <w:r w:rsidR="00212768">
        <w:t xml:space="preserve">identified fourteen distinct groups of chicken LTR retrotransposons, resolving </w:t>
      </w:r>
      <w:r w:rsidR="00184634">
        <w:t>across</w:t>
      </w:r>
      <w:r w:rsidR="00212768">
        <w:t xml:space="preserve"> the three retroviral clades</w:t>
      </w:r>
      <w:r w:rsidR="00F139C8">
        <w:t xml:space="preserve">, based on the detection of eighty-nine full length sequences. </w:t>
      </w:r>
      <w:r w:rsidR="006C523D">
        <w:t>El</w:t>
      </w:r>
      <w:r w:rsidR="00F12553">
        <w:t>even of these groups</w:t>
      </w:r>
      <w:r w:rsidR="006C523D">
        <w:t xml:space="preserve"> were novel but</w:t>
      </w:r>
      <w:r w:rsidR="00F12553">
        <w:t xml:space="preserve"> generally</w:t>
      </w:r>
      <w:r w:rsidR="006C523D">
        <w:t xml:space="preserve"> filled gaps in the retroviral phylogeny, largely reflecting the detection of structurally intact (at least, LTR-RT-LTR) elements for the first time. </w:t>
      </w:r>
    </w:p>
    <w:p w14:paraId="493E27CD" w14:textId="3728DC8E" w:rsidR="006B79AC" w:rsidRDefault="00184634" w:rsidP="00391005">
      <w:pPr>
        <w:pStyle w:val="ListParagraph"/>
      </w:pPr>
      <w:r>
        <w:t xml:space="preserve">The most recent analysis, by Bolisetty and colleagues (2012), made use of multiple methodologies and </w:t>
      </w:r>
      <w:r w:rsidR="006C523D">
        <w:t>performed an extensive analysis of LTR retrotransposon distribution and expression</w:t>
      </w:r>
      <w:r>
        <w:t xml:space="preserve">. </w:t>
      </w:r>
      <w:r w:rsidR="00B36081">
        <w:t>The authors’ approach enabled identification of 492 intact elements and approximately 30,000 solo LTR-like elements</w:t>
      </w:r>
      <w:r w:rsidR="008C2D07">
        <w:t xml:space="preserve"> (proportionately over 60 % more solo LTRs than are found in mammals)</w:t>
      </w:r>
      <w:r w:rsidR="00B36081">
        <w:t xml:space="preserve">. This represented a large increase in total annotated sequence, but the increased length of the genome assembly (Galgal3) caused the proportion to remain at approximately 1.3 %. Intact elements were found to be significantly depleted within or nearby (&lt; 10 kb) coding regions, and 40 % were found in clusters where the elements were unrelated by genera or insertion age. Together, these data support selection against deleterious LTR retrotransposon insertions, but the authors also concluded that the clusters may be functional, either by promoting recombination or acting as binding sites for cytoskeletal elements during cell division. </w:t>
      </w:r>
    </w:p>
    <w:p w14:paraId="6D255655" w14:textId="79CC8112" w:rsidR="003F7CCC" w:rsidRDefault="00B36081" w:rsidP="00391005">
      <w:pPr>
        <w:pStyle w:val="ListParagraph"/>
      </w:pPr>
      <w:r>
        <w:t xml:space="preserve">Bolisetty and colleagues also performed parallel annotations of the turkey and zebra finch genomes. </w:t>
      </w:r>
      <w:r w:rsidR="006B79AC">
        <w:t>Whilst the turkey was superficially like chicken (although with lower annotated content</w:t>
      </w:r>
      <w:r w:rsidR="004B0817">
        <w:t xml:space="preserve"> presumably due, in part, to its poorer </w:t>
      </w:r>
      <w:r w:rsidR="006B79AC">
        <w:t>genome assembly</w:t>
      </w:r>
      <w:r w:rsidR="004B0817">
        <w:t>; scaffold N50 of 0.86 Mb compared to 11.06 Mb in chicken</w:t>
      </w:r>
      <w:r w:rsidR="006B79AC">
        <w:t xml:space="preserve">), </w:t>
      </w:r>
      <w:r w:rsidR="00EC7A1E">
        <w:t>the zebra finch had almost three times</w:t>
      </w:r>
      <w:r w:rsidR="006B79AC">
        <w:t xml:space="preserve"> the LTR retrotransposon-derived sequence content, with 1,221 intact elements and approximately 78,000 solo LTR-like elements. As mentioned above, the overall zebra finch repeat content is very comparable to chicken, so this likely reflects lineage-specific LTR retrotransposon expansion. It is possible that such results were not biologically representative, as the authors’ approach used a methodology potentially more biased towards the gammaretroviral sequences </w:t>
      </w:r>
      <w:r w:rsidR="00662B8E">
        <w:t xml:space="preserve">that are </w:t>
      </w:r>
      <w:r w:rsidR="006B79AC">
        <w:t>more common in the zebra finch, due to</w:t>
      </w:r>
      <w:r w:rsidR="00662B8E">
        <w:t xml:space="preserve"> the program’s development based on</w:t>
      </w:r>
      <w:r w:rsidR="006B79AC">
        <w:t xml:space="preserve"> primate retroviral sequences. </w:t>
      </w:r>
      <w:r w:rsidR="00EC7A1E">
        <w:t>However,</w:t>
      </w:r>
      <w:r w:rsidR="00B901F6">
        <w:t xml:space="preserve"> if these differences are representative it is then a question as to which taxonomic level the lineage </w:t>
      </w:r>
      <w:r w:rsidR="00B901F6">
        <w:lastRenderedPageBreak/>
        <w:t xml:space="preserve">specificity extends. Bolisetty and colleagues suggested that this represented a deficit of LTR retrotransposons in Galliformes relative to the entire Neoaves superorder. But as this conclusion was drawn from only three species, a much wider and more comprehensive analysis of avian genomes is required to quantify this proposed deficit. </w:t>
      </w:r>
    </w:p>
    <w:p w14:paraId="5406F889" w14:textId="286C1963" w:rsidR="002E6B90" w:rsidRDefault="002E6B90" w:rsidP="00391005">
      <w:pPr>
        <w:pStyle w:val="ListParagraph"/>
      </w:pPr>
    </w:p>
    <w:p w14:paraId="5616A449" w14:textId="3C9D2E89" w:rsidR="00435046" w:rsidRDefault="00687A08" w:rsidP="00435046">
      <w:pPr>
        <w:pStyle w:val="Heading4"/>
      </w:pPr>
      <w:r>
        <w:t>Summary of the current annotation of chicken LTR retrotransposon content</w:t>
      </w:r>
    </w:p>
    <w:p w14:paraId="588AC5B8" w14:textId="7E1A5D92" w:rsidR="00435046" w:rsidRDefault="00427F9A" w:rsidP="00391005">
      <w:pPr>
        <w:pStyle w:val="ListParagraph"/>
      </w:pPr>
      <w:r>
        <w:t xml:space="preserve">ERVs have been detected from all three retroviral clades, with full length examples from spumaviruses, alpha-, beta- and gammaretroviruses, but deltaretrovirus and lentivirus ERVs (both clade II) are absent. No </w:t>
      </w:r>
      <w:r w:rsidRPr="00B024DC">
        <w:t>gypsy, copia</w:t>
      </w:r>
      <w:r>
        <w:t xml:space="preserve"> or bel/pao elements have been detected, and DIRS elements have also not been identified in any avian or mammalian genome, despite their presence in other sauropsids </w:t>
      </w:r>
      <w:r>
        <w:fldChar w:fldCharType="begin" w:fldLock="1"/>
      </w:r>
      <w:r w:rsidR="006B1C59">
        <w:instrText>ADDIN CSL_CITATION { "citationItems" : [ { "id" : "ITEM-1",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"ITEM-1", "issue" : "1", "issued" : { "date-parts" : [ [ "2011", "1" ] ] }, "page" : "621", "publisher" : "BioMed Central Ltd", "title" : "Eukaryote DIRS1-like retrotransposons: an overview.", "type" : "article-journal", "volume" : "12" }, "uris" : [ "http://www.mendeley.com/documents/?uuid=eb273253-14b9-48d7-aca5-e76e38f87da6" ] } ], "mendeley" : { "formattedCitation" : "(Piedno\u00ebl et al. 2011)", "plainTextFormattedCitation" : "(Piedno\u00ebl et al. 2011)", "previouslyFormattedCitation" : "(Piedno\u00ebl et al. 2011)" }, "properties" : { "noteIndex" : 0 }, "schema" : "https://github.com/citation-style-language/schema/raw/master/csl-citation.json" }</w:instrText>
      </w:r>
      <w:r>
        <w:fldChar w:fldCharType="separate"/>
      </w:r>
      <w:r w:rsidRPr="00427F9A">
        <w:rPr>
          <w:noProof/>
        </w:rPr>
        <w:t>(Piednoël et al. 2011)</w:t>
      </w:r>
      <w:r>
        <w:fldChar w:fldCharType="end"/>
      </w:r>
      <w:r>
        <w:t xml:space="preserve">. </w:t>
      </w:r>
    </w:p>
    <w:p w14:paraId="6AE76537" w14:textId="06452B26" w:rsidR="00427F9A" w:rsidRDefault="00427F9A" w:rsidP="00391005">
      <w:pPr>
        <w:pStyle w:val="ListParagraph"/>
      </w:pPr>
      <w:r>
        <w:t xml:space="preserve">A total of 1.35 % (almost 15 Mbp) of the chicken genome (based on the Galgal3 assembly) has been annotated as LTR retrotransposon-derived elements, including approximately 500 intact elements. As expected, this value was far less than the 10 % typically observed in mammalian genomes, but it was also three times less than observed in the zebra finch, leading to the hypothesis that there is a deficit of LTR retrotransposons in Galliformes compared to higher order Neoaves. </w:t>
      </w:r>
    </w:p>
    <w:p w14:paraId="269506AE" w14:textId="45D3C006" w:rsidR="00427F9A" w:rsidRDefault="00427F9A" w:rsidP="00391005">
      <w:pPr>
        <w:pStyle w:val="ListParagraph"/>
      </w:pPr>
      <w:r>
        <w:t>Whilst endogenous alpharetroviruses make up only a small fraction of the total LTR retrotransposon content, these elements remain active and are commonly intact. In addition, ALV is the only known chicken retrovirus with both exogenous and endogenous current activity</w:t>
      </w:r>
      <w:r w:rsidR="00145B44">
        <w:t xml:space="preserve"> (Borysenko et al. 2008; Payne &amp; Nair 2012)</w:t>
      </w:r>
      <w:r>
        <w:t xml:space="preserve">.  </w:t>
      </w:r>
    </w:p>
    <w:p w14:paraId="260D8D79" w14:textId="4BD31C4F" w:rsidR="00435046" w:rsidRDefault="00435046" w:rsidP="00391005">
      <w:pPr>
        <w:pStyle w:val="ListParagraph"/>
      </w:pPr>
    </w:p>
    <w:p w14:paraId="793E165D" w14:textId="5A9531BB" w:rsidR="00737210" w:rsidRDefault="00737210" w:rsidP="00737210">
      <w:pPr>
        <w:pStyle w:val="Heading3"/>
      </w:pPr>
      <w:bookmarkStart w:id="61" w:name="_Toc485721566"/>
      <w:bookmarkStart w:id="62" w:name="_Toc486787146"/>
      <w:bookmarkStart w:id="63" w:name="_Toc486787294"/>
      <w:r>
        <w:t>The endogenous alpharetroviruses of the chicken genome</w:t>
      </w:r>
      <w:bookmarkEnd w:id="61"/>
      <w:bookmarkEnd w:id="62"/>
      <w:bookmarkEnd w:id="63"/>
    </w:p>
    <w:p w14:paraId="0C1FA35A" w14:textId="43E3BCB3" w:rsidR="001A1B24" w:rsidRDefault="006F2EE1" w:rsidP="002E6B90">
      <w:pPr>
        <w:pStyle w:val="Heading4"/>
      </w:pPr>
      <w:r>
        <w:t>ALVE loci</w:t>
      </w:r>
    </w:p>
    <w:p w14:paraId="13F1963E" w14:textId="0F5EB5F2" w:rsidR="009C546C" w:rsidRDefault="009C546C" w:rsidP="00391005">
      <w:pPr>
        <w:pStyle w:val="ListParagraph"/>
      </w:pPr>
      <w:r>
        <w:t xml:space="preserve">Like other alpha- and betaretroviruses, ALV insertion is effectively random across the genome. However, the presence of a nuclear localisation signal (NLS) in the ALV </w:t>
      </w:r>
      <w:r>
        <w:rPr>
          <w:i/>
        </w:rPr>
        <w:t>integrase</w:t>
      </w:r>
      <w:r>
        <w:t xml:space="preserve"> means that, like lentiviruses, ALV does not require the breakdown of the nuclear membrane to access genomic DNA. This likely explains the weak observable insertion site ‘preference’ of ALV for open chromatin, generally within or near regions </w:t>
      </w:r>
      <w:r>
        <w:lastRenderedPageBreak/>
        <w:t xml:space="preserve">of the genome expressed by RNA polymerase II, such as protein coding genes </w:t>
      </w:r>
      <w:r>
        <w:fldChar w:fldCharType="begin" w:fldLock="1"/>
      </w:r>
      <w:r w:rsidR="007F2459">
        <w:instrText>ADDIN CSL_CITATION { "citationItems" : [ { "id" : "ITEM-1", "itemData" : { "DOI" : "10.1128/JVI.78.21.11656", "ISSN" : "0022-538X", "author" : [ { "dropping-particle" : "", "family" : "Narezkina", "given" : "Anna", "non-dropping-particle" : "", "parse-names" : false, "suffix" : "" }, { "dropping-particle" : "", "family" : "Taganov", "given" : "Konstantin D", "non-dropping-particle" : "", "parse-names" : false, "suffix" : "" }, { "dropping-particle" : "", "family" : "Litwin", "given" : "Samuel", "non-dropping-particle" : "", "parse-names" : false, "suffix" : "" }, { "dropping-particle" : "", "family" : "Stoyanova", "given" : "Radka", "non-dropping-particle" : "", "parse-names" : false, "suffix" : "" }, { "dropping-particle" : "", "family" : "Hayashi", "given" : "Junpei", "non-dropping-particle" : "", "parse-names" : false, "suffix" : "" }, { "dropping-particle" : "", "family" : "Seeger", "given" : "Christoph", "non-dropping-particle" : "", "parse-names" : false, "suffix" : "" }, { "dropping-particle" : "", "family" : "Skalka", "given" : "Marie", "non-dropping-particle" : "", "parse-names" : false, "suffix" : "" }, { "dropping-particle" : "", "family" : "Katz", "given" : "Richard a", "non-dropping-particle" : "", "parse-names" : false, "suffix" : "" }, { "dropping-particle" : "", "family" : "Skalka", "given" : "Anna Marie", "non-dropping-particle" : "", "parse-names" : false, "suffix" : "" } ], "container-title" : "Journal of Virology", "id" : "ITEM-1", "issue" : "21", "issued" : { "date-parts" : [ [ "2004" ] ] }, "page" : "11656-11663", "title" : "Genome-Wide Analyses of Avian Sarcoma Virus Integration Sites", "type" : "article-journal", "volume" : "78" }, "uris" : [ "http://www.mendeley.com/documents/?uuid=58ac53ec-e419-4752-b194-ce7780ad260f" ] }, { "id" : "ITEM-2", "itemData" : { "DOI" : "10.1016/j.coviro.2013.08.008", "ISSN" : "1879-6265", "PMID" : "24011707", "abstract" : "Avian retroviruses were originally identified as cancer-inducting filterable agents in chicken neoplasms at the beginning of the 20th century. Since their discovery, the study of these simple retroviruses has contributed greatly to our understanding of viral replication and cancer. Avian retroviruses continue to evolve and have great economic importance in the poultry industry worldwide. The aim of this review is to provide a broad overview of the genome, pathology, and replication of avian retroviruses. Notable gaps in our current knowledge are highlighted, and areas where avian retroviruses differ from other retroviruses are emphasized.", "author" : [ { "dropping-particle" : "", "family" : "Justice", "given" : "James", "non-dropping-particle" : "", "parse-names" : false, "suffix" : "" }, { "dropping-particle" : "", "family" : "Beemon", "given" : "Karen L", "non-dropping-particle" : "", "parse-names" : false, "suffix" : "" } ], "container-title" : "Current opinion in virology", "id" : "ITEM-2", "issued" : { "date-parts" : [ [ "2013", "9", "4" ] ] }, "note" : "Good overview of ALV activity - little on endogenous retroviruses. Good background and some stuff on integration.\n\n\nStudy of Avian Leukosis virus in 1908 (Ellerman &amp;amp; Bang) was the first to show that a virus was oncogenic.\nIn 1911 American Peyton Rous discovered the Rous sarcoma virus - RSV is derived from ALV. These related viruses are collectively termed &amp;quot;Avian Sarcoma/Leukosis Viruses&amp;quot; - ASLV. \n\n\nALVs are part of the Alpharetrovirus family. These do not encode accessory proteins in overlapping reading frames (non-complex). In ALVs the gag gene encodes the protease (PR) rather than being encoding by the pol gene as in most retroviruses - ALVs therefore produce more protease than other retroviruses. ALVs are classified by differences in their env gene into 6 groups (chicken): A-E &amp;amp; J. \nALVs are also found as endogenous elements - ALVE loci. Other studies would suggest that the majority of ERVs in the chicken are gamma and beta retroviruses - potentially suggesting these families were more common previously - the ALVs are now the most common. But, also remember that alpha evolved from beta. \n\n\nALvs are mostly slowly transforming viruses and cause tumours by insertional mutagenesis over weeks and months. The acutely transforming members are mostly the sarcoma viruses. They are acutely transforming ebcause they have acquired specifically oncogenic genes in their genome. For example RSV has the v-src oncogene - a mutated version of the c-src tyrosine kinase gene in host cells. Many similar genes have been acquired by different strains - myc, myb, fps, yes, jun, ets and erbB. With the exception of some RSV strains, acutely transforming avian retroviruses are replication deficient and require a helper virus to replicate.\n\n\ntva, tvc and chNHE1 (tvj) receptors confer susceptibility to types A, C and J. Also, tvb has two susceptibility alleles - tvb(s1) confers susceptibility to B and D, tvb(s3) to B, D and E. \n\n\nThought that alpharetroviruses had to wait for cell division to integrate in the genome (like gammaretroviruses) - but now seen that ALSVs can infect at various stages of the cell cycle suggesting that nuclear membrane breakdown is not required. It is thought that the integrase has a NLS (nuclear localisation signal) for mediation of active transport into the nucleus (like lentiviruses). Suggests that a block to reverse transcriptase, rather than nuclear import, may cause low infectivity in non-dividing cells. Integration site appears quite indiscriminant - only slightly prefering sites of active transcription.", "page" : "1-6", "publisher" : "Elsevier B.V.", "title" : "Avian retroviral replication.", "type" : "article-journal", "volume" : "3" }, "uris" : [ "http://www.mendeley.com/documents/?uuid=a455e90d-9e2c-4e36-bded-e83978510c82" ] } ], "mendeley" : { "formattedCitation" : "(Narezkina et al. 2004; Justice &amp; Beemon 2013)", "plainTextFormattedCitation" : "(Narezkina et al. 2004; Justice &amp; Beemon 2013)", "previouslyFormattedCitation" : "(Narezkina et al. 2004; Justice &amp; Beemon 2013)" }, "properties" : { "noteIndex" : 0 }, "schema" : "https://github.com/citation-style-language/schema/raw/master/csl-citation.json" }</w:instrText>
      </w:r>
      <w:r>
        <w:fldChar w:fldCharType="separate"/>
      </w:r>
      <w:r w:rsidRPr="009C546C">
        <w:rPr>
          <w:noProof/>
        </w:rPr>
        <w:t>(Narezkina et al. 2004; Justice &amp; Beemon 2013)</w:t>
      </w:r>
      <w:r>
        <w:fldChar w:fldCharType="end"/>
      </w:r>
      <w:r>
        <w:t xml:space="preserve">. </w:t>
      </w:r>
      <w:r w:rsidR="007F2459">
        <w:t xml:space="preserve">The impact of these insertions is modulated by host genetic susceptibility and the location of the insertion. Most ALVs are slowly </w:t>
      </w:r>
      <w:r w:rsidR="00911162">
        <w:t>transforming, producing lymphoid tumours</w:t>
      </w:r>
      <w:r w:rsidR="007F2459">
        <w:t xml:space="preserve"> over weeks or months via insertional mutagenesis, but the acquisition of accessory genes (such as </w:t>
      </w:r>
      <w:r w:rsidR="007F2459">
        <w:rPr>
          <w:i/>
        </w:rPr>
        <w:t>v-src</w:t>
      </w:r>
      <w:r w:rsidR="007F2459">
        <w:t xml:space="preserve"> in Rous Sarcoma Virus; RSV) enables acute transformation and rapid tumour development </w:t>
      </w:r>
      <w:r w:rsidR="007F2459">
        <w:fldChar w:fldCharType="begin" w:fldLock="1"/>
      </w:r>
      <w:r w:rsidR="00937DD7">
        <w:instrText>ADDIN CSL_CITATION { "citationItems" : [ { "id" : "ITEM-1", "itemData" : { "ISSN" : "0032-5791", "PMID" : "9706091", "abstract" : "Three species of avian retrovirus cause disease in poultry: the avian leukosis/sarcoma virus (ALSV), reticuloendotheliosis virus (REV), and lymphoproliferative disease virus (LPDV) of turkeys. The ALSV can be classified as slowly transforming viruses, which lack a viral oncogene, and acutely transforming viruses, which possess a viral oncogene. Slowly transforming viruses induce late onset leukoses of the B cell lymphoid, erythroid, and myeloid cell lineages, and other tumors, by viral promoter insertion into the genome of a host cell and activation of a cellular protooncogene. The various acutely transforming leukemia and sarcoma viruses induce leukotic or other tumors rapidly and carry one or anther (sometimes two) viral oncogenes, of which some 15 have been identified. The ALSV fall into six envelope subgroups, A through E, and the recently recognized J subgroup, which induces myeloid leukosis. With the exception of Subgroup E viruses, these viruses spread vertically and horizontally as infectious virions, and are termed exogenous viruses. Subgroup E viruses are usually spread genetically as DNA proviruses (often defective) in host germ cell genome, and are termed endogenous viruses. Several other families of endogenous viruses also exist, one of which, endogenous avian retrovirus (EAV), is related to Subgroup J ALV. Exogenous viruses, and sometimes endogenous viruses, can have detrimental effects on commercially important production traits. Exogenous viruses are currently controlled by virus eradication schemes. Reticuloendotheliosis virus, which lacks a viral oncogene, causes chronic B cell and T-cell lymphomas in chickens, and also chronic lymphomas in turkeys and other species of birds. An acutely transforming variant of REV, Strain T, carries a viral oncogene, and induces reticuloendotheliosis within a few days. In chickens and turkeys, REV spreads vertically and horizontally. No commercial control schemes are operated. In turkeys, LPDV infection has occurred in several countries, where it caused a lymphoproliferative disease of uncertain nature.", "author" : [ { "dropping-particle" : "", "family" : "Payne", "given" : "L N", "non-dropping-particle" : "", "parse-names" : false, "suffix" : "" } ], "container-title" : "Poultry science", "id" : "ITEM-1", "issue" : "8", "issued" : { "date-parts" : [ [ "1998", "8" ] ] }, "note" : "General information of diseases caused by retroviruses. States that ALV subgroups are divided by envelope properties \u2013 nucl seq of the env gene and aa seq of the SU (gp85) protein \u2013 defines the receptor needed for mediated endocytosis. \nALV-E loci do not induce tumours due to weak promoter enhancement by the LTRs.", "page" : "1204-12", "title" : "Retrovirus-induced disease in poultry.", "type" : "article-journal", "volume" : "77" }, "uris" : [ "http://www.mendeley.com/documents/?uuid=dbcb9815-f64c-4637-8b5e-be89346c2589" ] } ], "mendeley" : { "formattedCitation" : "(Payne 1998)", "plainTextFormattedCitation" : "(Payne 1998)", "previouslyFormattedCitation" : "(Payne 1998)" }, "properties" : { "noteIndex" : 0 }, "schema" : "https://github.com/citation-style-language/schema/raw/master/csl-citation.json" }</w:instrText>
      </w:r>
      <w:r w:rsidR="007F2459">
        <w:fldChar w:fldCharType="separate"/>
      </w:r>
      <w:r w:rsidR="007F2459" w:rsidRPr="007F2459">
        <w:rPr>
          <w:noProof/>
        </w:rPr>
        <w:t>(Payne 1998)</w:t>
      </w:r>
      <w:r w:rsidR="007F2459">
        <w:fldChar w:fldCharType="end"/>
      </w:r>
      <w:r w:rsidR="007F2459">
        <w:t xml:space="preserve">. </w:t>
      </w:r>
    </w:p>
    <w:p w14:paraId="09F5BC0F" w14:textId="420E9509" w:rsidR="00EF13A3" w:rsidRDefault="00937DD7" w:rsidP="00391005">
      <w:pPr>
        <w:pStyle w:val="ListParagraph"/>
      </w:pPr>
      <w:r>
        <w:t>Purely exogenous AL</w:t>
      </w:r>
      <w:r w:rsidR="00347695">
        <w:t>Vs (subgroups A-D and J) induce leukoid tumours</w:t>
      </w:r>
      <w:r w:rsidR="00911162">
        <w:t xml:space="preserve"> </w:t>
      </w:r>
      <w:r w:rsidR="00EF13A3">
        <w:t>across the Galliforme</w:t>
      </w:r>
      <w:r>
        <w:t>s. Endogenous ALVs can also infect horizontally</w:t>
      </w:r>
      <w:r w:rsidR="00911162">
        <w:t xml:space="preserve"> within a population</w:t>
      </w:r>
      <w:r>
        <w:t xml:space="preserve">, but </w:t>
      </w:r>
      <w:r w:rsidR="00911162">
        <w:t>have a species-specific range. S</w:t>
      </w:r>
      <w:r>
        <w:t xml:space="preserve">ubgroup E (the ALVEs) are found in RJF and the domestic chicken but no other </w:t>
      </w:r>
      <w:r>
        <w:rPr>
          <w:i/>
        </w:rPr>
        <w:t xml:space="preserve">Gallus </w:t>
      </w:r>
      <w:r>
        <w:t xml:space="preserve">species, subgroups F and G are in pheasant, H in partridge and I in quail </w:t>
      </w:r>
      <w:r>
        <w:fldChar w:fldCharType="begin" w:fldLock="1"/>
      </w:r>
      <w:r w:rsidR="007D2C02">
        <w:instrText>ADDIN CSL_CITATION { "citationItems" : [ { "id" : "ITEM-1", "itemData" : { "ISSN" : "0092-8674", "PMID" : "225036", "abstract" : "The chicken is a domesticated form of Red Jungle-fowl (Gallus gallus), which belongs to the Pheasant family (Phasianidae) within the order Galliformes. Domestic chickens carry the genome of the endogenous retrovirus RAV-O as DNA sequences integrated into host chromosomes transmitted through the germ line. We have examined the presence and distribution of RAV-O-related sequences in the DNA of Red Junglefowl and other closely related species of Junglefowl, as well as more distantly related Pheasants and Quail. DNA sequences homologous to RAV-O were analyzed by molecular hybridization in liquid and after electrophoresis of restriction endonuclease fragments. The presence of RAV-O-related sequences in avian DNA does not correlate with phylogenetic relationships. Under stringent conditions of hybridization in liquid, DNA sequences homologous to RAV-O cDNA were detected at high levels (greater than 80% homology( only in the genomes of the domestic chicken and its phylogenetic ancestor, the Red Junglefowl (Gallus gallus). The DNA of two other species of Gallus (G. sonnerati, Sonnerat's Junglefowl and G. varius, Green Junglefowl), of Ring-necked Pheasant and of Japanese Quail contained sequences with less than 10% homology to RAV-O cDNA. Under conditions permitting mismatching, however, Ring-necked Pheasant DNA hybridized up to 50% of the RAV-O cDNA, and Quail DNA 24%, whereas the extent of hybridization to Sonnerat's and Green Junglefowl DNA was not markedly increased. Analysis of restriction enzyme digests revealed several distinct fragments of DNA hybridizing to chick retrovirus cDNA in both Red Junglefowl and domestic chicken, and multiple fragments in DNA from two species of Phasianus. No fragments with sequences related to chicken retroviruses were found, however, in digests of DNA prepared from Sonnerat's, Ceylonese and Green Junglefowl, from two other Pheasant genera (Chrysolophus and Lophura), or from one Quail genus (Coturnix). Thus the DNA of three Junglefowl species closely related to Gallus gallus lacked RAV-O sequences while the DNA of more distantly related Phasianus species showed significant homology. These results show that RAV-O-related sequences have not diverged together with the normal host genes during the evolution of the Phasianidae. Although RAV-O sequences are endogenous in all domestic chickens and Red Junglefowl studied thus far, it appears that the RAV-O genome has been introduced relatively recently into the germ line of Gallus ga\u2026", "author" : [ { "dropping-particle" : "", "family" : "Frisby", "given" : "D P", "non-dropping-particle" : "", "parse-names" : false, "suffix" : "" }, { "dropping-particle" : "", "family" : "Weiss", "given" : "R a", "non-dropping-particle" : "", "parse-names" : false, "suffix" : "" }, { "dropping-particle" : "", "family" : "Roussel", "given" : "M", "non-dropping-particle" : "", "parse-names" : false, "suffix" : "" }, { "dropping-particle" : "", "family" : "Stehelin", "given" : "D", "non-dropping-particle" : "", "parse-names" : false, "suffix" : "" } ], "container-title" : "Cell", "id" : "ITEM-1", "issue" : "3", "issued" : { "date-parts" : [ [ "1979", "7" ] ] }, "note" : "Authors use DNA hybrisation tests of RAV-0 (Ev gene) to show that ev genes are recent insertions into the chicken genome \u2013 present in chicken and red jungle fowl but not other Gallus species. However there is high hybridisation with sequences in other Galliforme birds such as the pheasant and quail. This would suggest recent insertion of these elements, on multiple occasions. For Gallus it represents insertion to the chicken line at the red junglefowl stage, before domestication but after speciation from the other Gallus species. Not hugely useful \u2013 acts as original source for recent insertion of this family of genes\u2026", "page" : "623-34", "title" : "The distribution of endogenous chicken retrovirus sequences in the DNA of galliform birds does not coincide with avian phylogenetic relationships.", "type" : "article-journal", "volume" : "17" }, "uris" : [ "http://www.mendeley.com/documents/?uuid=8849e4fd-3bf9-4c7e-878c-00455f38c2e8" ] }, { "id" : "ITEM-2", "itemData" : { "DOI" : "10.1053/rvsc.1998.0283", "ISSN" : "0034-5288", "PMID" : "10502478", "abstract" : "A strain of avian leukosis virus (ALV) belonging to a new envelope subgroup J was isolated in the UK in 1988 from meat-type chickens. The disease caused by the members of this subgroup has since spread very rapidly worldwide and has become one of the major problems facing the broiler meat industry. Molecular characterisation of HPRS -103, the prototype of subgroup J, has shown that it has a structure of a typical ALV with gag, pol and env genes. However the env gene was distinct from that of other ALV s and was closely related to that of novel endogenous retroviral elements designated EAV - HP. As other regions of the genome were closely related to ALV s, it is believed that ALV-J has evolved by recombination with the env sequences of EAV - HP. ALV-J has a tropism for myeloid cells, a feature that may be associated with its ability to induce myeloid leukosis. Recent data show that ALV -J isolates evolve rapidly resulting in sequence changes within the variable regions of the env gene leading to antigenic variation. Eradication programmes established for other subgroups are proving to be effective in eradicating ALV-J from infected flocks.", "author" : [ { "dropping-particle" : "", "family" : "Venugopal", "given" : "K", "non-dropping-particle" : "", "parse-names" : false, "suffix" : "" } ], "container-title" : "Research in veterinary science", "id" : "ITEM-2", "issue" : "2", "issued" : { "date-parts" : [ [ "1999", "10" ] ] }, "page" : "113-9", "title" : "Avian leukosis virus subgroup J: a rapidly evolving group of oncogenic retroviruses.", "type" : "article-journal", "volume" : "67" }, "uris" : [ "http://www.mendeley.com/documents/?uuid=2dacf328-8159-4df1-ae9f-9519533c3ee0" ] } ], "mendeley" : { "formattedCitation" : "(Frisby et al. 1979; Venugopal 1999)", "plainTextFormattedCitation" : "(Frisby et al. 1979; Venugopal 1999)", "previouslyFormattedCitation" : "(Frisby et al. 1979; Venugopal 1999)" }, "properties" : { "noteIndex" : 0 }, "schema" : "https://github.com/citation-style-language/schema/raw/master/csl-citation.json" }</w:instrText>
      </w:r>
      <w:r>
        <w:fldChar w:fldCharType="separate"/>
      </w:r>
      <w:r w:rsidRPr="00937DD7">
        <w:rPr>
          <w:noProof/>
        </w:rPr>
        <w:t>(Frisby et al. 1979; Venugopal 1999)</w:t>
      </w:r>
      <w:r>
        <w:fldChar w:fldCharType="end"/>
      </w:r>
      <w:r>
        <w:t xml:space="preserve">. </w:t>
      </w:r>
      <w:r w:rsidR="007D2C02">
        <w:t xml:space="preserve">ALV subgroups are defined by the virion surface protein constituent gp85 (encoded by the </w:t>
      </w:r>
      <w:r w:rsidR="007D2C02">
        <w:rPr>
          <w:i/>
        </w:rPr>
        <w:t>envelope</w:t>
      </w:r>
      <w:r w:rsidR="007D2C02">
        <w:t xml:space="preserve"> gene), as this defines the specific TV (tumour virus) cell entry receptor. ALV-A enters by the TVA receptor, ALV-C by the TVC receptor, and subgroups B, D and E via the TVB receptor. Two TVB alleles have been identified which convey resistance to ALVE cell entry (</w:t>
      </w:r>
      <w:r w:rsidR="007D2C02" w:rsidRPr="007D2C02">
        <w:rPr>
          <w:i/>
        </w:rPr>
        <w:t>TVB*S3</w:t>
      </w:r>
      <w:r w:rsidR="007D2C02">
        <w:t xml:space="preserve">, </w:t>
      </w:r>
      <w:r w:rsidR="007D2C02" w:rsidRPr="007D2C02">
        <w:rPr>
          <w:i/>
        </w:rPr>
        <w:t>TVB*R</w:t>
      </w:r>
      <w:r w:rsidR="007D2C02">
        <w:t xml:space="preserve">), but these are both recessive to, and far less common than, the wildtype </w:t>
      </w:r>
      <w:r w:rsidR="007D2C02" w:rsidRPr="007D2C02">
        <w:rPr>
          <w:i/>
        </w:rPr>
        <w:t>TVB*S1</w:t>
      </w:r>
      <w:r w:rsidR="007D2C02">
        <w:t xml:space="preserve"> which is susceptible to all three subgroups </w:t>
      </w:r>
      <w:r w:rsidR="007D2C02">
        <w:fldChar w:fldCharType="begin" w:fldLock="1"/>
      </w:r>
      <w:r w:rsidR="00EF13A3">
        <w:instrText>ADDIN CSL_CITATION { "citationItems" : [ { "id" : "ITEM-1", "itemData" : { "ISSN" : "0005-2086", "PMID" : "18939631", "abstract" : "Endogenous avian leukosis virus (ALVE) and the ALVE receptor (TVB*S1) status of six commercial chicken lines supplying specific-pathogen-free eggs were analyzed. All commercial chicken lines are certified free of the avian leukosis virus (ALV) by screening for expression of the p27 protein using the standard enzyme-linked immunosorbent assay. The commercial chicken lines A, E, and F contained replication competent ALVE inserts. Line A was fixed for ALVE21, and lines E and F were segregating for ALVE10. In addition, ALVE1 was detected in all the chicken lines. Chicken lines B, D, and F were essentially fixed for the TVB*S1 allele that confers susceptibility to ALVE, whereas lines A, C, B, and E were resistant, containing either the TVB*S3 or TVB*R alleles. The results show that lines selected to be ALV p27 negative give rise to two different genotypes. One genotype lacks the TVB*S1 receptor for ALVE. Chicken lines with the TVB*S1 negative genotype can retain replication competent endogenous virus inserts such as ALVE2, 10, or 21 and still display the p27 negative phenotype. These replication competent ALVE viruses are phenotypically p27 negative in the absence of the TVB*S1 receptor because their chromosomal integration sites restrict transcription and subsequent production of the p27 protein and virus particles to levels below the detection limit. If the TVB*S1 receptor is present, the limited production of ALVE virus particles reinfects and integrates into more productive chromosomal locations in the cell. Increased production of infective virus particles and detectable levels of p27 follow this reinfection and integration into more active regions of the cells genome. The other genotype observed in the commercial lines retains the ALVE receptor (TVB*S1) but either lacks replication competent inserts or expresses the envelope encoded protein from defective inserts such as ALVE3 or ALVE6. In this phenotype, the env-coded glycoprotein encoded by the defective inserts binds to the TVB*S1 receptor and blocks the reinfection of the replication competent ALVE virus. This receptor interference stops reinfection and subsequent production of detectable virus particles and the p27 protein. Mixtures of different p27 negative phenotypes can result in the p27 positive phenotype and ALVE virus production. For example, mixtures of ALVE receptor positive (TVB*S1) but ALVE negative (p27 negative and envelope negative) chick embryo fibroblasts (CEFs) with fibroblasts tha\u2026", "author" : [ { "dropping-particle" : "", "family" : "Hunt", "given" : "Henry", "non-dropping-particle" : "", "parse-names" : false, "suffix" : "" }, { "dropping-particle" : "", "family" : "Fadly", "given" : "Aly", "non-dropping-particle" : "", "parse-names" : false, "suffix" : "" }, { "dropping-particle" : "", "family" : "Silva", "given" : "Robert", "non-dropping-particle" : "", "parse-names" : false, "suffix" : "" }, { "dropping-particle" : "", "family" : "Zhang", "given" : "Huanmin", "non-dropping-particle" : "", "parse-names" : false, "suffix" : "" } ], "container-title" : "Avian diseases", "id" : "ITEM-1", "issue" : "3", "issued" : { "date-parts" : [ [ "2008", "9" ] ] }, "note" : "Good introduction on the general state of different ERV types.\n\n\nTVB* genetic complex includes the three ALV receptors for types B, D and E. TVB*S1 is the allele sensitive to ALVE, both TVB*S3 and TVB*R are resistant alleles.\nChickens with ev21 and TVB*S3 produce no p27 - the virus is effectively silence. In the lines with the TVB*S1 the virus is seen at higher levels and p27 can be detected by the commercial standard ELISA. However, this relationship becomes more complex due to other ev loci effects - the presence of ev3 (for example) will block the effect in TVB*S1 chickens so that the p27 is non-detectable.\n\n\nALVE is essentially innocuous as the LTRs are very weak promoters. Danger comes from the potential recombination with exogenous ALV.", "page" : "433-40", "title" : "Survey of endogenous virus and TVB* receptor status of commercial chicken stocks supplying specific-pathogen-free eggs.", "type" : "article-journal", "volume" : "52" }, "uris" : [ "http://www.mendeley.com/documents/?uuid=43048487-c1d9-4078-aba6-9152ed4ea995" ] }, { "id" : "ITEM-2", "itemData" : { "DOI" : "10.1371/journal.pone.0001731", "ISSN" : "1932-6203", "PMID" : "18320050", "abstract" : "Chicken endogenous viruses, ALVE (Avian Leukosis Virus subgroup E), are inherited as LTR (long terminal repeat) retrotransposons, which are negatively correlated with disease resistance, and any changes in DNA methylation may contribute to the susceptibility to neoplastic disease. The relationship between ALVE methylation status and neoplastic disease in the chicken is undefined. White Leghorn inbred lines 7(2) and 6(3) at the ADOL have been respectively selected for resistance and susceptibility to tumors that are induced by avian viruses. In this study, the DNA methylation patterns of 3 approximately 6 CpG sites of four conserved regions in ALVE, including one unique region in ALVE1, the promoter region in the TVB (tumor virus receptor of ALV subgroup B, D and E) locus, were analyzed in the two lines using pyrosequencing methods in four tissues, i.e., liver, spleen, blood and hypothalamus. A significant CpG hypermethylation level was seen in line 7(2) in all four tissues, e.g., 91.86 +/- 1.63% for ALVE region2 in blood, whereas the same region was hemimethylated (46.16 +/- 2.56%) in line 6(3). CpG methylation contents of the ALVE regions were significantly lower in line 6(3) than in line 7(2) in all tissues (P &lt; 0.01) except the ALVE region 3/4 in liver. RNA expressions of ALVE regions 2 and 3 (PPT-U3) were significantly higher in line 6(3) than in line 7(2) (P &lt; 0.01). The methylation levels of six recombinant congenic strains (RCSs) closely resembled to the background line 6(3) in ALVE-region 2, which imply the methylation pattern of ALVE-region 2 may be a biomarker in resistant disease breeding. The methylation level of the promoter region in the TVB was significantly different in blood (P &lt; 0.05) and hypothalamus (P &lt; 0.0001), respectively. Our data disclosed a hypermethylation pattern of ALVE that may be relevant for resistance against ALV induced tumors in chickens.", "author" : [ { "dropping-particle" : "", "family" : "Yu", "given" : "Ying", "non-dropping-particle" : "", "parse-names" : false, "suffix" : "" }, { "dropping-particle" : "", "family" : "Zhang", "given" : "Huanmin", "non-dropping-particle" : "", "parse-names" : false, "suffix" : "" }, { "dropping-particle" : "", "family" : "Tian", "given" : "Fei", "non-dropping-particle" : "", "parse-names" : false, "suffix" : "" }, { "dropping-particle" : "", "family" : "Bacon", "given" : "Larry", "non-dropping-particle" : "", "parse-names" : false, "suffix" : "" }, { "dropping-particle" : "", "family" : "Zhang", "given" : "Yuan", "non-dropping-particle" : "", "parse-names" : false, "suffix" : "" }, { "dropping-particle" : "", "family" : "Zhang", "given" : "Wensheng", "non-dropping-particle" : "", "parse-names" : false, "suffix" : "" }, { "dropping-particle" : "", "family" : "Song", "given" : "Jiuzhou", "non-dropping-particle" : "", "parse-names" : false, "suffix" : "" } ], "container-title" : "PloS one", "id" : "ITEM-2", "issue" : "3", "issued" : { "date-parts" : [ [ "2008", "1" ] ] }, "note" : "Ev genes are ALVE loci (ALV-subgroup E \u00e0 the only endogenous ALV, the other 5 classes are exogenous viruses). ALVEs are LTR-retrotransposons. \nLike in mammals, retrotransposons appear hypermethylated in normal tissue (expected that they are hypomethylated in malignant tumour tissue) \u2013 a difference of almost 6 times. Methylation sites act as epigenetic biomarkers. \nCpG methylation status is negatively correlated with levels of virus transcription \u2013 confers resistance.", "page" : "e1731", "title" : "Quantitative evaluation of DNA methylation patterns for ALVE and TVB genes in a neoplastic disease susceptible and resistant chicken model.", "type" : "article-journal", "volume" : "3" }, "uris" : [ "http://www.mendeley.com/documents/?uuid=06f36af3-ae9b-45f3-841f-a12ff1351e4c" ] }, { "id" : "ITEM-3", "itemData" : { "DOI" : "10.1016/j.coviro.2013.08.008", "ISSN" : "1879-6265", "PMID" : "24011707", "abstract" : "Avian retroviruses were originally identified as cancer-inducting filterable agents in chicken neoplasms at the beginning of the 20th century. Since their discovery, the study of these simple retroviruses has contributed greatly to our understanding of viral replication and cancer. Avian retroviruses continue to evolve and have great economic importance in the poultry industry worldwide. The aim of this review is to provide a broad overview of the genome, pathology, and replication of avian retroviruses. Notable gaps in our current knowledge are highlighted, and areas where avian retroviruses differ from other retroviruses are emphasized.", "author" : [ { "dropping-particle" : "", "family" : "Justice", "given" : "James", "non-dropping-particle" : "", "parse-names" : false, "suffix" : "" }, { "dropping-particle" : "", "family" : "Beemon", "given" : "Karen L", "non-dropping-particle" : "", "parse-names" : false, "suffix" : "" } ], "container-title" : "Current opinion in virology", "id" : "ITEM-3", "issued" : { "date-parts" : [ [ "2013", "9", "4" ] ] }, "note" : "Good overview of ALV activity - little on endogenous retroviruses. Good background and some stuff on integration.\n\n\nStudy of Avian Leukosis virus in 1908 (Ellerman &amp;amp; Bang) was the first to show that a virus was oncogenic.\nIn 1911 American Peyton Rous discovered the Rous sarcoma virus - RSV is derived from ALV. These related viruses are collectively termed &amp;quot;Avian Sarcoma/Leukosis Viruses&amp;quot; - ASLV. \n\n\nALVs are part of the Alpharetrovirus family. These do not encode accessory proteins in overlapping reading frames (non-complex). In ALVs the gag gene encodes the protease (PR) rather than being encoding by the pol gene as in most retroviruses - ALVs therefore produce more protease than other retroviruses. ALVs are classified by differences in their env gene into 6 groups (chicken): A-E &amp;amp; J. \nALVs are also found as endogenous elements - ALVE loci. Other studies would suggest that the majority of ERVs in the chicken are gamma and beta retroviruses - potentially suggesting these families were more common previously - the ALVs are now the most common. But, also remember that alpha evolved from beta. \n\n\nALvs are mostly slowly transforming viruses and cause tumours by insertional mutagenesis over weeks and months. The acutely transforming members are mostly the sarcoma viruses. They are acutely transforming ebcause they have acquired specifically oncogenic genes in their genome. For example RSV has the v-src oncogene - a mutated version of the c-src tyrosine kinase gene in host cells. Many similar genes have been acquired by different strains - myc, myb, fps, yes, jun, ets and erbB. With the exception of some RSV strains, acutely transforming avian retroviruses are replication deficient and require a helper virus to replicate.\n\n\ntva, tvc and chNHE1 (tvj) receptors confer susceptibility to types A, C and J. Also, tvb has two susceptibility alleles - tvb(s1) confers susceptibility to B and D, tvb(s3) to B, D and E. \n\n\nThought that alpharetroviruses had to wait for cell division to integrate in the genome (like gammaretroviruses) - but now seen that ALSVs can infect at various stages of the cell cycle suggesting that nuclear membrane breakdown is not required. It is thought that the integrase has a NLS (nuclear localisation signal) for mediation of active transport into the nucleus (like lentiviruses). Suggests that a block to reverse transcriptase, rather than nuclear import, may cause low infectivity in non-dividing cells. Integration site appears quite indiscriminant - only slightly prefering sites of active transcription.", "page" : "1-6", "publisher" : "Elsevier B.V.", "title" : "Avian retroviral replication.", "type" : "article-journal", "volume" : "3" }, "uris" : [ "http://www.mendeley.com/documents/?uuid=a455e90d-9e2c-4e36-bded-e83978510c82" ] } ], "mendeley" : { "formattedCitation" : "(Hunt et al. 2008; Yu et al. 2008; Justice &amp; Beemon 2013)", "plainTextFormattedCitation" : "(Hunt et al. 2008; Yu et al. 2008; Justice &amp; Beemon 2013)", "previouslyFormattedCitation" : "(Hunt et al. 2008; Yu et al. 2008; Justice &amp; Beemon 2013)" }, "properties" : { "noteIndex" : 0 }, "schema" : "https://github.com/citation-style-language/schema/raw/master/csl-citation.json" }</w:instrText>
      </w:r>
      <w:r w:rsidR="007D2C02">
        <w:fldChar w:fldCharType="separate"/>
      </w:r>
      <w:r w:rsidR="007D2C02" w:rsidRPr="007D2C02">
        <w:rPr>
          <w:noProof/>
        </w:rPr>
        <w:t>(Hunt et al. 2008; Yu et al. 2008; Justice &amp; Beemon 2013)</w:t>
      </w:r>
      <w:r w:rsidR="007D2C02">
        <w:fldChar w:fldCharType="end"/>
      </w:r>
      <w:r w:rsidR="007D2C02">
        <w:t>.</w:t>
      </w:r>
      <w:r w:rsidR="00EF13A3">
        <w:t xml:space="preserve"> There are no documented cases of ALVEs containing accessory oncogenes, and they are expressed at a level two to three orders of magnitude lower than exogenous ALV due to deletion of enhancers in the ALVE LTR U3 domain </w:t>
      </w:r>
      <w:r w:rsidR="00EF13A3">
        <w:fldChar w:fldCharType="begin" w:fldLock="1"/>
      </w:r>
      <w:r w:rsidR="00EF13A3">
        <w:instrText>ADDIN CSL_CITATION { "citationItems" : [ { "id" : "ITEM-1", "itemData" : { "ISSN" : "0042-6822", "PMID" : "6302996", "abstract" : "The endogenous viruses of chickens are closely related to the exogenous avian leukosis viruses (ALV) yet as a group differ from these viruses in their host range, growth rate, and oncogenicity. The present study was undertaken to determine the patterns of relationship among the genomes of endogenous and exogenous ALVs. Complete or partial T1 oligonucleotide maps were prepared from the genomes of endogenous viruses that reside at eight distinct loci in chickens. Selected endogenous viruses and recombinants of endogenous or endogenous and exogenous viruses were characterized for host range and growth rate. From these data we could infer the following: (1) Endogenous viruses form a distinct lineage of ALVs with the most distinctive differences occurring in the portion of env that encodes host range and the U3 portion of the long terminal repeat; (2) The U3 sequences of endogenous ALVs determine the low growth rates of these viruses; and (3) Endogenous ALVs have distinctive oligonucleotide markers that allow them to be subclassified into distinct lineages. Our results suggest that endogenous viruses are derived from one another and not from exogenous field strains of ALV. This phenomenon may be related to the unique env encoded host range of endogenous ALVs, their unique U3 encoded growth rates, or perhaps their unique access, as residents of germ line DNA, to germ line cells.", "author" : [ { "dropping-particle" : "", "family" : "Coffin", "given" : "J M", "non-dropping-particle" : "", "parse-names" : false, "suffix" : "" }, { "dropping-particle" : "", "family" : "Tsichlis", "given" : "P N", "non-dropping-particle" : "", "parse-names" : false, "suffix" : "" }, { "dropping-particle" : "", "family" : "Conklin", "given" : "K F", "non-dropping-particle" : "", "parse-names" : false, "suffix" : "" }, { "dropping-particle" : "", "family" : "Senior", "given" : "A", "non-dropping-particle" : "", "parse-names" : false, "suffix" : "" }, { "dropping-particle" : "", "family" : "Robinson", "given" : "H L", "non-dropping-particle" : "", "parse-names" : false, "suffix" : "" } ], "container-title" : "Virology", "id" : "ITEM-1", "issue" : "1", "issued" : { "date-parts" : [ [ "1983", "4", "15" ] ] }, "note" : "At the time only 13 ev loci had been identified.\n\n\nProviruses confer distinctive phenotypes to the cells that contain them:\n- inducible expression of infectious virus (ev 2, 10, 11, 12)\n- high expression levels of active virion gag proteins when in the presence of ev3 or absence of ev6 or 9\n\n\nThe phenotypes of defective and/or non-inducible ev genes appears to be due to deletions, often in the left LTR (ev3,4,5,6). Ev1 and 7 are non-infectious, but complete. \n\n\nRAV-0 is the product of ev2.\n\n\nExogenous ALV are all disease inducing - B-cell lymphoma, osteoparosis etc, typically with a slow onset.\nEndogenous ALV has reduced growth rate in culture (reduced RNA production), a limited range to just chickens (due to the gp85 portion of the gag gene), and are largely non-pathogenic.\nThe difference for infectivity appears to lie in the U3 region - how well the sequences are promoted. \n\n\nev10 - inducible to give infectious virus\nev7 - inducible to give noninfectious virus\nev3 - defective due to a deletion at the gag-pol junction, but expresses a high level of env\nev1 - distantly related to other identified ev genes\n\n\nRecombination between the endogenous viruses has been clearly documented.", "page" : "51-72", "title" : "Genomes of endogenous and exogenous avian retroviruses.", "type" : "article-journal", "volume" : "126" }, "uris" : [ "http://www.mendeley.com/documents/?uuid=6d9001de-439c-4b3c-bac9-78ba6b014f5f" ] }, { "id" : "ITEM-2", "itemData" : { "author" : [ { "dropping-particle" : "", "family" : "Norton", "given" : "Pamela A", "non-dropping-particle" : "", "parse-names" : false, "suffix" : "" }, { "dropping-particle" : "", "family" : "Coffin", "given" : "John M", "non-dropping-particle" : "", "parse-names" : false, "suffix" : "" } ], "container-title" : "Journal of virology", "id" : "ITEM-2", "issue" : "4", "issued" : { "date-parts" : [ [ "1987" ] ] }, "page" : "1171-1179", "title" : "Sarcoma Virus Sequences Essential for Viral Gene Expression", "type" : "article-journal", "volume" : "61" }, "uris" : [ "http://www.mendeley.com/documents/?uuid=ad68a5e0-1019-4ea0-a08f-29a444631285" ] }, { "id" : "ITEM-3", "itemData" : { "abstract" : "An enhancer element is located in the U3 portion of exogenous avian retrovirus long terminal repeats (LTRs). A similar element has not been detected in the LTRs of ev-1 and ev-2, two avian endogenous viruses (evs) that normally are not expressed in vivo. Experiments were initiated to determine whether minor nucleotide differences in the U3 region of a previously untested ev that is ubiquitously expressed in vivo (ev-3) might confer enhancer function on the LTR of this provirus. This question was addressed by inserting U3 regions from ev-3 and from ev-1 and/or ev-2 both upstream of the herpesvirus thymidine kinase gene promoter and in place of the major enhancer domains of the Rous sarcoma virus LTR and determining their relative effects on transcription. U3 regions from all evs tested were unable to enhance transcription from the thymidine kinase gene promoter, indicating that nucleotide differences in the ev U3 regions do not affect their relative enhancer function and therefore are unlikely to play a role in their differential expression in vivo. Unexpectedly, however, all ev U3 regions were able to augment transcription in an orientation-independent manner in the ev-Rous sarcoma virus hybrid LTRs. Further experiments conducted to determine why this enhancer activity is not detectable in intact ev LTRs demonstrated that it was not due to removal of repressor sequences in the ev fragments used that might normally be present in intact ev LTRs. The lack of detectable enhancer activity in intact ev LTRs also was not explained by a defect in ev promoters that makes them unresponsive to enhancers in cis. These experiments therefore identify sequences that, although unable to function detectably as enhancers in their natural context, can function efficiently in a heterologous context. Data are discussed in terms of the modularity of enhancer elements and possible interactions between enhancers and promoter-specific sequences.", "author" : [ { "dropping-particle" : "", "family" : "Conklin", "given" : "KF", "non-dropping-particle" : "", "parse-names" : false, "suffix" : "" } ], "container-title" : "Journal of virology", "id" : "ITEM-3", "issue" : "5", "issued" : { "date-parts" : [ [ "1991" ] ] }, "note" : "Exogenous Retrovirus LTRs contain strong enhancers. The enhancer and promoter for viral RNA transcription are in the U3, with the U3-R boundary marking the transcription start site. In general, it has been found with ALVE loci that U5 and R regions of the LTR are very similar to the exogenous relatives, but the U3 is very divergent: shorter and lacking sequences essential for enhancer function in exogenous counterparts. \nStudies with ev1 and ev2 suggest the LTRs are 10-100 fold less transcriptionally active than exogenous relatives. However, even those elements (such as ev3) that are transcriptionally active have similar deletions and divergence. The expression control is clearly more complicated than missing sequences in the LTR U3.", "page" : "2525-2532", "title" : "Activation of an endogenous retrovirus enhancer by insertion into a heterologous context.", "type" : "article-journal", "volume" : "65" }, "uris" : [ "http://www.mendeley.com/documents/?uuid=2b202731-05d9-42cb-98ca-a28dce245bda" ] } ], "mendeley" : { "formattedCitation" : "(Coffin et al. 1983; Norton &amp; Coffin 1987; Conklin 1991)", "plainTextFormattedCitation" : "(Coffin et al. 1983; Norton &amp; Coffin 1987; Conklin 1991)", "previouslyFormattedCitation" : "(Coffin et al. 1983; Norton &amp; Coffin 1987; Conklin 1991)" }, "properties" : { "noteIndex" : 0 }, "schema" : "https://github.com/citation-style-language/schema/raw/master/csl-citation.json" }</w:instrText>
      </w:r>
      <w:r w:rsidR="00EF13A3">
        <w:fldChar w:fldCharType="separate"/>
      </w:r>
      <w:r w:rsidR="00EF13A3" w:rsidRPr="00EF13A3">
        <w:rPr>
          <w:noProof/>
        </w:rPr>
        <w:t>(Coffin et al. 1983; Norton &amp; Coffin 1987; Conklin 1991)</w:t>
      </w:r>
      <w:r w:rsidR="00EF13A3">
        <w:fldChar w:fldCharType="end"/>
      </w:r>
      <w:r w:rsidR="00EF13A3">
        <w:t xml:space="preserve">. ALVE LTRs typically only have a single enhancer, rather than the tandem enhancer cassette present in exogenous ALV </w:t>
      </w:r>
      <w:r w:rsidR="00EF13A3">
        <w:fldChar w:fldCharType="begin" w:fldLock="1"/>
      </w:r>
      <w:r w:rsidR="00083ACA">
        <w:instrText>ADDIN CSL_CITATION { "citationItems" : [ { "id" : "ITEM-1", "itemData" : { "ISSN" : "0042-6822", "PMID" : "7831764", "author" : [ { "dropping-particle" : "", "family" : "Ruddell", "given" : "A", "non-dropping-particle" : "", "parse-names" : false, "suffix" : "" } ], "container-title" : "Virology", "id" : "ITEM-1", "issue" : "1", "issued" : { "date-parts" : [ [ "1995", "1", "10" ] ] }, "note" : "Avian exogenous LTRs are strong promoters. In infected cells, 20% of the mRNA can be of viral origin. \nThe ability of ALVE loci to induce tumorogenesis in birds is greatly reduced, probably due to weak LTR activity. Replacement of endogenous U3 with that of an exogenous ALV greatly increases oncogenic potential. Although the U3 sites differ between strains (homology ~80%) the protein binding domains are conserved - indicative of selection for their maintenance. \n\n\nRSV (Rous-Sarcoma Virus) LTR was characterised early on. Enhancer mapped to 110 bp regions from -250 to -140 with respect to the transcription start at the U3/R boundary. Enhancer functions in either 5' or 3' orientation of genes, but has highest efficacy in the 5' configuration. \nThe promoter maps from the 3' end of the enhancer region to roughly the transcription start point. \n\n\nMany different porteins bind the promoter and enhancer regions. The LTR Y box elements appear to be essential for promoter function. Many factors have a huge impact on relative expression. Full expression potential is cumulative. The repetitive nature of these elements may also be necessary for high transcription levels. \nEndogenous LTRs have serial deletions. This knocks out individual binding sites and also sites that are repeated. Combined, this has the effect of largely reducing transcriptional activity in the endogenous loci. \nFurther transcriptional silencing appears to also be at play - influence of chromatin structure and DNA methylation at proviral integration sites.", "page" : "1-7", "title" : "Transcription regulatory elements of the avian retroviral long terminal repeat.", "type" : "article-journal", "volume" : "206" }, "uris" : [ "http://www.mendeley.com/documents/?uuid=2095e481-69b8-4f61-af4b-8dd1a82d11cd" ] } ], "mendeley" : { "formattedCitation" : "(Ruddell 1995)", "plainTextFormattedCitation" : "(Ruddell 1995)", "previouslyFormattedCitation" : "(Ruddell 1995)" }, "properties" : { "noteIndex" : 0 }, "schema" : "https://github.com/citation-style-language/schema/raw/master/csl-citation.json" }</w:instrText>
      </w:r>
      <w:r w:rsidR="00EF13A3">
        <w:fldChar w:fldCharType="separate"/>
      </w:r>
      <w:r w:rsidR="00EF13A3" w:rsidRPr="00EF13A3">
        <w:rPr>
          <w:noProof/>
        </w:rPr>
        <w:t>(Ruddell 1995)</w:t>
      </w:r>
      <w:r w:rsidR="00EF13A3">
        <w:fldChar w:fldCharType="end"/>
      </w:r>
      <w:r w:rsidR="00EF13A3">
        <w:t>.</w:t>
      </w:r>
      <w:r w:rsidR="00083ACA">
        <w:t xml:space="preserve"> Consequently</w:t>
      </w:r>
      <w:r w:rsidR="00EF13A3">
        <w:t xml:space="preserve">, ALVEs rarely induce tumour formation, but the presence of these loci in the host genome </w:t>
      </w:r>
      <w:r w:rsidR="00083ACA">
        <w:t>can modulate</w:t>
      </w:r>
      <w:r w:rsidR="00EF13A3">
        <w:t xml:space="preserve"> the infection dynamics of exogenous ALV</w:t>
      </w:r>
      <w:r w:rsidR="00083ACA">
        <w:t xml:space="preserve"> </w:t>
      </w:r>
      <w:r w:rsidR="00083ACA">
        <w:fldChar w:fldCharType="begin" w:fldLock="1"/>
      </w:r>
      <w:r w:rsidR="00346B07">
        <w:instrText>ADDIN CSL_CITATION { "citationItems" : [ { "id" : "ITEM-1", "itemData" : { "abstract" : "A new subgroup of avian leukosis virus (ALV), designated subgroup J, was identified recently. Viruses of this subgroup do not cross-interfere with viruses of the avian A, B, C, D, and E subgroups, are not neutralized by antisera raised against the other virus subgroups, and have a broader host range than the A to E subgroups. Sequence comparisons reveal that while the subgroup J envelope gene includes some regions that are related to those found in env genes of the A to E subgroups, the majority of the subgroup J gene is composed of se- quences either that are more similar to those of a member (E51) of the ancient endogenous avian virus (EAV) family of proviruses or that appear unique to subgroup J viruses. These data led to the suggestion that the ALV-J env gene might have arisen by multiple recombination events between one or more endogenous and exogenous viruses. We initiated studies to investigate the origin of the subgroup J envelope gene and in particular to determine the identity of endogenous sequences that may have contributed to its generation. Here we report the identification of a novel family of avian endogenous viruses that include env coding sequences that are over 95% identical to both the gp85 and gp37 coding regions of subgroup J viruses. We call these viruses the ev/J family. We also report the isolation of ev/J-encoded cDNAs, indicating that at least some members of this family are expressed. These data support the hypothesis that the subgroup J envelope gene was acquired by recombination with expressed endogenous sequences and are consistent with acquisition of this gene by only one recombination event.", "author" : [ { "dropping-particle" : "", "family" : "Benson", "given" : "SJ", "non-dropping-particle" : "", "parse-names" : false, "suffix" : "" }, { "dropping-particle" : "", "family" : "Ruis", "given" : "BL", "non-dropping-particle" : "", "parse-names" : false, "suffix" : "" }, { "dropping-particle" : "", "family" : "Fadly", "given" : "AM", "non-dropping-particle" : "", "parse-names" : false, "suffix" : "" }, { "dropping-particle" : "", "family" : "Conklin", "given" : "KF", "non-dropping-particle" : "", "parse-names" : false, "suffix" : "" } ], "container-title" : "Journal of virology", "id" : "ITEM-1", "issue" : "45", "issued" : { "date-parts" : [ [ "1998" ] ] }, "note" : "The subgroup specificity of ALV is derived from the env gene. This is due mainly to the SU (surface) protein gp85. The secon dencoded protein is the transmembrane (TM) protein gp37 which anchors gp85 to the membrane. ALVJ gp85 only has 40% identity with other ALV subgroups, whereas the other five groups share ~85% similarity at the sequence level - they differ in hypervariable and variable regions that allow further classification into subgroups. \nALVJ env is much more closely related to E51 from the EAV family. E51 appears to be the only family member with an active env gene. All others have deletions of some or all of the SU protein. Therefore, even though there is good evidence for multiple EAVs being expressed, there is no real evidence that a functional envelope can be created. \nStudy showed that ALVJ env has over 95% identity with the E51 env suggesting the ALVJ envelope gene was acquired soley from these ERV sequences.", "page" : "10157-10164", "title" : "The unique envelope gene of the subgroup J avian leukosis virus derives from ev/J proviruses, a novel family of avian endogenous viruses", "type" : "article-journal", "volume" : "72" }, "uris" : [ "http://www.mendeley.com/documents/?uuid=e32d1222-3d19-4515-838b-e9425096ae46" ] }, { "id" : "ITEM-2", "itemData" : { "ISSN" : "0032-5791", "PMID" : "9706091", "abstract" : "Three species of avian retrovirus cause disease in poultry: the avian leukosis/sarcoma virus (ALSV), reticuloendotheliosis virus (REV), and lymphoproliferative disease virus (LPDV) of turkeys. The ALSV can be classified as slowly transforming viruses, which lack a viral oncogene, and acutely transforming viruses, which possess a viral oncogene. Slowly transforming viruses induce late onset leukoses of the B cell lymphoid, erythroid, and myeloid cell lineages, and other tumors, by viral promoter insertion into the genome of a host cell and activation of a cellular protooncogene. The various acutely transforming leukemia and sarcoma viruses induce leukotic or other tumors rapidly and carry one or anther (sometimes two) viral oncogenes, of which some 15 have been identified. The ALSV fall into six envelope subgroups, A through E, and the recently recognized J subgroup, which induces myeloid leukosis. With the exception of Subgroup E viruses, these viruses spread vertically and horizontally as infectious virions, and are termed exogenous viruses. Subgroup E viruses are usually spread genetically as DNA proviruses (often defective) in host germ cell genome, and are termed endogenous viruses. Several other families of endogenous viruses also exist, one of which, endogenous avian retrovirus (EAV), is related to Subgroup J ALV. Exogenous viruses, and sometimes endogenous viruses, can have detrimental effects on commercially important production traits. Exogenous viruses are currently controlled by virus eradication schemes. Reticuloendotheliosis virus, which lacks a viral oncogene, causes chronic B cell and T-cell lymphomas in chickens, and also chronic lymphomas in turkeys and other species of birds. An acutely transforming variant of REV, Strain T, carries a viral oncogene, and induces reticuloendotheliosis within a few days. In chickens and turkeys, REV spreads vertically and horizontally. No commercial control schemes are operated. In turkeys, LPDV infection has occurred in several countries, where it caused a lymphoproliferative disease of uncertain nature.", "author" : [ { "dropping-particle" : "", "family" : "Payne", "given" : "L N", "non-dropping-particle" : "", "parse-names" : false, "suffix" : "" } ], "container-title" : "Poultry science", "id" : "ITEM-2", "issue" : "8", "issued" : { "date-parts" : [ [ "1998", "8" ] ] }, "note" : "General information of diseases caused by retroviruses. States that ALV subgroups are divided by envelope properties \u2013 nucl seq of the env gene and aa seq of the SU (gp85) protein \u2013 defines the receptor needed for mediated endocytosis. \nALV-E loci do not induce tumours due to weak promoter enhancement by the LTRs.", "page" : "1204-12", "title" : "Retrovirus-induced disease in poultry.", "type" : "article-journal", "volume" : "77" }, "uris" : [ "http://www.mendeley.com/documents/?uuid=dbcb9815-f64c-4637-8b5e-be89346c2589" ] }, { "id" : "ITEM-3", "itemData" : { "DOI" : "10.1371/journal.pone.0001731", "ISSN" : "1932-6203", "PMID" : "18320050", "abstract" : "Chicken endogenous viruses, ALVE (Avian Leukosis Virus subgroup E), are inherited as LTR (long terminal repeat) retrotransposons, which are negatively correlated with disease resistance, and any changes in DNA methylation may contribute to the susceptibility to neoplastic disease. The relationship between ALVE methylation status and neoplastic disease in the chicken is undefined. White Leghorn inbred lines 7(2) and 6(3) at the ADOL have been respectively selected for resistance and susceptibility to tumors that are induced by avian viruses. In this study, the DNA methylation patterns of 3 approximately 6 CpG sites of four conserved regions in ALVE, including one unique region in ALVE1, the promoter region in the TVB (tumor virus receptor of ALV subgroup B, D and E) locus, were analyzed in the two lines using pyrosequencing methods in four tissues, i.e., liver, spleen, blood and hypothalamus. A significant CpG hypermethylation level was seen in line 7(2) in all four tissues, e.g., 91.86 +/- 1.63% for ALVE region2 in blood, whereas the same region was hemimethylated (46.16 +/- 2.56%) in line 6(3). CpG methylation contents of the ALVE regions were significantly lower in line 6(3) than in line 7(2) in all tissues (P &lt; 0.01) except the ALVE region 3/4 in liver. RNA expressions of ALVE regions 2 and 3 (PPT-U3) were significantly higher in line 6(3) than in line 7(2) (P &lt; 0.01). The methylation levels of six recombinant congenic strains (RCSs) closely resembled to the background line 6(3) in ALVE-region 2, which imply the methylation pattern of ALVE-region 2 may be a biomarker in resistant disease breeding. The methylation level of the promoter region in the TVB was significantly different in blood (P &lt; 0.05) and hypothalamus (P &lt; 0.0001), respectively. Our data disclosed a hypermethylation pattern of ALVE that may be relevant for resistance against ALV induced tumors in chickens.", "author" : [ { "dropping-particle" : "", "family" : "Yu", "given" : "Ying", "non-dropping-particle" : "", "parse-names" : false, "suffix" : "" }, { "dropping-particle" : "", "family" : "Zhang", "given" : "Huanmin", "non-dropping-particle" : "", "parse-names" : false, "suffix" : "" }, { "dropping-particle" : "", "family" : "Tian", "given" : "Fei", "non-dropping-particle" : "", "parse-names" : false, "suffix" : "" }, { "dropping-particle" : "", "family" : "Bacon", "given" : "Larry", "non-dropping-particle" : "", "parse-names" : false, "suffix" : "" }, { "dropping-particle" : "", "family" : "Zhang", "given" : "Yuan", "non-dropping-particle" : "", "parse-names" : false, "suffix" : "" }, { "dropping-particle" : "", "family" : "Zhang", "given" : "Wensheng", "non-dropping-particle" : "", "parse-names" : false, "suffix" : "" }, { "dropping-particle" : "", "family" : "Song", "given" : "Jiuzhou", "non-dropping-particle" : "", "parse-names" : false, "suffix" : "" } ], "container-title" : "PloS one", "id" : "ITEM-3", "issue" : "3", "issued" : { "date-parts" : [ [ "2008", "1" ] ] }, "note" : "Ev genes are ALVE loci (ALV-subgroup E \u00e0 the only endogenous ALV, the other 5 classes are exogenous viruses). ALVEs are LTR-retrotransposons. \nLike in mammals, retrotransposons appear hypermethylated in normal tissue (expected that they are hypomethylated in malignant tumour tissue) \u2013 a difference of almost 6 times. Methylation sites act as epigenetic biomarkers. \nCpG methylation status is negatively correlated with levels of virus transcription \u2013 confers resistance.", "page" : "e1731", "title" : "Quantitative evaluation of DNA methylation patterns for ALVE and TVB genes in a neoplastic disease susceptible and resistant chicken model.", "type" : "article-journal", "volume" : "3" }, "uris" : [ "http://www.mendeley.com/documents/?uuid=06f36af3-ae9b-45f3-841f-a12ff1351e4c" ] }, { "id" : "ITEM-4", "itemData" : { "DOI" : "10.1080/03079457.2011.646237", "ISSN" : "1465-3338", "PMID" : "22845317", "abstract" : "The present review is aimed at the non-specialist reader and is one of a number being written on important diseases of poultry to celebrate the 40th anniversary of the birth of Avian Pathology, the journal of the World Veterinary Poultry Association. The diseases of the avian leukosis complex have a number of features of distinction. They were the first neoplastic diseases in any species to be shown, 100 years ago, to be transmissible and caused by viruses, and have consequently been studied extensively by biomedical scientists as models for the role of viruses in cancer. They also became, from around the 1920s, the major cause of mortality and economic loss to the developed poultry industry, and were studied by agricultural scientists searching to understand and control them. The remit of the review is to cover research carried out over the 40 years since 1971, when the journal was founded. In this review on avian leukosis, an introductory summary is given of knowledge acquired over the preceding 60 years. Subsequently a selection is provided of discoveries, both fundamental and more applied, that seem to us to be of particular importance and interest. Much of the work was carried out by biomedical scientists interested in cancer. Probably the most significant was the discovery in the avian retroviruses of oncogenes that cause leukosis and other tumours and of their origin from proto-oncogenes in normal cells. These oncogenes are involved in cancer in many species, including chickens and humans. Other work was performed by agricultural scientists interested in poultry disease. Interests of the two groups have overlapped, particularly as a result of a shift of emphasis to molecular biology research.", "author" : [ { "dropping-particle" : "", "family" : "Payne", "given" : "L N", "non-dropping-particle" : "", "parse-names" : false, "suffix" : "" }, { "dropping-particle" : "", "family" : "Nair", "given" : "V", "non-dropping-particle" : "", "parse-names" : false, "suffix" : "" } ], "container-title" : "Avian pathology : journal of the W.V.P.A", "id" : "ITEM-4", "issue" : "1", "issued" : { "date-parts" : [ [ "2012", "1" ] ] }, "note" : "Broad overview \u2013 nice as an introduction to the subject. Starts with Ev genes and then moves on to detrimental effects of ev21, but only briefly. Last chunk is all about ALV-J and its spread.", "page" : "11-19", "title" : "The long view: 40 years of avian leukosis research.", "type" : "article-journal", "volume" : "41" }, "uris" : [ "http://www.mendeley.com/documents/?uuid=42cb0588-e47e-49f5-a783-3501c75ac896" ] }, { "id" : "ITEM-5", "itemData" : { "DOI" : "10.1098/rstb.2012.0505", "author" : [ { "dropping-particle" : "", "family" : "Kanda", "given" : "RK", "non-dropping-particle" : "", "parse-names" : false, "suffix" : "" }, { "dropping-particle" : "", "family" : "Tristem", "given" : "M", "non-dropping-particle" : "", "parse-names" : false, "suffix" : "" }, { "dropping-particle" : "", "family" : "Coulson", "given" : "T", "non-dropping-particle" : "", "parse-names" : false, "suffix" : "" } ], "container-title" : "\u2026 of the Royal \u2026", "id" : "ITEM-5", "issue" : "1626", "issued" : { "date-parts" : [ [ "2013" ] ] }, "title" : "Exploring the effects of immunity and life history on the dynamics of an endogenous retrovirus", "type" : "article-journal", "volume" : "368" }, "uris" : [ "http://www.mendeley.com/documents/?uuid=1fc758c0-f173-4fe2-a22c-ba9c5c9ba6ce" ] } ], "mendeley" : { "formattedCitation" : "(Benson et al. 1998; Payne 1998; Yu et al. 2008; Payne &amp; Nair 2012; Kanda et al. 2013)", "plainTextFormattedCitation" : "(Benson et al. 1998; Payne 1998; Yu et al. 2008; Payne &amp; Nair 2012; Kanda et al. 2013)", "previouslyFormattedCitation" : "(Benson et al. 1998; Payne 1998; Yu et al. 2008; Payne &amp; Nair 2012; Kanda et al. 2013)" }, "properties" : { "noteIndex" : 0 }, "schema" : "https://github.com/citation-style-language/schema/raw/master/csl-citation.json" }</w:instrText>
      </w:r>
      <w:r w:rsidR="00083ACA">
        <w:fldChar w:fldCharType="separate"/>
      </w:r>
      <w:r w:rsidR="00F363B6" w:rsidRPr="00F363B6">
        <w:rPr>
          <w:noProof/>
        </w:rPr>
        <w:t>(Benson et al. 1998; Payne 1998; Yu et al. 2008; Payne &amp; Nair 2012; Kanda et al. 2013)</w:t>
      </w:r>
      <w:r w:rsidR="00083ACA">
        <w:fldChar w:fldCharType="end"/>
      </w:r>
      <w:r w:rsidR="00EF13A3">
        <w:t xml:space="preserve">. </w:t>
      </w:r>
    </w:p>
    <w:p w14:paraId="767F676F" w14:textId="086C0AE2" w:rsidR="00E27E3E" w:rsidRDefault="00724D7B" w:rsidP="00391005">
      <w:pPr>
        <w:pStyle w:val="ListParagraph"/>
      </w:pPr>
      <w:r>
        <w:t>ALVE insertions a</w:t>
      </w:r>
      <w:r w:rsidR="00662B8E">
        <w:t xml:space="preserve">re recent and recurrent, </w:t>
      </w:r>
      <w:r>
        <w:t xml:space="preserve">as there is significant element variation between chicken populations (with approximately fifty ALVE loci identified to date), low element copy number, and generally high </w:t>
      </w:r>
      <w:r w:rsidR="00E371F9">
        <w:t>structural integrity. In fact,</w:t>
      </w:r>
      <w:r>
        <w:t xml:space="preserve"> nearly half of the twenty-three ALVEs identified across various WL lines can produce replication competent virions </w:t>
      </w:r>
      <w:r>
        <w:fldChar w:fldCharType="begin" w:fldLock="1"/>
      </w:r>
      <w:r w:rsidR="00E27E3E">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"id" : "ITEM-2", "itemData" : { "ISBN" : "0380442663", "ISSN" : "0015-5500", "PMID" : "14680291", "abstract" : "Recent data about the diversity of AER, their structure, expression and possible ways of evolution are summarized and analysed in the present review. Additionally, the role of endogenous retroviruses in ontogenesis and pathology is discussed.", "author" : [ { "dropping-particle" : "", "family" : "Borisenko", "given" : "L", "non-dropping-particle" : "", "parse-names" : false, "suffix" : "" } ], "container-title" : "Folia biologica", "id" : "ITEM-2", "issue" : "5", "issued" : { "date-parts" : [ [ "2003", "1" ] ] }, "note" : "A nice clear review of the three groups of known avian endogenous retroviruses, their relatedness, proposed age and other information on evolution. Hints at the need to know more about distribution throughout the genome. Also gives a diagram of the structure of some of the resolved Ev genes in Chicken and gives a brief list of the numbers of Ev genes identified. Good read.", "page" : "177-82", "title" : "Avian endogenous retroviruses.", "type" : "article-journal", "volume" : "49" }, "uris" : [ "http://www.mendeley.com/documents/?uuid=ea772d88-5f9c-4c06-b558-1253b6308437" ] } ], "mendeley" : { "formattedCitation" : "(Benkel 1998; Borisenko 2003)", "plainTextFormattedCitation" : "(Benkel 1998; Borisenko 2003)", "previouslyFormattedCitation" : "(Benkel 1998; Borisenko 2003)" }, "properties" : { "noteIndex" : 0 }, "schema" : "https://github.com/citation-style-language/schema/raw/master/csl-citation.json" }</w:instrText>
      </w:r>
      <w:r>
        <w:fldChar w:fldCharType="separate"/>
      </w:r>
      <w:r w:rsidRPr="00724D7B">
        <w:rPr>
          <w:noProof/>
        </w:rPr>
        <w:t>(Benkel 1998; Borisenko 2003)</w:t>
      </w:r>
      <w:r>
        <w:fldChar w:fldCharType="end"/>
      </w:r>
      <w:r>
        <w:t xml:space="preserve">. </w:t>
      </w:r>
      <w:r w:rsidR="00E371F9">
        <w:t xml:space="preserve">The presence of replication </w:t>
      </w:r>
      <w:r w:rsidR="00E371F9">
        <w:lastRenderedPageBreak/>
        <w:t xml:space="preserve">competent ALVEs, and ALVEs expressing the </w:t>
      </w:r>
      <w:r w:rsidR="00E371F9">
        <w:rPr>
          <w:i/>
        </w:rPr>
        <w:t>gag</w:t>
      </w:r>
      <w:r w:rsidR="00E371F9">
        <w:t xml:space="preserve"> gene, has been associated with reductions in body weight, egg production, size and shell thickness, and increased </w:t>
      </w:r>
      <w:r w:rsidR="00144A6A">
        <w:t xml:space="preserve">retroviral </w:t>
      </w:r>
      <w:r w:rsidR="00E371F9">
        <w:t xml:space="preserve">shedding, which facilitates horizontal infection within a flock </w:t>
      </w:r>
      <w:r w:rsidR="00E371F9">
        <w:fldChar w:fldCharType="begin" w:fldLock="1"/>
      </w:r>
      <w:r w:rsidR="00E371F9">
        <w:instrText>ADDIN CSL_CITATION { "citationItems" : [ { "id" : "ITEM-1", "itemData" : { "ISSN" : "0005-2086", "PMID" : "6098248", "abstract" : "Two experiments were conducted to determine the influence of endogenous viral (ev) gene expression on the response of chicken to day-old inoculation with two laboratory and two field strains of avian leukosis virus (ALV). The ev2- and ev3-negative semi-congenic chickens had much higher mortality from a unique non-neoplastic syndrome (NNS) than ev2- and ev3-positive semi-congenic chickens after inoculation with ALV strain RAV-1. The three other ALV strains induced little NNS. All four strains of ALV induced higher incidences of neutralizing antibody and lower incidences of viremia in ev2- and ev3-negative chickens than ev2- and ev3-positive chickens. The semi-congenic ev2- and ev3-negative chickens were only slightly less likely to shed ALV in the cloaca. Chickens of line 0, an unrelated line lacking ev genes, had a much higher rate of antibody production and lower rate of viremia and shedding than the semi-congenic chickens. Surprisingly, line 0 failed to get NNS after RAV-1 inoculation. There were major differences among strains of ALV in induction of antibody response, viremia, and shedding in the cloaca. The two field strains of ALV tended to be less immunogenic than the laboratory strains. We conclude that both the genetics of the host, including variation in ev gene expression, and the strain of ALV can influence the probability of ALV shedding and congenital transmission after horizontal infection.", "author" : [ { "dropping-particle" : "", "family" : "Crittenden", "given" : "L B", "non-dropping-particle" : "", "parse-names" : false, "suffix" : "" }, { "dropping-particle" : "", "family" : "Smith", "given" : "E J", "non-dropping-particle" : "", "parse-names" : false, "suffix" : "" }, { "dropping-particle" : "", "family" : "Fadly", "given" : "a M", "non-dropping-particle" : "", "parse-names" : false, "suffix" : "" } ], "container-title" : "Avian diseases", "id" : "ITEM-1", "issue" : "4", "issued" : { "date-parts" : [ [ "1984" ] ] }, "note" : "Ev genes are homologous to exogenous ALV. Ev genes have a range of expression levels from ev2 which codes for a full virion, ev3 which codes for gag antigens only to ev15 and ev16 which are solo LTRs with no expression. \nPresence of ev genes gives a reported lower frequency and delay in immune response due to established immune tolerance. This varies in ev gene present (tolerance less likely to build against ev2 when it is detrimental whereas ev3 has no risk). This means that in general ev gene birds (where there is expression) will repel viruses with shared antigens at a much slower rate than those lacking ev genes \u2013 reduced antibody response etc. \nTherefore chickens without ev genes are less likely to infect horizontally and may have a selective advantage in ALV infected flocks.", "page" : "1037-56", "title" : "Influence of endogenous viral (ev) gene expression and strain of exogenous avian leukosis virus (ALV) on mortality and ALV infection and shedding in chickens.", "type" : "article-journal", "volume" : "28" }, "uris" : [ "http://www.mendeley.com/documents/?uuid=4b7682b3-08c8-4d07-8a26-74df70fddfff" ] }, { "id" : "ITEM-2", "itemData" : { "DOI" : "10.3382/ps.0681161", "ISSN" : "0032-5791", "author" : [ { "dropping-particle" : "", "family" : "Kuhnlein", "given" : "U.", "non-dropping-particle" : "", "parse-names" : false, "suffix" : "" }, { "dropping-particle" : "", "family" : "Sabour", "given" : "M.", "non-dropping-particle" : "", "parse-names" : false, "suffix" : "" }, { "dropping-particle" : "", "family" : "Gavora", "given" : "J. S.", "non-dropping-particle" : "", "parse-names" : false, "suffix" : "" }, { "dropping-particle" : "", "family" : "Fairfull", "given" : "R. W.", "non-dropping-particle" : "", "parse-names" : false, "suffix" : "" }, { "dropping-particle" : "", "family" : "Bernon", "given" : "D. E.", "non-dropping-particle" : "", "parse-names" : false, "suffix" : "" } ], "container-title" : "Poultry Science", "id" : "ITEM-2", "issue" : "9", "issued" : { "date-parts" : [ [ "1989" ] ] }, "page" : "1161-1167", "title" : "Influence of Selection for Egg Production and Marek's Disease Resistance on the Incidence of Endogenous Viral Genes in White Leghorns", "type" : "article-journal", "volume" : "68" }, "uris" : [ "http://www.mendeley.com/documents/?uuid=caf3be8f-a7b8-4e96-a33b-58b11359f09a" ] }, { "id" : "ITEM-3", "itemData" : { "DOI" : "10.3382/ps.0700618", "ISSN" : "0032-5791", "abstract" : "Endogenous viral (ev) genes are DNA sequences residing permanently in the genome of most chickens that have a high degree of homology to avian leukosis viruses (ALV). Association of ev genes with production trait differences was studied in White Leghorns free of exogenous ALV. The Cornell Strain K and S chickens used in Experiment 1 had multiple ev genes. In each of four lines of chickens in Experiment 2, there was a 1:1 segregation of full-sibs free of ev genes and those carrying one ev gene: ev-12 mat produces the complete endogenous virus, ev-3 or ev-6 that express certain viral antigens, or ev-1, a silent gene. In Experiment 1, the presence of genes ev-10 or ev-19, known to produce the complete virus, was associated with a 9% reduction in the annual egg production rate (P&lt;.05) in Strain S. Similarly, the presence of the virus-producing ev-12 in Experiment 2 was associated with an 8% reduction of annual egg production rate (P&lt;.05), a 2.2-g reduction in egg weight (P&lt;.01), and a .003 reduction in egg specific gravity (P&lt;.01). No significant effects of ev genes on age at first egg, Haugh unit score, percentage of eggs with blood spots, and body weight of hens were observed. It was concluded that ev genes producing complete endogenous virus are associated with production trait differences similar to those associated with subclinical infections with exogenous ALV.", "author" : [ { "dropping-particle" : "", "family" : "Gavora", "given" : "J. S.", "non-dropping-particle" : "", "parse-names" : false, "suffix" : "" }, { "dropping-particle" : "", "family" : "Kuhnlein", "given" : "U.", "non-dropping-particle" : "", "parse-names" : false, "suffix" : "" }, { "dropping-particle" : "", "family" : "Crittenden", "given" : "L. B.", "non-dropping-particle" : "", "parse-names" : false, "suffix" : "" }, { "dropping-particle" : "", "family" : "Spencer", "given" : "J. L.", "non-dropping-particle" : "", "parse-names" : false, "suffix" : "" }, { "dropping-particle" : "", "family" : "Sabour", "given" : "M. P.", "non-dropping-particle" : "", "parse-names" : false, "suffix" : "" } ], "container-title" : "Poultry Science", "id" : "ITEM-3", "issue" : "3", "issued" : { "date-parts" : [ [ "1991", "3", "1" ] ] }, "note" : "Presence of some ev genes is detrimental to the hen rate of egg production, egg size and egg shell thickness. The majority of ev genes allowed to persist in leghorns do not produce full virus \u2013 exception is ev21 because of the link to the K locus \nNot accessible online from Ed Uni - Journals available at the Vet School Library", "page" : "618-623", "title" : "Endogenous Viral Genes: Association with Reduced Egg Production Rate and Egg Size in White Leghorns", "type" : "article-journal", "volume" : "70" }, "uris" : [ "http://www.mendeley.com/documents/?uuid=a4558e2e-c34c-4c11-9982-f2dadb7b3eed" ] }, { "id" : "ITEM-4", "itemData" : { "DOI" : "10.1186/1742-4690-6-68", "ISSN" : "1742-4690", "PMID" : "19604406", "abstract" : "BACKGROUND: Long-term selection (&gt; 45 generations) for low or high juvenile body weight from a common founder population of White Plymouth Rock chickens has generated two extremely divergent lines, the LWS and HWS lines. In addition to a &gt; 9-fold difference between lines for the selected trait, large behavioural and metabolic differences between the two lines evolved during the course of the selection. We recently compared gene expression in brain tissue from birds representing these lines using a global cDNA array analysis and the results showed multiple but small expression differences in protein coding genes. The main differentially expressed transcripts were endogenous retroviral sequences identified as avian leucosis virus subgroup-E (ALVE).\n\nRESULTS: In this work we confirm the differential ALVE expression and analysed expression and number of proviral integrations in the two parental lines as well as in F9 individuals from an advanced intercross of the lines. Correlation analysis between expression, proviral integrations and body weight showed that high ALVE levels in the LWS line were inherited and that more ALVE integrations were detected in LWS than HWS birds.\n\nCONCLUSION: We conclude that only a few of the integrations contribute to the high expression levels seen in the LWS line and that high ALVE expression was significantly correlated with lower body weights for the females but not males. The conserved correlation between high expression and low body weight in females after 9 generations of intercrosses, indicated that ALVE loci conferring high expression directly affects growth or are very closely linked to loci regulating growth.", "author" : [ { "dropping-particle" : "", "family" : "Ka", "given" : "Sojeong", "non-dropping-particle" : "", "parse-names" : false, "suffix" : "" }, { "dropping-particle" : "", "family" : "Kerje", "given" : "Susanne", "non-dropping-particle" : "", "parse-names" : false, "suffix" : "" }, { "dropping-particle" : "", "family" : "Bornold", "given" : "Lina", "non-dropping-particle" : "", "parse-names" : false, "suffix" : "" }, { "dropping-particle" : "", "family" : "Liljegren", "given" : "Ulrika", "non-dropping-particle" : "", "parse-names" : false, "suffix" : "" }, { "dropping-particle" : "", "family" : "Siegel", "given" : "Paul B", "non-dropping-particle" : "", "parse-names" : false, "suffix" : "" }, { "dropping-particle" : "", "family" : "Andersson", "given" : "Leif", "non-dropping-particle" : "", "parse-names" : false, "suffix" : "" }, { "dropping-particle" : "", "family" : "Hallb\u00f6\u00f6k", "given" : "Finn", "non-dropping-particle" : "", "parse-names" : false, "suffix" : "" } ], "container-title" : "Retrovirology", "id" : "ITEM-4", "issued" : { "date-parts" : [ [ "2009", "1" ] ] }, "page" : "68", "title" : "Proviral integrations and expression of endogenous avian leucosis virus during long term selection for high and low body weight in two chicken lines.", "type" : "article-journal", "volume" : "6" }, "uris" : [ "http://www.mendeley.com/documents/?uuid=93c3010c-00da-4bad-910b-dce592c51feb" ] } ], "mendeley" : { "formattedCitation" : "(Crittenden et al. 1984; Kuhnlein et al. 1989; Gavora et al. 1991; Ka et al. 2009)", "plainTextFormattedCitation" : "(Crittenden et al. 1984; Kuhnlein et al. 1989; Gavora et al. 1991; Ka et al. 2009)", "previouslyFormattedCitation" : "(Crittenden et al. 1984; Kuhnlein et al. 1989; Gavora et al. 1991; Ka et al. 2009)" }, "properties" : { "noteIndex" : 0 }, "schema" : "https://github.com/citation-style-language/schema/raw/master/csl-citation.json" }</w:instrText>
      </w:r>
      <w:r w:rsidR="00E371F9">
        <w:fldChar w:fldCharType="separate"/>
      </w:r>
      <w:r w:rsidR="00E371F9" w:rsidRPr="00E371F9">
        <w:rPr>
          <w:noProof/>
        </w:rPr>
        <w:t>(Crittenden et al. 1984; Kuhnlein et al. 1989; Gavora et al. 1991; Ka et al. 2009)</w:t>
      </w:r>
      <w:r w:rsidR="00E371F9">
        <w:fldChar w:fldCharType="end"/>
      </w:r>
      <w:r w:rsidR="00E371F9">
        <w:t xml:space="preserve">. Conversely, expression of the ALVE </w:t>
      </w:r>
      <w:r w:rsidR="00E371F9">
        <w:rPr>
          <w:i/>
        </w:rPr>
        <w:t>envelope</w:t>
      </w:r>
      <w:r w:rsidR="00E371F9">
        <w:t xml:space="preserve"> can mediate the effects of both exogenous and endogenous ALV through receptor interference, as the endogenous </w:t>
      </w:r>
      <w:r w:rsidR="00E371F9">
        <w:rPr>
          <w:i/>
        </w:rPr>
        <w:t>env</w:t>
      </w:r>
      <w:r w:rsidR="00E371F9">
        <w:t xml:space="preserve"> glycoproteins physically block the TV receptors </w:t>
      </w:r>
      <w:r w:rsidR="00E371F9">
        <w:fldChar w:fldCharType="begin" w:fldLock="1"/>
      </w:r>
      <w:r w:rsidR="008F712D">
        <w:instrText>ADDIN CSL_CITATION { "citationItems" : [ { "id" : "ITEM-1",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"ITEM-1",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"ITEM-2", "itemData" : { "DOI" : "10.3382/ps.0691251", "ISSN" : "0032-5791", "abstract" : "The influence of the endogenous virus ev6 on congenital transmission of EV21, the infectious viral product encoded by locus ev21, and the immune response to exogenous avian leukosis virus (ALV) infection was studied in rapid-feathering (RF) female progeny from four classes of slow-feathering (SF) (ev21+ and RF (ev21-) dams with and without ev6. Apart from transmitting infectious EV21 and ev6 to progeny, dam ev genotype did not influence the immune response or shedding of RPL-40. The endogenous virus envelope glycoprotein encoded by ev6, however, completely restricted shedding and congenital transmission of infectious endogenous virus EV21, from SF dams. After 19 wk of exposure to ALV strain RPL-40 infected cage mates, only 11% of the congenitally infected female progeny mounted neutralizing antibodies against RPL-40, whereas 73% of their noncongenitally infected sisters seroconverted. More ev6+ female progeny, however, were shedders of RPL-40 and developed tumors than ev6- sisters. Among progeny from the four classes of dams, EV21 congenitally infected hens had the highest incidence (31%) of RPL-40-induced tumors.",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"ITEM-2", "issue" : "8", "issued" : { "date-parts" : [ [ "1990", "8", "1" ] ] }, "note" : "Ev gene products can compromise immune response to ALV due to the antigenic similarity. Ev6 interferes in ALV replication, hence the reason for study \u2013 it is also widely distributed in white leghorns and highly expressed.\n\n\nNot accessible online from Ed Uni - Journals available at the Vet School Library", "page" : "1251-1256", "title" : "Interactions Between Endogenous Virus Loci ev6 and ev21.: 2. Congenital Transmission of EV21 Viral Product to Female Progeny from Slow-Feathering Dams", "type" : "article-journal", "volume" : "69" }, "uris" : [ "http://www.mendeley.com/documents/?uuid=9c4033ab-1161-4834-984e-64f80d9d2659" ] }, { "id" : "ITEM-3", "itemData" : { "DOI" : "10.3382/ps.0701673", "ISSN" : "0032-5791", "abstract" : "Endogenous virus (EV) locus ev6 encodes only virus envelope glycoprotein. The influence of ev6 on the immune response to contact infection with hatchmates infected with avian leukosis virus (ALV) was compared in replicate hatches. The ALV Subgroup E-resistant, rapid-feathering (RF) female chickens produced by slow-feathering (SF) and RF dams with and without ev6 were exposed at hatch to hatchmates infected with ALV Subgroup A (Strain RPL-40). The RPL-40 viremia, shedding, and virus neutralizing antibodies were measured among pullets from two hatches at 22 wk of age. Although significant (P&lt;.05) differences between hatches in the immune response to contact infection were noted among ev6+ pullets, significantly fewer ev6+ pullets seroconverted than their ev6- hatchmates. At 22 wk of age, significantly more lymphomas were also found among ev6+ pullets than among ev6- hatchmates. In flocks wherein both parents and progeny were homozygous resistant to Subgroup E virus, there was no detrimental maternal effect on RF progeny from SF dams that carried ev21. These results also confirm that selection for genetic cellular resistance to Subgroup E ALV infection eliminates congenital transmission of EV21.", "author" : [ { "dropping-particle" : "", "family" : "Smith", "given" : "E J", "non-dropping-particle" : "", "parse-names" : false, "suffix" : "" }, { "dropping-particle" : "", "family" : "Fadly", "given" : "A M", "non-dropping-particle" : "", "parse-names" : false, "suffix" : "" }, { "dropping-particle" : "", "family" : "Levin", "given" : "I", "non-dropping-particle" : "", "parse-names" : false, "suffix" : "" }, { "dropping-particle" : "", "family" : "Crittenden", "given" : "L B", "non-dropping-particle" : "", "parse-names" : false, "suffix" : "" } ], "container-title" : "Poultry Science", "id" : "ITEM-3", "issue" : "8", "issued" : { "date-parts" : [ [ "1991", "8", "1" ] ] }, "note" : "Ev6 only expresses env glycoprotein and down modulates ev21 \u2013 alternative breeding strategy to eradicating ev21 when it is closely linked with the useful sexing phenotype. \nEv3, ev6 and ev9 all express only env glycoprotein, and all at high levels \u2013 dominant genes that inhibit EV amplification. \nNot accessible online from Ed Uni - Journals available at the Vet School Library", "page" : "1673-1678", "title" : "The Influence of ev6 on the Immune Response to Avian Leukosis Virus Infection in Rapid-Feathering Progeny of Slow- and Rapid-Feathering Dams", "type" : "article-journal", "volume" : "70" }, "uris" : [ "http://www.mendeley.com/documents/?uuid=a70fc5db-e166-43f2-83f4-6b8568b78519" ] } ], "mendeley" : { "formattedCitation" : "(Smith et al. 1990a; Smith et al. 1990b; Smith et al. 1991)", "plainTextFormattedCitation" : "(Smith et al. 1990a; Smith et al. 1990b; Smith et al. 1991)", "previouslyFormattedCitation" : "(Smith et al. 1990a; Smith et al. 1990b; Smith et al. 1991)" }, "properties" : { "noteIndex" : 0 }, "schema" : "https://github.com/citation-style-language/schema/raw/master/csl-citation.json" }</w:instrText>
      </w:r>
      <w:r w:rsidR="00E371F9">
        <w:fldChar w:fldCharType="separate"/>
      </w:r>
      <w:r w:rsidR="00E371F9" w:rsidRPr="00E371F9">
        <w:rPr>
          <w:noProof/>
        </w:rPr>
        <w:t>(Smith et al. 1990a; Smith et al. 1990b; Smith et al. 1991)</w:t>
      </w:r>
      <w:r w:rsidR="00E371F9">
        <w:fldChar w:fldCharType="end"/>
      </w:r>
      <w:r w:rsidR="00144A6A">
        <w:t>. As the number</w:t>
      </w:r>
      <w:r w:rsidR="00E371F9">
        <w:t xml:space="preserve"> of AL</w:t>
      </w:r>
      <w:r w:rsidR="008F712D">
        <w:t>VEs</w:t>
      </w:r>
      <w:r w:rsidR="00E371F9">
        <w:t xml:space="preserve"> increases</w:t>
      </w:r>
      <w:r w:rsidR="00144A6A">
        <w:t>,</w:t>
      </w:r>
      <w:r w:rsidR="00E371F9">
        <w:t xml:space="preserve"> the interplay of these effects becomes more complicated and less predictable, par</w:t>
      </w:r>
      <w:r w:rsidR="00144A6A">
        <w:t>ticularly when lines are interbred</w:t>
      </w:r>
      <w:r w:rsidR="00E371F9">
        <w:t xml:space="preserve">. </w:t>
      </w:r>
      <w:r w:rsidR="008F712D">
        <w:t xml:space="preserve">The associated effects of ALVEs, and the methods for their detection, </w:t>
      </w:r>
      <w:r w:rsidR="00E371F9">
        <w:t>have bee</w:t>
      </w:r>
      <w:r w:rsidR="008F712D">
        <w:t>n more extensively</w:t>
      </w:r>
      <w:r w:rsidR="00E371F9">
        <w:t xml:space="preserve"> reviewed in the introduction to chapter 6 (page </w:t>
      </w:r>
      <w:r w:rsidR="005B09FF">
        <w:fldChar w:fldCharType="begin" w:fldLock="1"/>
      </w:r>
      <w:r w:rsidR="005B09FF">
        <w:instrText xml:space="preserve"> PAGEREF  _Ref483725873 \h </w:instrText>
      </w:r>
      <w:r w:rsidR="005B09FF">
        <w:fldChar w:fldCharType="separate"/>
      </w:r>
      <w:r w:rsidR="00C26134">
        <w:rPr>
          <w:noProof/>
        </w:rPr>
        <w:t>5</w:t>
      </w:r>
      <w:r w:rsidR="005B09FF">
        <w:fldChar w:fldCharType="end"/>
      </w:r>
      <w:r w:rsidR="00E371F9">
        <w:t>).</w:t>
      </w:r>
    </w:p>
    <w:p w14:paraId="2303F314" w14:textId="3B25A6DD" w:rsidR="00724D7B" w:rsidRDefault="00144A6A" w:rsidP="00391005">
      <w:pPr>
        <w:pStyle w:val="ListParagraph"/>
      </w:pPr>
      <w:r>
        <w:t>Given these detrimental productivity and complex immunological</w:t>
      </w:r>
      <w:r w:rsidR="00E371F9">
        <w:t xml:space="preserve"> </w:t>
      </w:r>
      <w:r w:rsidR="00E27E3E">
        <w:t xml:space="preserve">effects, it has become common practice to attempt to eradicate ALVEs from commercial lines. ALVEs are non-essential genetic components of the chicken genome, and ‘ALVE-free’ lines have been developed </w:t>
      </w:r>
      <w:r w:rsidR="00E27E3E">
        <w:fldChar w:fldCharType="begin" w:fldLock="1"/>
      </w:r>
      <w:r w:rsidR="00CA2A3B">
        <w:instrText>ADDIN CSL_CITATION { "citationItems" : [ { "id" : "ITEM-1", "itemData" : { "ISSN" : "0005-2086", "PMID" : "18939628", "abstract" : "Primary chicken embryo fibroblasts (CEF) from special specific pathogen-free chicken lines are used for detection of contamination of adult or embryonic tissues, meconium, or tissue culture fluids with avian leukosis viruses (ALV). The suitability and efficiency of such tests depend on the susceptibility of CEF to the various subgroups of exogenous as well as endogenous ALV. The ideal CEF for such tests should be not only susceptible to all retroviruses, but also free of endogenous viruses so that such tests are immune to any interference that may occur between the endogenous and the tested (exogenous) viruses. CEF and/or chickens free of endogenous viruses are also desirable for gene transfer studies using retroviral vectors, such as RNA interference (RNAi) experiments and transgenic work. The absence of ev genes in CEF or chickens can empower clean detection of successful RNAi construct delivery or gene transfer. CEF free of ev genes are also essential reagents routinely used in growing and detecting unknown retroviruses in varied viral assays. This report documents the development of a new line of chickens, 0.TVB*S1, that is free of endogenous viruses and susceptible to all subgroups of ALV identified in chickens.", "author" : [ { "dropping-particle" : "", "family" : "Zhang", "given" : "Huanmin", "non-dropping-particle" : "", "parse-names" : false, "suffix" : "" }, { "dropping-particle" : "", "family" : "Bacon", "given" : "Larry D", "non-dropping-particle" : "", "parse-names" : false, "suffix" : "" }, { "dropping-particle" : "", "family" : "Fadly", "given" : "Aly M", "non-dropping-particle" : "", "parse-names" : false, "suffix" : "" } ], "container-title" : "Avian diseases", "id" : "ITEM-1", "issue" : "3", "issued" : { "date-parts" : [ [ "2008", "9" ] ] }, "note" : "Susceptibility to ALV is mediated by autosomal tumour virus (TV) loci - tva, tvb, tvc and tvj - all of which carry alleles encoding receptors which mediate or block entry. \ntva and tvc are found close together on chromosome 28, tvb is the most complex locus (allele S1 gives susceptibility to B/D/E, S3 to B/D and R is a truncated receptor which blocks B/D/E infection) and is on chromosome 22, tvj is the most recently identified locus and is on chromosome 23. \n\n\nEv genes are non-essential, as various fertile lines have been created that are ev free. \n\n\nUseful to create lines that are free of ev genes so that you can test the impact of various exogenous ALVs without the risk of endogenisation.", "page" : "412-8", "title" : "Development of an endogenous virus-free line of chickens susceptible to all subgroups of avian leukosis virus.", "type" : "article-journal", "volume" : "52" }, "uris" : [ "http://www.mendeley.com/documents/?uuid=152d773d-8504-4bd0-a81d-57f1a3c55ae8" ] } ], "mendeley" : { "formattedCitation" : "(Zhang et al. 2008)", "plainTextFormattedCitation" : "(Zhang et al. 2008)", "previouslyFormattedCitation" : "(Zhang et al. 2008)" }, "properties" : { "noteIndex" : 0 }, "schema" : "https://github.com/citation-style-language/schema/raw/master/csl-citation.json" }</w:instrText>
      </w:r>
      <w:r w:rsidR="00E27E3E">
        <w:fldChar w:fldCharType="separate"/>
      </w:r>
      <w:r w:rsidR="00E27E3E" w:rsidRPr="00E27E3E">
        <w:rPr>
          <w:noProof/>
        </w:rPr>
        <w:t>(Zhang et al. 2008)</w:t>
      </w:r>
      <w:r w:rsidR="00E27E3E">
        <w:fldChar w:fldCharType="end"/>
      </w:r>
      <w:r w:rsidR="00CA2A3B">
        <w:t xml:space="preserve">. However, </w:t>
      </w:r>
      <w:r w:rsidR="00E27E3E">
        <w:t>the commercial community has been unable to completely remove ALVEs from breeding stock</w:t>
      </w:r>
      <w:r w:rsidR="00CA2A3B">
        <w:t xml:space="preserve">, with WELs typically containing one to three ALVEs, BELs containing four to eight, and broilers containing six to ten </w:t>
      </w:r>
      <w:r w:rsidR="00CA2A3B">
        <w:fldChar w:fldCharType="begin" w:fldLock="1"/>
      </w:r>
      <w:r w:rsidR="00E371F9">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00CA2A3B">
        <w:fldChar w:fldCharType="separate"/>
      </w:r>
      <w:r w:rsidR="00CA2A3B" w:rsidRPr="00CA2A3B">
        <w:rPr>
          <w:noProof/>
        </w:rPr>
        <w:t>(Benkel 1998)</w:t>
      </w:r>
      <w:r w:rsidR="00CA2A3B">
        <w:fldChar w:fldCharType="end"/>
      </w:r>
      <w:r w:rsidR="00E27E3E">
        <w:t>. This has been a combination of the inability to detect all ALVE insertions, the association between some ALVEs and desirable traits (such as ALVE21 and slow feathering</w:t>
      </w:r>
      <w:r w:rsidR="008F712D">
        <w:t xml:space="preserve"> </w:t>
      </w:r>
      <w:r w:rsidR="008F712D">
        <w:fldChar w:fldCharType="begin" w:fldLock="1"/>
      </w:r>
      <w:r w:rsidR="008F712D">
        <w:instrText>ADDIN CSL_CITATION { "citationItems" : [ { "id" : "ITEM-1", "itemData" : { "DOI" : "10.3382/ps.0670191", "ISSN" : "0032-5791", "abstract" : "A dominant sex-linked gene, K, regulates slow feathering (SF), whereas a recessive allele, k+, determines rapid feathering (RF) in chickens. This trait provides a convenient and inexpensive approach to gender identification of White Leghorn (WL) chicks at hatch, i.e., in a sex-linked mating using k+/k+ males mated with K/- females, the K/k+ male chicks are SF, and the k+/- females are RF. However, in many WL strains, female progeny of SF dams produce fewer eggs and have higher mortality than progeny of RF dams. This loss in productivity has been attributed to higher infection and shedding rates for leukosis viruses (ALV) in SF than in RF dam lines. Because infectious endogenous viruses (EV) can induce immunological tolerance to ALV, we examined the expression and distribution of ev genes in SF and RF siblings from heterozygous K/k+ sires and k+/- dams. Infectious ALV and EV were detected by cocultivation of frozen heparinized blood cells on selected chick embryo fibroblasts and culture supernatants were tested for viral antigen by enzyme-linked immunosorbent assay tests. Specific ev genes were identified as restriction fragment length polymorphisms after hybridization with a recombinant plasmid containing the complete genome of a Rous-associated virus. It was concluded that ev21 and K genes are tightly linked because, in different WL crosses, all SF chicks inherited ev21 but RF siblings uniformly lacked ev21. Alternatively, the K gene in WL may be a mutation resulting from the insertion of ev21 in the k+ gene. The SF chicks which harbor ev21 expressed infectious EV21; evidence that EV21 may influence susceptibility to ALV is presented.", "author" : [ { "dropping-particle" : "", "family" : "Bacon", "given" : "L. D.", "non-dropping-particle" : "", "parse-names" : false, "suffix" : "" }, { "dropping-particle" : "", "family" : "Smith", "given" : "E.", "non-dropping-particle" : "", "parse-names" : false, "suffix" : "" }, { "dropping-particle" : "", "family" : "Crittenden", "given" : "L. B.", "non-dropping-particle" : "", "parse-names" : false, "suffix" : "" }, { "dropping-particle" : "", "family" : "Havenstein", "given" : "G. B.", "non-dropping-particle" : "", "parse-names" : false, "suffix" : "" } ], "container-title" : "Poultry Science", "id" : "ITEM-1", "issue" : "2", "issued" : { "date-parts" : [ [ "1988", "2", "1" ] ] }, "note" : "Paper that identifies the link between the K locus and ev21.\n\n\nK locus provides an early gender test. If you mate k+/k+ males (rapid feathering) with K/- females all the male chicks will be slow feathering (K/k+) and all the females will be rapid feathering (k+/-)\nEv21 is associated with the k locus.\n\n\nIt was noticed that there was higher ALV shedding and that female progeny from SF dams had higher infection and lower productivity in both weight and egg number. \n\n\nEv21 is present in all SF chicks, but not in any of the RF siblings - must inherit together.\n\n\nTesting suggests that ev21 is non-defective and produces intact virus particles. Ev21 gives tolerance to exogenous ALV and therefore causes difficulty in eradicating ALV from SF chicken lines. ALV has been relatively easy to eradicate (ignoring ALV-J) in all RF lines.", "page" : "191-197", "title" : "Association of the Slow Feathering (K) and an Endogenous Viral (ev21) Gene on the Z Chromosome of Chickens", "type" : "article-journal", "volume" : "67" }, "uris" : [ "http://www.mendeley.com/documents/?uuid=1263fb77-e41c-46df-bcd0-b66985b8af8a" ] }, { "id" : "ITEM-2", "itemData" : { "DOI" : "10.3382/ps.0731612", "ISSN" : "0032-5791", "abstract" : "The molecular architecture of the sex-linked late-feathering region of the chicken genome is still poorly defined. Current evidence points to a strong association between the presence of the endogenous viral element ev21 and the late-feathering phenotype. However, analysis at the molecular level has demonstrated that this is not a simple case of insertional mutagenesis. Instead, the structure of the region of the chicken genome containing the feathering locus is complex and variable between and within lines of chickens. Significant clues to the molecular structure of this genomic region can be obtained by analyzing rare and revertant genotypes. However, searching for rare genotypes can only be carried out effectively using quick screen methodology. This paper describes a quick, polymerase chain reaction-based test for ev21 that facilitates the search for rare genotypes.", "author" : [ { "dropping-particle" : "", "family" : "Tixier-Boichard", "given" : "M. H.", "non-dropping-particle" : "", "parse-names" : false, "suffix" : "" }, { "dropping-particle" : "", "family" : "Benkel", "given" : "B. F.", "non-dropping-particle" : "", "parse-names" : false, "suffix" : "" }, { "dropping-particle" : "", "family" : "Chambers", "given" : "J. R.", "non-dropping-particle" : "", "parse-names" : false, "suffix" : "" }, { "dropping-particle" : "", "family" : "Gavora", "given" : "J. S.", "non-dropping-particle" : "", "parse-names" : false, "suffix" : "" } ], "container-title" : "Poultry Science", "id" : "ITEM-2", "issue" : "10", "issued" : { "date-parts" : [ [ "1994", "10", "1" ] ] }, "note" : "Ev21 is not necessary for the late feathering phenotype as some brown egg lines have ev21 but are early feathering. \nSuccessfully developed a PCR test of the ev21 region. \nNot accessible online from Ed Uni - Journals available at the Vet School Library", "page" : "1612-1616", "title" : "Screening Chickens for Endogenous Virus ev21 Viral Element by the Polymerase Chain Reaction", "type" : "article-journal", "volume" : "73" }, "uris" : [ "http://www.mendeley.com/documents/?uuid=f86a12d9-c8de-4553-808b-5691107f3b99" ] }, { "id" : "ITEM-3", "itemData" : { "abstract" : "Very poor feather development has been observed in chickens of the Nunukan strain, originating from Indonesia. The wing of the newly hatched chick does not show any primary or covert feathers; this phenotype will be referred to as very-late feathering (VLF). As adults, chickens are feathered but tail feathers are short and fragile. An experimental population was set up at the National Institute of Agronomic Research (INRA), Jouy-en-Josas, from one Nunukan male and four Nunukan females. Preliminary observations did not support the hypothesis of a sex-linked dominant mode of inheritance for the VLF phenotype. A restriction fragment length polymorphism (RFLP) study using five restriction enzymes and two probes, RAV-2 and en- dogenous virus (ev) ev21-int specific for the endogenous viral locus ALVE21, showed the presence of the expected 3\u2032 junction fragments for the ev21 occupied site but failed to reveal the expected 5\u2032 junction fragments for ev21 in Nunukan chickens. The unoccupied site corresponded to the ev21 unoccupied repeat (UR) of type a (URa). A deletion in the 5\u2032 region of the provirus and of the insertion site was indicated by the RFLP analysis and confirmed by a PCR study. Primers were designed in order to amplify a 5\u2032 junction fragment specific to the modified ev21 found in the Nunukan chickens. The sequence of this amplified product showed that the deletion started 652 bp upstream of the insertion site of ev21 and ended within the pol gene of the viral genome. This deletion represents a new allele, OSD, at the ev21 insertion site (locus ALVE21), that appears insufficient to produce a complete virus. Current data do not show a clear causal relationship between OSD and the VLF phenotype. The presence of OSD may be required but is not in itself sufficient to obtain the VLF phenotype. The genetic relationships between OSD and the altered feathering phenotype of Nunukan chickens will be investigated further in families segregating for the VLF phenotype, using the locus-specific PCR test developed as part of this study.", "author" : [ { "dropping-particle" : "", "family" : "Tixier-Boichard", "given" : "M", "non-dropping-particle" : "", "parse-names" : false, "suffix" : "" }, { "dropping-particle" : "", "family" : "Boulliou-Robic", "given" : "A", "non-dropping-particle" : "", "parse-names" : false, "suffix" : "" } ], "container-title" : "Poultry science", "id" : "ITEM-3", "issued" : { "date-parts" : [ [ "1997" ] ] }, "note" : "Identified a deletion at the ALVE21 locus which means the locus is now insufficient to produce virus. The deletion starts 652bp upstream of the standard insertion site for ev21 and ends within the pol gene. It may still be able to express the env gene, like ev6 does. \n\n\nThe locus was investigated due to the identification of the VLF (very late feathering) phenotype in Nunukan strain chickens from Indonesia. The genetic relationships were not fully explained. But the fact that there is a deletion in a closely linked ERV is quite suggestive.\n\n\nThe presence of ev21 alone is not sufficient to induce the mutant late-feathering phenotype.", "page" : "733-742", "title" : "A deleted retroviral insertion at the ev21-K complex locus in Indonesian chickens", "type" : "article-journal", "volume" : "76" }, "uris" : [ "http://www.mendeley.com/documents/?uuid=cc34bfa0-1512-4230-96a8-5fd8643b41eb" ] }, { "id" : "ITEM-4", "itemData" : { "DOI" : "10.1186/1471-2164-9-391", "ISSN" : "1471-2164", "PMID" : "18713476", "abstract" : "BACKGROUND: One of the loci responsible for feather development in chickens is K. The K allele is partially dominant to the k+ allele and causes a retard in the emergence of flight feathers at hatch. The K locus is sex linked and located on the Z chromosome. Therefore, the locus can be utilized to produce phenotypes that identify the sexes of chicks at hatch. Previous studies on the organization of the K allele concluded the integration of endogenous retrovirus 21 (ev21) into one of two large homologous segments located on the Z chromosome of late feathering chickens. In this study, a detailed molecular analysis of the K locus and a DNA test to distinguish between homozygous and heterozygous late feathering males are presented. RESULTS: The K locus was investigated with quantitative PCR by examining copy number variations in a total of fourteen markers surrounding the ev21 integration site. The results showed a duplication at the K allele and sequence analysis of the breakpoint junction indicated a tandem duplication of 176,324 basepairs. The tandem duplication of this region results in the partial duplication of two genes; the prolactin receptor and the gene encoding sperm flagellar protein 2. Sequence analysis revealed that the duplication is similar in Broiler and White Leghorn. In addition, twelve late feathering animals, including Broiler, White Leghorn, and Brown Layer lines, contained a 78 bp breakpoint junction fragment, indicating that the duplication is similar in all breeds. The breakpoint junction was used to develop a TaqMan-based quantitative PCR test to allow distinction between homozygous and heterozygous late feathering males. In total, 85.3% of the animals tested were correctly assigned, 14.7% were unassigned and no animals were incorrectly assigned. CONCLUSION: The detailed molecular analysis presented in this study revealed the presence of a tandem duplication in the K allele. The duplication resulted in the partial duplication of two genes; the prolactin receptor and the gene encoding sperm flagellar protein 2. Furthermore, a DNA test was developed to distinguish between homozygous and heterozygous late feathering males.", "author" : [ { "dropping-particle" : "", "family" : "Elferink", "given" : "Martin G", "non-dropping-particle" : "", "parse-names" : false, "suffix" : "" }, { "dropping-particle" : "", "family" : "Vall\u00e9e", "given" : "Am\u00e9lie a a", "non-dropping-particle" : "", "parse-names" : false, "suffix" : "" }, { "dropping-particle" : "", "family" : "Jungerius", "given" : "Annemieke P", "non-dropping-particle" : "", "parse-names" : false, "suffix" : "" }, { "dropping-particle" : "", "family" : "Crooijmans", "given" : "Richard P M a", "non-dropping-particle" : "", "parse-names" : false, "suffix" : "" }, { "dropping-particle" : "", "family" : "Groenen", "given" : "Martien a M", "non-dropping-particle" : "", "parse-names" : false, "suffix" : "" } ], "container-title" : "BMC genomics", "id" : "ITEM-4", "issued" : { "date-parts" : [ [ "2008", "1" ] ] }, "page" : "391", "title" : "Partial duplication of the PRLR and SPEF2 genes at the late feathering locus in chicken.", "type" : "article-journal", "volume" : "9" }, "uris" : [ "http://www.mendeley.com/documents/?uuid=c0f6c8e2-2413-434a-bc72-3bcc3de5d016" ] }, { "id" : "ITEM-5", "itemData" : { "DOI" : "10.1530/JME-13-0068", "ISSN" : "1479-6813", "PMID" : "23940279", "abstract" : "A partial duplication of the prolactin (PRL) receptor gene (designated as dPRLR) has been identified at the late-feathering (LF) K locus on chromosome Z of some chicken strains recently, implying that dPRLR is probably a candidate gene associated with LF development in chickens. However, little is known about the structure, functionality, and spatiotemporal expression of the dPRLR gene in chickens. In this study, using 3'-RACE and RT-PCR, the full-length cDNA of the dPRLR obtained from the kidneys of male Lohmann layer chickens carrying a K allele was cloned. The cloned dPRLR is predicted to encode a membrane-spanning receptor of 683 amino acids, which is nearly identical to the original PRLR, except for its lack of a 149-amino acid C-terminal tail. Using a 5\u00d7 STAT5-Luciferase reporter system and western blot analysis, we demonstrated that dPRLR expressed in HepG2 cells could be potently activated by chicken PRL and functionally coupled to the intracellular STAT5 signaling pathway, suggesting that dPRLR may function as a novel receptor for PRL. RT-PCR assays revealed that similar to the original PRLR gene, dPRLR mRNA is widely expressed in all embryonic and adult tissues examined including the skin of male Lohmann chickens with a K allele. These findings, together with the expression of PRL mRNA detected in the skin of embryos at embryonic day 20 and 1-week-old chicks, suggest that skin-expressed dPRLR and PRLR, together with plasma and skin-derived PRL, may be involved in the control of the LF development of chicks at hatching. Moreover, the wide tissue expression of dPRLR implies that dPRLR may regulate other physiological processes of chickens carrying the K allele.", "author" : [ { "dropping-particle" : "", "family" : "Bu", "given" : "Guixian", "non-dropping-particle" : "", "parse-names" : false, "suffix" : "" }, { "dropping-particle" : "", "family" : "Huang", "given" : "Guian", "non-dropping-particle" : "", "parse-names" : false, "suffix" : "" }, { "dropping-particle" : "", "family" : "Fu", "given" : "Hao", "non-dropping-particle" : "", "parse-names" : false, "suffix" : "" }, { "dropping-particle" : "", "family" : "Li", "given" : "Juan", "non-dropping-particle" : "", "parse-names" : false, "suffix" : "" }, { "dropping-particle" : "", "family" : "Huang", "given" : "Simiao", "non-dropping-particle" : "", "parse-names" : false, "suffix" : "" }, { "dropping-particle" : "", "family" : "Wang", "given" : "Yajun", "non-dropping-particle" : "", "parse-names" : false, "suffix" : "" } ], "container-title" : "Journal of molecular endocrinology", "id" : "ITEM-5", "issue" : "2", "issued" : { "date-parts" : [ [ "2013", "1" ] ] }, "page" : "261-76", "title" : "Characterization of the novel duplicated PRLR gene at the late-feathering K locus in Lohmann chickens.", "type" : "article-journal", "volume" : "51" }, "uris" : [ "http://www.mendeley.com/documents/?uuid=91ac1252-e4fb-4002-abd8-32f19e159081" ] } ], "mendeley" : { "formattedCitation" : "(Bacon et al. 1988; Tixier-Boichard et al. 1994; Tixier-Boichard &amp; Boulliou-Robic 1997; Elferink et al. 2008; Bu et al. 2013)", "plainTextFormattedCitation" : "(Bacon et al. 1988; Tixier-Boichard et al. 1994; Tixier-Boichard &amp; Boulliou-Robic 1997; Elferink et al. 2008; Bu et al. 2013)", "previouslyFormattedCitation" : "(Bacon et al. 1988; Tixier-Boichard et al. 1994; Tixier-Boichard &amp; Boulliou-Robic 1997; Elferink et al. 2008; Bu et al. 2013)" }, "properties" : { "noteIndex" : 0 }, "schema" : "https://github.com/citation-style-language/schema/raw/master/csl-citation.json" }</w:instrText>
      </w:r>
      <w:r w:rsidR="008F712D">
        <w:fldChar w:fldCharType="separate"/>
      </w:r>
      <w:r w:rsidR="008F712D" w:rsidRPr="008F712D">
        <w:rPr>
          <w:noProof/>
        </w:rPr>
        <w:t>(Bacon et al. 1988; Tixier-Boichard et al. 1994; Tixier-Boichard &amp; Boulliou-Robic 1997; Elferink et al. 2008; Bu et al. 2013)</w:t>
      </w:r>
      <w:r w:rsidR="008F712D">
        <w:fldChar w:fldCharType="end"/>
      </w:r>
      <w:r w:rsidR="00E27E3E">
        <w:t>, and ALVE-TYR and white plumage</w:t>
      </w:r>
      <w:r w:rsidR="008F712D">
        <w:t xml:space="preserve"> </w:t>
      </w:r>
      <w:r w:rsidR="008F712D">
        <w:fldChar w:fldCharType="begin" w:fldLock="1"/>
      </w:r>
      <w:r w:rsidR="007042D2">
        <w:instrText>ADDIN CSL_CITATION { "citationItems" : [ { "id" : "ITEM-1",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"ITEM-1", "issued" : { "date-parts" : [ [ "2006", "1" ] ] }, "page" : "19", "title" : "Complete association between a retroviral insertion in the tyrosinase gene and the recessive white mutation in chickens.", "type" : "article-journal", "volume" : "7" }, "uris" : [ "http://www.mendeley.com/documents/?uuid=8077fea8-838f-4da4-b799-fb7fa0225565" ] } ], "mendeley" : { "formattedCitation" : "(Chang et al. 2006)", "plainTextFormattedCitation" : "(Chang et al. 2006)", "previouslyFormattedCitation" : "(Chang et al. 2006)" }, "properties" : { "noteIndex" : 0 }, "schema" : "https://github.com/citation-style-language/schema/raw/master/csl-citation.json" }</w:instrText>
      </w:r>
      <w:r w:rsidR="008F712D">
        <w:fldChar w:fldCharType="separate"/>
      </w:r>
      <w:r w:rsidR="008F712D" w:rsidRPr="008F712D">
        <w:rPr>
          <w:noProof/>
        </w:rPr>
        <w:t>(Chang et al. 2006)</w:t>
      </w:r>
      <w:r w:rsidR="008F712D">
        <w:fldChar w:fldCharType="end"/>
      </w:r>
      <w:r w:rsidR="00E27E3E">
        <w:t>), and</w:t>
      </w:r>
      <w:r w:rsidR="00953D44">
        <w:t xml:space="preserve"> the need to balance </w:t>
      </w:r>
      <w:r w:rsidR="00E27E3E">
        <w:t xml:space="preserve">existing selective breeding programmes. </w:t>
      </w:r>
      <w:r w:rsidR="00953D44">
        <w:t xml:space="preserve">A new methodology for detecting ALVE insertions and assessing the diversity between commercial </w:t>
      </w:r>
      <w:r w:rsidR="00662B8E">
        <w:t>lines is needed to better direct</w:t>
      </w:r>
      <w:r w:rsidR="00953D44">
        <w:t xml:space="preserve"> the elimination of these elements from the chicken genome.</w:t>
      </w:r>
    </w:p>
    <w:p w14:paraId="6125A5CF" w14:textId="77777777" w:rsidR="007F2ED3" w:rsidRDefault="007F2ED3" w:rsidP="00391005">
      <w:pPr>
        <w:pStyle w:val="ListParagraph"/>
      </w:pPr>
    </w:p>
    <w:p w14:paraId="53E87971" w14:textId="6D628C97" w:rsidR="001A1B24" w:rsidRDefault="001A1B24" w:rsidP="002E6B90">
      <w:pPr>
        <w:pStyle w:val="Heading4"/>
      </w:pPr>
      <w:r>
        <w:t>EAVs</w:t>
      </w:r>
    </w:p>
    <w:p w14:paraId="045CE10A" w14:textId="47636A81" w:rsidR="001F37AB" w:rsidRDefault="007C1F44" w:rsidP="00391005">
      <w:pPr>
        <w:pStyle w:val="ListParagraph"/>
      </w:pPr>
      <w:r>
        <w:t>EAVs are a much older group of endogenous alpharetroviruse</w:t>
      </w:r>
      <w:r w:rsidR="00252E11">
        <w:t xml:space="preserve">s than ALVEs and exhibit a </w:t>
      </w:r>
      <w:r>
        <w:t>wider distribution among the Galliformes</w:t>
      </w:r>
      <w:r w:rsidR="00346B07">
        <w:t>,</w:t>
      </w:r>
      <w:r>
        <w:t xml:space="preserve"> with element divergence matching host co-speciation patterns. Despite a more ancient origin, </w:t>
      </w:r>
      <w:r w:rsidR="00346B07">
        <w:t xml:space="preserve">in </w:t>
      </w:r>
      <w:r>
        <w:t>many</w:t>
      </w:r>
      <w:r w:rsidR="00346B07">
        <w:t xml:space="preserve"> species EAVs</w:t>
      </w:r>
      <w:r>
        <w:t xml:space="preserve"> remain transcriptionally active and horizontal </w:t>
      </w:r>
      <w:r w:rsidR="00346B07">
        <w:t xml:space="preserve">transmission is common in sympatric species </w:t>
      </w:r>
      <w:r w:rsidR="00346B07">
        <w:lastRenderedPageBreak/>
        <w:fldChar w:fldCharType="begin" w:fldLock="1"/>
      </w:r>
      <w:r w:rsidR="00346B07">
        <w:instrText>ADDIN CSL_CITATION { "citationItems" : [ { "id" : "ITEM-1", "itemData" : { "DOI" : "10.1128/JVI.74.9.3984-3995.2000.Updated", "author" : [ { "dropping-particle" : "", "family" : "Dimcheff", "given" : "DE", "non-dropping-particle" : "", "parse-names" : false, "suffix" : "" }, { "dropping-particle" : "", "family" : "Drovetski", "given" : "SV", "non-dropping-particle" : "", "parse-names" : false, "suffix" : "" } ], "container-title" : "Journal of \u2026", "id" : "ITEM-1", "issue" : "9", "issued" : { "date-parts" : [ [ "2000" ] ] }, "page" : "3984-3995", "title" : "Cospeciation and horizontal transmission of avian sarcoma and leukosis virus gag genes in galliform birds", "type" : "article-journal", "volume" : "74" }, "uris" : [ "http://www.mendeley.com/documents/?uuid=b06b81be-9749-4eb0-8ceb-fb26e304baa2" ] }, { "id" : "ITEM-2", "itemData" : { "DOI" : "10.1128/JVI.75.4.2002", "author" : [ { "dropping-particle" : "", "family" : "Dimcheff", "given" : "DE", "non-dropping-particle" : "", "parse-names" : false, "suffix" : "" }, { "dropping-particle" : "", "family" : "Krishnan", "given" : "Mallika", "non-dropping-particle" : "", "parse-names" : false, "suffix" : "" }, { "dropping-particle" : "", "family" : "Mindell", "given" : "DP", "non-dropping-particle" : "", "parse-names" : false, "suffix" : "" } ], "container-title" : "Journal of virology", "id" : "ITEM-2", "issue" : "4", "issued" : { "date-parts" : [ [ "2001" ] ] }, "page" : "2002-2009", "title" : "Evolution and characterization of tetraonine endogenous retrovirus: a new virus related to avian sarcoma and leukosis viruses", "type" : "article-journal", "volume" : "75" }, "uris" : [ "http://www.mendeley.com/documents/?uuid=aa3c4cc3-9f5e-4635-9166-424bb5b15bd7" ] } ], "mendeley" : { "formattedCitation" : "(Dimcheff &amp; Drovetski 2000; Dimcheff et al. 2001)", "plainTextFormattedCitation" : "(Dimcheff &amp; Drovetski 2000; Dimcheff et al. 2001)", "previouslyFormattedCitation" : "(Dimcheff &amp; Drovetski 2000; Dimcheff et al. 2001)" }, "properties" : { "noteIndex" : 0 }, "schema" : "https://github.com/citation-style-language/schema/raw/master/csl-citation.json" }</w:instrText>
      </w:r>
      <w:r w:rsidR="00346B07">
        <w:fldChar w:fldCharType="separate"/>
      </w:r>
      <w:r w:rsidR="00346B07" w:rsidRPr="00346B07">
        <w:rPr>
          <w:noProof/>
        </w:rPr>
        <w:t>(Dimcheff &amp; Drovetski 2000; Dimcheff et al. 2001)</w:t>
      </w:r>
      <w:r w:rsidR="00346B07">
        <w:fldChar w:fldCharType="end"/>
      </w:r>
      <w:r w:rsidR="00252E11">
        <w:t>. I</w:t>
      </w:r>
      <w:r w:rsidR="00346B07">
        <w:t xml:space="preserve">n the RJF and domestic chicken EAV sequences are generally inactive, even compared to other </w:t>
      </w:r>
      <w:r w:rsidR="00346B07">
        <w:rPr>
          <w:i/>
        </w:rPr>
        <w:t>Gallus</w:t>
      </w:r>
      <w:r w:rsidR="00346B07">
        <w:t xml:space="preserve"> species </w:t>
      </w:r>
      <w:r w:rsidR="00346B07">
        <w:fldChar w:fldCharType="begin" w:fldLock="1"/>
      </w:r>
      <w:r w:rsidR="00252E11">
        <w:instrText>ADDIN CSL_CITATION { "citationItems" : [ { "id" : "ITEM-1", "itemData" : { "DOI" : "10.1128/JVI.75.4.2029", "author" : [ { "dropping-particle" : "", "family" : "Sacco", "given" : "MA", "non-dropping-particle" : "", "parse-names" : false, "suffix" : "" }, { "dropping-particle" : "", "family" : "Howes", "given" : "K", "non-dropping-particle" : "", "parse-names" : false, "suffix" : "" }, { "dropping-particle" : "", "family" : "Venugopal", "given" : "K", "non-dropping-particle" : "", "parse-names" : false, "suffix" : "" } ], "container-title" : "Journal of virology", "id" : "ITEM-1", "issue" : "4", "issued" : { "date-parts" : [ [ "2001" ] ] }, "note" : "EAV-HP has been shown to be defective in the chicken genome due to deletions in the pol gene. Other Gallus species maintain deletions in the same elements, and insertion sites are the same - this suggests insertion predates the various jungle fowl speciation events. Interestingly G. sonneratii carries EAV-Hp elements with intact pol regions.\n\n        \nGallus genus: Sonnerat&amp;#039;s/grey JF (G sonneratii), green JF (G varius), Ceylonese JF (G lafayettei) and the red JF (G gallus). \n\n        \nDue to its role in the origin of ALV-J viruses, EAV-HP is also designated ev/J.\n\n        \n\n        \n\n      ", "page" : "2029-2032", "title" : "Intact EAV-HP endogenous retrovirus in Sonnerat's jungle fowl", "type" : "article-journal", "volume" : "75" }, "uris" : [ "http://www.mendeley.com/documents/?uuid=31fc7590-38a0-4a24-8567-bfb721282221" ] } ], "mendeley" : { "formattedCitation" : "(Sacco et al. 2001)", "plainTextFormattedCitation" : "(Sacco et al. 2001)", "previouslyFormattedCitation" : "(Sacco et al. 2001)" }, "properties" : { "noteIndex" : 0 }, "schema" : "https://github.com/citation-style-language/schema/raw/master/csl-citation.json" }</w:instrText>
      </w:r>
      <w:r w:rsidR="00346B07">
        <w:fldChar w:fldCharType="separate"/>
      </w:r>
      <w:r w:rsidR="00346B07" w:rsidRPr="00346B07">
        <w:rPr>
          <w:noProof/>
        </w:rPr>
        <w:t>(Sacco et al. 2001)</w:t>
      </w:r>
      <w:r w:rsidR="00346B07">
        <w:fldChar w:fldCharType="end"/>
      </w:r>
      <w:r w:rsidR="001F37AB">
        <w:t>, but some elements have retained the ability to retrotranspose and express individual retroviral domains.</w:t>
      </w:r>
    </w:p>
    <w:p w14:paraId="407E61F5" w14:textId="46218158" w:rsidR="009B4D4B" w:rsidRDefault="001F37AB" w:rsidP="00391005">
      <w:pPr>
        <w:pStyle w:val="ListParagraph"/>
      </w:pPr>
      <w:r>
        <w:t xml:space="preserve">EAVs are divided into three main groups due to their phylogenetic clustering: EAV-0, EAV-HP and EAV-E51 (including EAV-E33 sequences which fall within the EAV-E51 cluster, but were originally identified from a different clone). EAV-0 sequences share the most recent common ancestor with ALVEs and are generally the most structurally intact, even retaining functional </w:t>
      </w:r>
      <w:r>
        <w:rPr>
          <w:i/>
        </w:rPr>
        <w:t>polymerase</w:t>
      </w:r>
      <w:r>
        <w:t xml:space="preserve">. EAV-E51 and EAV-HP elements all exhibit large deletions in their </w:t>
      </w:r>
      <w:r>
        <w:rPr>
          <w:i/>
        </w:rPr>
        <w:t>polymerase</w:t>
      </w:r>
      <w:r>
        <w:t xml:space="preserve"> gene (rendering them non-autonomous) but retain intact </w:t>
      </w:r>
      <w:r>
        <w:rPr>
          <w:i/>
        </w:rPr>
        <w:t>gag</w:t>
      </w:r>
      <w:r>
        <w:t xml:space="preserve"> and </w:t>
      </w:r>
      <w:r>
        <w:rPr>
          <w:i/>
        </w:rPr>
        <w:t>envelope</w:t>
      </w:r>
      <w:r>
        <w:t xml:space="preserve"> domains in some instances </w:t>
      </w:r>
      <w:r>
        <w:fldChar w:fldCharType="begin" w:fldLock="1"/>
      </w:r>
      <w:r w:rsidR="00196237">
        <w:instrText>ADDIN CSL_CITATION { "citationItems" : [ { "id" : "ITEM-1", "itemData" : { "ISBN" : "0022-538X (Print)\\r0022-538X (Linking)", "ISSN" : "0022-538X", "PMID" : "1321278", "abstract" : "We have analyzed the genome of the domestic chicken for the presence of genetic sequences related to the envelope protein-encoding genes of avian sarcoma/leukosis retroviruses to determine the organization, structure, potential functionality, and distribution of such sequences. We have previously identified in the genus Gallus an extensive group of endogenous avian retroviruses termed EAV-0. Southern blot and sequence analysis presented here of EAV-0 elements revealed that the majority of the EAV-0 elements in the domestic chicken genome have large deletions in their env genes. Screening of a line 0 chicken genomic DNA library for potential full-length env gene-containing endogenous elements yielded three provirus clones of a previously unrecognized group of endogenous retroviruses. These three clones, E13, E33, and E51, are more closely related to each other (80% or more sequence identity) than to other avian retroviruses (70% or less sequence identity). The E13 element has a large deletion in env, but the E51 element has full-length and highly divergent SU- and TM-coding domains. Complete sequence analysis of the E51 env gene region revealed a defective SU-coding domain and an intact TM-coding domain. Sequence analysis of the E51, E33, and E13 3' termini revealed highly distinctive long terminal repeats of approximately 360 bp which appear to be the products, in part, of long terminal repeat domain shuffling. Hybridization analysis with E51 and E33 env gene probes indicated that they are members of an extensive group of elements present in all Gallus species, and at least one element, E51, could be shown by polymerase chain reaction amplification and direct sequencing to have integrated prior to Gallus speciation.", "author" : [ { "dropping-particle" : "", "family" : "Boyce-Jacino", "given" : "M T", "non-dropping-particle" : "", "parse-names" : false, "suffix" : "" }, { "dropping-particle" : "", "family" : "O'Donoghue", "given" : "K", "non-dropping-particle" : "", "parse-names" : false, "suffix" : "" }, { "dropping-particle" : "", "family" : "Faras", "given" : "a J", "non-dropping-particle" : "", "parse-names" : false, "suffix" : "" } ], "container-title" : "Journal of virology", "id" : "ITEM-1", "issue" : "8", "issued" : { "date-parts" : [ [ "1992" ] ] }, "page" : "4919-4929", "title" : "Multiple complex families of endogenous retroviruses are highly conserved in the genus Gallus.", "type" : "article-journal", "volume" : "66" }, "uris" : [ "http://www.mendeley.com/documents/?uuid=76edeaf8-80cd-47d5-a794-fb8c81a82629" ] }, { "id" : "ITEM-2", "itemData" : { "ISSN" : "0022-538X", "PMID" : "7815543", "abstract" : "The avian leukosis and sarcoma virus (ALSV) group comprises eight subgroups based on envelope properties. HPRS-103, an exogenous retrovirus recently isolated from meat-type chicken lines, is similar to the viruses of these subgroups in group antigen but differs from them in envelope properties and has been assigned to a new subgroup, J. HPRS-103 has a wide host range in birds, and unlike other nontransforming ALSVs which cause late-onset B-cell lymphomas, HPRS-103 causes late-onset myelocytomas. Analysis of the sequence of an infectious clone of the complete proviral genome indicates that HPRS-103 is a multiple recombinant of at least five ALSV sequences and one EAV (endogenous avian retroviral) sequence. The HPRS-103 env is most closely related to the env gene of the defective EAV-E51 but divergent from those of other ALSV subgroups. Probing of restriction digests of line 0 chicken genomic DNA has identified a novel group of endogenous sequences (EAV-HP) homologous to that of the HPRS-103 env gene but different from sequences homologous to EAV and E51. Unlike other replication-competent nontransforming ALSVs, HPRS-103 has an E element in its 3' noncoding region, as found in many transforming ALSVs. A deletion found in the HPRS-103 U3 EFII enhancer factor-binding site is also found in all replication-defective transforming ALSVs (including MC29, which causes rapid-onset myelocytomas).", "author" : [ { "dropping-particle" : "", "family" : "Bai", "given" : "J", "non-dropping-particle" : "", "parse-names" : false, "suffix" : "" }, { "dropping-particle" : "", "family" : "Payne", "given" : "L N", "non-dropping-particle" : "", "parse-names" : false, "suffix" : "" }, { "dropping-particle" : "", "family" : "Skinner", "given" : "M a", "non-dropping-particle" : "", "parse-names" : false, "suffix" : "" } ], "container-title" : "Journal of virology", "id" : "ITEM-2", "issue" : "2", "issued" : { "date-parts" : [ [ "1995" ] ] }, "page" : "779-84", "title" : "HPRS-103 (exogenous avian leukosis virus, subgroup J) has an env gene related to those of endogenous elements EAV-0 and E51 and an E element found previously only in sarcoma viruses.", "type" : "article-journal", "volume" : "69" }, "uris" : [ "http://www.mendeley.com/documents/?uuid=d4a3465c-4de2-4793-8e35-be163a49bac6" ] }, { "id" : "ITEM-3", "itemData" : { "DOI" : "10.1099/vir.0.066852-0", "ISSN" : "1465-2099", "PMID" : "24903328", "abstract" : "Ancient endogenous retroviruses (ERVs) designated as the EAVs are present in all Gallus species including the chicken and resemble the modern avian sarcoma and leukosis viruses (ASLVs). The EAVs comprise several distinct retroviruses, including EAV-0, EAV-E51 and EAV-HP, as well as a putative member previously coined the avian retrotransposon of chickens (ART-CH). Thus far, only the EAV-HP elements have been well characterized. In this report we determined sequences of representative EAV-0 and EAV-E51 proviruses by cloning and data mining of the 2011 assembly of the G. gallus genome. Although the EAV-0 elements are primarily deleted in the env region, we identified two complete EAV-0 env genes within the G. gallus genome and prototype elements sharing identity to an EAV-E51-related clone previously designated EAV-E33. Prototype EAV-0, EAV-E51 and EAV-E33 gag, pol and env gene sequences used for phylogenetic analysis of deduced proteins showed that the EAVs form three distinct clades, with EAV-0 sharing the last common ancestor with the ASLVs. The EAV-E51 clade showed the greatest level of divergence compared to other EAVs or ASLVs suggesting that these ERVs represent exogenous retroviruses that evolved and integrated into the germ line over a long period of time. Moreover, the degree of divergence between the chicken and red jungle fowl EAV-E51 sequences suggests that they are more ancient than the other EAVs and may have diverged through mutations that accumulated post- integration. Finally, we show that the ART-CH elements are chimeric defective ERVs comprising portions of EAV-E51 and EAV-HP rather than authentic retrotransposons.", "author" : [ { "dropping-particle" : "", "family" : "Sacco", "given" : "Melanie Ann", "non-dropping-particle" : "", "parse-names" : false, "suffix" : "" }, { "dropping-particle" : "", "family" : "Nair", "given" : "Venugopal K", "non-dropping-particle" : "", "parse-names" : false, "suffix" : "" } ], "container-title" : "The Journal of general virology", "id" : "ITEM-3", "issued" : { "date-parts" : [ [ "2014", "7", "5" ] ] }, "page" : "1-27", "title" : "Prototype EAV Endogenous Retroviruses of the Gallus Genus.", "type" : "article-journal", "volume" : "5" }, "uris" : [ "http://www.mendeley.com/documents/?uuid=587428c9-e4fc-42b3-bd80-fad1ca67ed6e" ] } ], "mendeley" : { "formattedCitation" : "(Boyce-Jacino et al. 1992; Bai et al. 1995; Sacco &amp; Nair 2014)", "plainTextFormattedCitation" : "(Boyce-Jacino et al. 1992; Bai et al. 1995; Sacco &amp; Nair 2014)", "previouslyFormattedCitation" : "(Boyce-Jacino et al. 1992; Bai et al. 1995; Sacco &amp; Nair 2014)" }, "properties" : { "noteIndex" : 0 }, "schema" : "https://github.com/citation-style-language/schema/raw/master/csl-citation.json" }</w:instrText>
      </w:r>
      <w:r>
        <w:fldChar w:fldCharType="separate"/>
      </w:r>
      <w:r w:rsidRPr="001F37AB">
        <w:rPr>
          <w:noProof/>
        </w:rPr>
        <w:t>(Boyce-Jacino et al. 1992; Bai et al. 1995; Sacco &amp; Nair 2014)</w:t>
      </w:r>
      <w:r>
        <w:fldChar w:fldCharType="end"/>
      </w:r>
      <w:r>
        <w:t xml:space="preserve">. </w:t>
      </w:r>
      <w:r w:rsidR="00196237">
        <w:t xml:space="preserve">Despite this, group members retain high LTR identity, suggesting recent and recurrent retrotransposition, and there are independent, segregating EAV complements in various chicken lines </w:t>
      </w:r>
      <w:r w:rsidR="00196237">
        <w:fldChar w:fldCharType="begin" w:fldLock="1"/>
      </w:r>
      <w:r w:rsidR="00196237">
        <w:instrText>ADDIN CSL_CITATION { "citationItems" : [ { "id" : "ITEM-1", "itemData" : { "DOI" : "10.1128/JVI.74.9.3984-3995.2000.Updated", "author" : [ { "dropping-particle" : "", "family" : "Dimcheff", "given" : "DE", "non-dropping-particle" : "", "parse-names" : false, "suffix" : "" }, { "dropping-particle" : "", "family" : "Drovetski", "given" : "SV", "non-dropping-particle" : "", "parse-names" : false, "suffix" : "" } ], "container-title" : "Journal of \u2026", "id" : "ITEM-1", "issue" : "9", "issued" : { "date-parts" : [ [ "2000" ] ] }, "page" : "3984-3995", "title" : "Cospeciation and horizontal transmission of avian sarcoma and leukosis virus gag genes in galliform birds", "type" : "article-journal", "volume" : "74" }, "uris" : [ "http://www.mendeley.com/documents/?uuid=b06b81be-9749-4eb0-8ceb-fb26e304baa2" ] }, { "id" : "ITEM-2", "itemData" : { "DOI" : "10.1128/JVI.75.23.11935", "abstract" : "Avian leukosis virus subgroup J (ALV-J), an exogenous avian retrovirus, is thought to have evolved by recombination with the highly identical env gene of the endogenous avian retrovirus EAV-HP. Embryonic expression of EAV-HP env has been suggested to be associated with the induction of immunological tolerance, a feature observed in a significant proportion of meat-type chickens infected with ALV-J. In support of this hypothesis, we demonstrate that EAV-HP loci, some of which could be associated with tolerance, are still segregating within the chicken population.", "author" : [ { "dropping-particle" : "", "family" : "Sacco", "given" : "MA", "non-dropping-particle" : "", "parse-names" : false, "suffix" : "" }, { "dropping-particle" : "", "family" : "Venugopal", "given" : "K", "non-dropping-particle" : "", "parse-names" : false, "suffix" : "" } ], "container-title" : "Journal of virology", "id" : "ITEM-2", "issue" : "23", "issued" : { "date-parts" : [ [ "2001" ] ] }, "note" : "ALV-J arisen by recombination between EAV-HP and an exogenous ALV. Sequence identiy of over 97% in the env genes of ALVJ and EAV-HP (about 80% identity between env of ALVJ and other exogenous ALVs).", "page" : "11935-11938", "title" : "Segregation of EAV-HP ancient endogenous retroviruses within the chicken population", "type" : "article-journal", "volume" : "75" }, "uris" : [ "http://www.mendeley.com/documents/?uuid=1308d95a-ad70-47ed-878b-f03111c5c45e" ] }, { "id" : "ITEM-3", "itemData" : { "DOI" : "10.1186/s12864-015-1954-x", "ISSN" : "1471-2164", "author" : [ { "dropping-particle" : "", "family" : "Wragg", "given" : "David", "non-dropping-particle" : "", "parse-names" : false, "suffix" : "" }, { "dropping-particle" : "", "family" : "Mason", "given" : "Andrew S.", "non-dropping-particle" : "", "parse-names" : false, "suffix" : "" }, { "dropping-particle" : "", "family" : "Yu", "given" : "Le", "non-dropping-particle" : "", "parse-names" : false, "suffix" : "" }, { "dropping-particle" : "", "family" : "Kuo", "given" : "Richard", "non-dropping-particle" : "", "parse-names" : false, "suffix" : "" }, { "dropping-particle" : "", "family" : "Lawal", "given" : "Raman a.", "non-dropping-particle" : "", "parse-names" : false, "suffix" : "" }, { "dropping-particle" : "", "family" : "Desta", "given" : "Takele Taye", "non-dropping-particle" : "", "parse-names" : false, "suffix" : "" }, { "dropping-particle" : "", "family" : "Mwacharo", "given" : "Joram M.", "non-dropping-particle" : "", "parse-names" : false, "suffix" : "" }, { "dropping-particle" : "", "family" : "Cho", "given" : "Chang-Yeon", "non-dropping-particle" : "", "parse-names" : false, "suffix" : "" }, { "dropping-particle" : "", "family" : "Kemp", "given" : "Steve", "non-dropping-particle" : "", "parse-names" : false, "suffix" : "" }, { "dropping-particle" : "", "family" : "Burt", "given" : "David W.", "non-dropping-particle" : "", "parse-names" : false, "suffix" : "" }, { "dropping-particle" : "", "family" : "Hanotte", "given" : "Olivier", "non-dropping-particle" : "", "parse-names" : false, "suffix" : "" } ], "container-title" : "BMC Genomics", "id" : "ITEM-3", "issue" : "1", "issued" : { "date-parts" : [ [ "2015", "10", "14" ] ] }, "page" : "784", "title" : "Genome-wide analysis reveals the extent of EAV-HP integration in domestic chicken", "type" : "article-journal", "volume" : "16" }, "uris" : [ "http://www.mendeley.com/documents/?uuid=785ce0a4-2408-491c-81f9-74a41832e445" ] } ], "mendeley" : { "formattedCitation" : "(Dimcheff &amp; Drovetski 2000; Sacco &amp; Venugopal 2001; Wragg et al. 2015)", "plainTextFormattedCitation" : "(Dimcheff &amp; Drovetski 2000; Sacco &amp; Venugopal 2001; Wragg et al. 2015)", "previouslyFormattedCitation" : "(Dimcheff &amp; Drovetski 2000; Sacco &amp; Venugopal 2001; Wragg et al. 2015)" }, "properties" : { "noteIndex" : 0 }, "schema" : "https://github.com/citation-style-language/schema/raw/master/csl-citation.json" }</w:instrText>
      </w:r>
      <w:r w:rsidR="00196237">
        <w:fldChar w:fldCharType="separate"/>
      </w:r>
      <w:r w:rsidR="00196237" w:rsidRPr="00252E11">
        <w:rPr>
          <w:noProof/>
        </w:rPr>
        <w:t>(Dimcheff &amp; Drovetski 2000; Sacco &amp; Venugopal 2001; Wragg et al. 2015)</w:t>
      </w:r>
      <w:r w:rsidR="00196237">
        <w:fldChar w:fldCharType="end"/>
      </w:r>
      <w:r w:rsidR="00196237">
        <w:t>. Until recently, a fourth distinct EAV group was defined which shared 5’ homology</w:t>
      </w:r>
      <w:r w:rsidR="009B4D4B">
        <w:t xml:space="preserve"> with EAV-HP and</w:t>
      </w:r>
      <w:r w:rsidR="00196237">
        <w:t xml:space="preserve"> 3’ homology wit</w:t>
      </w:r>
      <w:r w:rsidR="009B4D4B">
        <w:t>h EAV-E51, but had a unique, yet</w:t>
      </w:r>
      <w:r w:rsidR="00196237">
        <w:t xml:space="preserve"> truncated </w:t>
      </w:r>
      <w:r w:rsidR="00196237">
        <w:rPr>
          <w:i/>
        </w:rPr>
        <w:t>polymerase</w:t>
      </w:r>
      <w:r w:rsidR="00196237">
        <w:t xml:space="preserve"> domain. These sequences, known as ART-CH (avian retrotransposon in chicken), are now known to be recombinant sequences between an EAV-HP (5’ LTR and most of </w:t>
      </w:r>
      <w:r w:rsidR="00196237">
        <w:rPr>
          <w:i/>
        </w:rPr>
        <w:t>gag</w:t>
      </w:r>
      <w:r w:rsidR="00196237">
        <w:t xml:space="preserve">) and </w:t>
      </w:r>
      <w:r w:rsidR="00BC192B">
        <w:t xml:space="preserve">an </w:t>
      </w:r>
      <w:r w:rsidR="00196237">
        <w:t xml:space="preserve">EAV-E51 which had already had significant </w:t>
      </w:r>
      <w:r w:rsidR="00196237">
        <w:rPr>
          <w:i/>
        </w:rPr>
        <w:t>polymerase</w:t>
      </w:r>
      <w:r w:rsidR="00196237">
        <w:t xml:space="preserve"> degradation </w:t>
      </w:r>
      <w:r w:rsidR="00196237">
        <w:fldChar w:fldCharType="begin" w:fldLock="1"/>
      </w:r>
      <w:r w:rsidR="007A27BF">
        <w:instrText>ADDIN CSL_CITATION { "citationItems" : [ { "id" : "ITEM-1", "itemData" : { "DOI" : "10.1099/vir.0.066852-0", "ISSN" : "1465-2099", "PMID" : "24903328", "abstract" : "Ancient endogenous retroviruses (ERVs) designated as the EAVs are present in all Gallus species including the chicken and resemble the modern avian sarcoma and leukosis viruses (ASLVs). The EAVs comprise several distinct retroviruses, including EAV-0, EAV-E51 and EAV-HP, as well as a putative member previously coined the avian retrotransposon of chickens (ART-CH). Thus far, only the EAV-HP elements have been well characterized. In this report we determined sequences of representative EAV-0 and EAV-E51 proviruses by cloning and data mining of the 2011 assembly of the G. gallus genome. Although the EAV-0 elements are primarily deleted in the env region, we identified two complete EAV-0 env genes within the G. gallus genome and prototype elements sharing identity to an EAV-E51-related clone previously designated EAV-E33. Prototype EAV-0, EAV-E51 and EAV-E33 gag, pol and env gene sequences used for phylogenetic analysis of deduced proteins showed that the EAVs form three distinct clades, with EAV-0 sharing the last common ancestor with the ASLVs. The EAV-E51 clade showed the greatest level of divergence compared to other EAVs or ASLVs suggesting that these ERVs represent exogenous retroviruses that evolved and integrated into the germ line over a long period of time. Moreover, the degree of divergence between the chicken and red jungle fowl EAV-E51 sequences suggests that they are more ancient than the other EAVs and may have diverged through mutations that accumulated post- integration. Finally, we show that the ART-CH elements are chimeric defective ERVs comprising portions of EAV-E51 and EAV-HP rather than authentic retrotransposons.", "author" : [ { "dropping-particle" : "", "family" : "Sacco", "given" : "Melanie Ann", "non-dropping-particle" : "", "parse-names" : false, "suffix" : "" }, { "dropping-particle" : "", "family" : "Nair", "given" : "Venugopal K", "non-dropping-particle" : "", "parse-names" : false, "suffix" : "" } ], "container-title" : "The Journal of general virology", "id" : "ITEM-1", "issued" : { "date-parts" : [ [ "2014", "7", "5" ] ] }, "page" : "1-27", "title" : "Prototype EAV Endogenous Retroviruses of the Gallus Genus.", "type" : "article-journal", "volume" : "5" }, "uris" : [ "http://www.mendeley.com/documents/?uuid=587428c9-e4fc-42b3-bd80-fad1ca67ed6e" ] } ], "mendeley" : { "formattedCitation" : "(Sacco &amp; Nair 2014)", "plainTextFormattedCitation" : "(Sacco &amp; Nair 2014)", "previouslyFormattedCitation" : "(Sacco &amp; Nair 2014)" }, "properties" : { "noteIndex" : 0 }, "schema" : "https://github.com/citation-style-language/schema/raw/master/csl-citation.json" }</w:instrText>
      </w:r>
      <w:r w:rsidR="00196237">
        <w:fldChar w:fldCharType="separate"/>
      </w:r>
      <w:r w:rsidR="00196237" w:rsidRPr="00196237">
        <w:rPr>
          <w:noProof/>
        </w:rPr>
        <w:t>(Sacco &amp; Nair 2014)</w:t>
      </w:r>
      <w:r w:rsidR="00196237">
        <w:fldChar w:fldCharType="end"/>
      </w:r>
      <w:r w:rsidR="00196237">
        <w:t xml:space="preserve">. </w:t>
      </w:r>
    </w:p>
    <w:p w14:paraId="0E6BE2B1" w14:textId="29201AFC" w:rsidR="00AA5C83" w:rsidRDefault="00AA5C83" w:rsidP="00391005">
      <w:pPr>
        <w:pStyle w:val="ListParagraph"/>
      </w:pPr>
      <w:r>
        <w:t xml:space="preserve">Despite their general degradation, EAVs still retrotranspose and insertional mutagenesis remains a possibility. Individual insertions have been shown to elicit phenotypic effects, particularly due to the alternative promoter activity generated by a high number of solo LTRs </w:t>
      </w:r>
      <w:r>
        <w:fldChar w:fldCharType="begin" w:fldLock="1"/>
      </w:r>
      <w:r>
        <w:instrText>ADDIN CSL_CITATION { "citationItems" : [ { "id" : "ITEM-1", "itemData" : { "DOI" : "10.1128/JVI.75.23.11935", "abstract" : "Avian leukosis virus subgroup J (ALV-J), an exogenous avian retrovirus, is thought to have evolved by recombination with the highly identical env gene of the endogenous avian retrovirus EAV-HP. Embryonic expression of EAV-HP env has been suggested to be associated with the induction of immunological tolerance, a feature observed in a significant proportion of meat-type chickens infected with ALV-J. In support of this hypothesis, we demonstrate that EAV-HP loci, some of which could be associated with tolerance, are still segregating within the chicken population.", "author" : [ { "dropping-particle" : "", "family" : "Sacco", "given" : "MA", "non-dropping-particle" : "", "parse-names" : false, "suffix" : "" }, { "dropping-particle" : "", "family" : "Venugopal", "given" : "K", "non-dropping-particle" : "", "parse-names" : false, "suffix" : "" } ], "container-title" : "Journal of virology", "id" : "ITEM-1", "issue" : "23", "issued" : { "date-parts" : [ [ "2001" ] ] }, "note" : "ALV-J arisen by recombination between EAV-HP and an exogenous ALV. Sequence identiy of over 97% in the env genes of ALVJ and EAV-HP (about 80% identity between env of ALVJ and other exogenous ALVs).", "page" : "11935-11938", "title" : "Segregation of EAV-HP ancient endogenous retroviruses within the chicken population", "type" : "article-journal", "volume" : "75" }, "uris" : [ "http://www.mendeley.com/documents/?uuid=1308d95a-ad70-47ed-878b-f03111c5c45e" ] } ], "mendeley" : { "formattedCitation" : "(Sacco &amp; Venugopal 2001)", "plainTextFormattedCitation" : "(Sacco &amp; Venugopal 2001)", "previouslyFormattedCitation" : "(Sacco &amp; Venugopal 2001)" }, "properties" : { "noteIndex" : 0 }, "schema" : "https://github.com/citation-style-language/schema/raw/master/csl-citation.json" }</w:instrText>
      </w:r>
      <w:r>
        <w:fldChar w:fldCharType="separate"/>
      </w:r>
      <w:r w:rsidRPr="007A27BF">
        <w:rPr>
          <w:noProof/>
        </w:rPr>
        <w:t>(Sacco &amp; Venugopal 2001)</w:t>
      </w:r>
      <w:r>
        <w:fldChar w:fldCharType="end"/>
      </w:r>
      <w:r>
        <w:t xml:space="preserve">. For example, independent EAV-HP LTR insertions in the promoter region of the solute carrier </w:t>
      </w:r>
      <w:r>
        <w:rPr>
          <w:i/>
        </w:rPr>
        <w:t>SLCO1B3</w:t>
      </w:r>
      <w:r>
        <w:t xml:space="preserve"> (solute carrier organic anion transporter family member 1B3) were recently shown to upregulate gene expression causing the </w:t>
      </w:r>
      <w:r>
        <w:rPr>
          <w:i/>
        </w:rPr>
        <w:t>oocyan</w:t>
      </w:r>
      <w:r>
        <w:t xml:space="preserve"> ‘blue-green’ egg shell phenotype in both Chinese </w:t>
      </w:r>
      <w:r>
        <w:fldChar w:fldCharType="begin" w:fldLock="1"/>
      </w:r>
      <w:r>
        <w:instrText>ADDIN CSL_CITATION { "citationItems" : [ { "id" : "ITEM-1", "itemData" : { "DOI" : "10.1371/journal.pgen.1003183", "ISSN" : "1553-7404", "PMID" : "23359636", "abstract" : "The genetic determination of eggshell coloration has not been determined in birds. Here we report that the blue eggshell is caused by an EAV-HP insertion that promotes the expression of SLCO1B3 gene in the uterus (shell gland) of the oviduct in chicken. In this study, the genetic map location of the blue eggshell gene was refined by linkage analysis in an F(2) chicken population, and four candidate genes within the refined interval were subsequently tested for their expression levels in the shell gland of the uterus from blue-shelled and non-blue-shelled hens. SLCO1B3 gene was found to be the only one expressed in the uterus of blue-shelled hens but not in that of non-blue-shelled hens. Results from a pyrosequencing analysis showed that only the allele of SLCO1B3 from blue-shelled chickens was expressed in the uterus of heterozygous hens (O*LC/O*N). SLCO1B3 gene belongs to the organic anion transporting polypeptide (OATP) family; and the OATPs, functioning as membrane transporters, have been reported for the transportation of amphipathic organic compounds, including bile salt in mammals. We subsequently resequenced the whole genomic region of SLCO1B3 and discovered an EAV-HP insertion in the 5' flanking region of SLCO1B3. The EAV-HP insertion was found closely associated with blue eggshell phenotype following complete Mendelian segregation. In situ hybridization also demonstrated that the blue eggshell is associated with ectopic expression of SLCO1B3 in shell glands of uterus. Our finding strongly suggests that the EAV-HP insertion is the causative mutation for the blue eggshell phenotype. The insertion was also found in another Chinese blue-shelled breed and an American blue-shelled breed. In addition, we found that the insertion site in the blue-shelled chickens from Araucana is different from that in Chinese breeds, which implied independent integration events in the blue-shelled chickens from the two continents, providing a parallel evolutionary example at the molecular level.", "author" : [ { "dropping-particle" : "", "family" : "Wang", "given" : "Zhepeng", "non-dropping-particle" : "", "parse-names" : false, "suffix" : "" }, { "dropping-particle" : "", "family" : "Qu", "given" : "Lujiang", "non-dropping-particle" : "", "parse-names" : false, "suffix" : "" }, { "dropping-particle" : "", "family" : "Yao", "given" : "Junfeng", "non-dropping-particle" : "", "parse-names" : false, "suffix" : "" }, { "dropping-particle" : "", "family" : "Yang", "given" : "Xiaolin", "non-dropping-particle" : "", "parse-names" : false, "suffix" : "" }, { "dropping-particle" : "", "family" : "Li", "given" : "Guangqi", "non-dropping-particle" : "", "parse-names" : false, "suffix" : "" }, { "dropping-particle" : "", "family" : "Zhang", "given" : "Yuanyuan", "non-dropping-particle" : "", "parse-names" : false, "suffix" : "" }, { "dropping-particle" : "", "family" : "Li", "given" : "Junying", "non-dropping-particle" : "", "parse-names" : false, "suffix" : "" }, { "dropping-particle" : "", "family" : "Wang", "given" : "Xiaotong", "non-dropping-particle" : "", "parse-names" : false, "suffix" : "" }, { "dropping-particle" : "", "family" : "Bai", "given" : "Jirong", "non-dropping-particle" : "", "parse-names" : false, "suffix" : "" }, { "dropping-particle" : "", "family" : "Xu", "given" : "Guiyun", "non-dropping-particle" : "", "parse-names" : false, "suffix" : "" }, { "dropping-particle" : "", "family" : "Deng", "given" : "Xuemei", "non-dropping-particle" : "", "parse-names" : false, "suffix" : "" }, { "dropping-particle" : "", "family" : "Yang", "given" : "Ning", "non-dropping-particle" : "", "parse-names" : false, "suffix" : "" }, { "dropping-particle" : "", "family" : "Wu", "given" : "Changxin", "non-dropping-particle" : "", "parse-names" : false, "suffix" : "" } ], "container-title" : "PLoS genetics", "id" : "ITEM-1", "issue" : "1", "issued" : { "date-parts" : [ [ "2013", "1" ] ] }, "note" : "Paper provides an example where retroviral element insertion alters expression.", "page" : "e1003183", "title" : "An EAV-HP insertion in 5' Flanking region of SLCO1B3 causes blue eggshell in the chicken.", "type" : "article-journal", "volume" : "9" }, "uris" : [ "http://www.mendeley.com/documents/?uuid=ac44ac61-5670-49f6-9d09-be1e57235d13" ] } ], "mendeley" : { "formattedCitation" : "(Z. Wang et al. 2013)", "plainTextFormattedCitation" : "(Z. Wang et al. 2013)", "previouslyFormattedCitation" : "(Z. Wang et al. 2013)" }, "properties" : { "noteIndex" : 0 }, "schema" : "https://github.com/citation-style-language/schema/raw/master/csl-citation.json" }</w:instrText>
      </w:r>
      <w:r>
        <w:fldChar w:fldCharType="separate"/>
      </w:r>
      <w:r w:rsidRPr="007A27BF">
        <w:rPr>
          <w:noProof/>
        </w:rPr>
        <w:t>(Z. Wang et al. 2013)</w:t>
      </w:r>
      <w:r>
        <w:fldChar w:fldCharType="end"/>
      </w:r>
      <w:r>
        <w:t xml:space="preserve"> and South American </w:t>
      </w:r>
      <w:r>
        <w:fldChar w:fldCharType="begin" w:fldLock="1"/>
      </w:r>
      <w:r>
        <w:instrText>ADDIN CSL_CITATION { "citationItems" : [ { "id" : "ITEM-1", "itemData" : { "DOI" : "10.1371/journal.pone.0071393", "ISSN" : "1932-6203", "PMID" : "23990950", "abstract" : "Oocyan or blue/green eggshell colour is an autosomal dominant trait found in native chickens (Mapuche fowl) of Chile and in some of their descendants in European and North American modern breeds. We report here the identification of an endogenous avian retroviral (EAV-HP) insertion in oocyan Mapuche fowl and European breeds. Sequencing data reveals 100% retroviral identity between the Mapuche and European insertions. Quantitative real-time PCR analysis of European oocyan chicken indicates over-expression of the SLCO1B3 gene (P&lt;0.05) in the shell gland and oviduct. Predicted transcription factor binding sites in the long terminal repeats (LTR) indicate AhR/Ar, a modulator of oestrogen, as a possible promoter/enhancer leading to reproductive tissue-specific over-expression of the SLCO1B3 gene. Analysis of all jungle fowl species Gallus sp. supports the retroviral insertion to be a post-domestication event, while identical LTR sequences within domestic chickens are in agreement with a recent de novo mutation.", "author" : [ { "dropping-particle" : "", "family" : "Wragg", "given" : "David", "non-dropping-particle" : "", "parse-names" : false, "suffix" : "" }, { "dropping-particle" : "", "family" : "Mwacharo", "given" : "Joram M", "non-dropping-particle" : "", "parse-names" : false, "suffix" : "" }, { "dropping-particle" : "", "family" : "Alcalde", "given" : "Jos\u00e9 a", "non-dropping-particle" : "", "parse-names" : false, "suffix" : "" }, { "dropping-particle" : "", "family" : "Wang", "given" : "Chen", "non-dropping-particle" : "", "parse-names" : false, "suffix" : "" }, { "dropping-particle" : "", "family" : "Han", "given" : "Jian-Lin", "non-dropping-particle" : "", "parse-names" : false, "suffix" : "" }, { "dropping-particle" : "", "family" : "Gongora", "given" : "Jaime", "non-dropping-particle" : "", "parse-names" : false, "suffix" : "" }, { "dropping-particle" : "", "family" : "Gourichon", "given" : "David", "non-dropping-particle" : "", "parse-names" : false, "suffix" : "" }, { "dropping-particle" : "", "family" : "Tixier-Boichard", "given" : "Mich\u00e8le", "non-dropping-particle" : "", "parse-names" : false, "suffix" : "" }, { "dropping-particle" : "", "family" : "Hanotte", "given" : "Olivier", "non-dropping-particle" : "", "parse-names" : false, "suffix" : "" } ], "container-title" : "PloS one", "id" : "ITEM-1", "issue" : "8", "issued" : { "date-parts" : [ [ "2013", "1" ] ] }, "page" : "e71393", "title" : "Endogenous Retrovirus EAV-HP Linked to Blue Egg Phenotype in Mapuche Fowl.", "type" : "article-journal", "volume" : "8" }, "uris" : [ "http://www.mendeley.com/documents/?uuid=f54f809e-4c23-4b8a-b021-449462f2511f" ] } ], "mendeley" : { "formattedCitation" : "(Wragg et al. 2013)", "plainTextFormattedCitation" : "(Wragg et al. 2013)", "previouslyFormattedCitation" : "(Wragg et al. 2013)" }, "properties" : { "noteIndex" : 0 }, "schema" : "https://github.com/citation-style-language/schema/raw/master/csl-citation.json" }</w:instrText>
      </w:r>
      <w:r>
        <w:fldChar w:fldCharType="separate"/>
      </w:r>
      <w:r w:rsidRPr="009B4D4B">
        <w:rPr>
          <w:noProof/>
        </w:rPr>
        <w:t>(Wragg et al. 2013)</w:t>
      </w:r>
      <w:r>
        <w:fldChar w:fldCharType="end"/>
      </w:r>
      <w:r>
        <w:t xml:space="preserve"> chicken breeds. </w:t>
      </w:r>
    </w:p>
    <w:p w14:paraId="5FF40503" w14:textId="77777777" w:rsidR="00096F5C" w:rsidRDefault="00FB7CA3" w:rsidP="00391005">
      <w:pPr>
        <w:pStyle w:val="ListParagraph"/>
      </w:pPr>
      <w:r>
        <w:t xml:space="preserve">The movement of non-autonomous EAVs is facilitated by the presence of replication-competent retroviruses. This can either be other ERVs, such as intact ALVEs, or exogenous retroviruses during an infection. The emergent ALV-J is a result of the latter, </w:t>
      </w:r>
      <w:r>
        <w:lastRenderedPageBreak/>
        <w:t xml:space="preserve">following recombination between an exogenous ALV-A and the intact </w:t>
      </w:r>
      <w:r>
        <w:rPr>
          <w:i/>
        </w:rPr>
        <w:t>envelope</w:t>
      </w:r>
      <w:r>
        <w:t xml:space="preserve"> domain of an EAV-HP </w:t>
      </w:r>
      <w:r>
        <w:fldChar w:fldCharType="begin" w:fldLock="1"/>
      </w:r>
      <w:r>
        <w:instrText>ADDIN CSL_CITATION { "citationItems" : [ { "id" : "ITEM-1", "itemData" : { "DOI" : "10.1099/0022-1317-72-4-801", "ISBN" : "0022-1317 (Print)\\r0022-1317 (Linking)", "ISSN" : "00221317", "PMID" : "1849967", "abstract" : "An avian leukosis virus with a wide host range belonging to a new subgroup for chickens was isolated from meat-type chicken lines. The virus, of which HPRS-103 strain is the prototype, was of low oncogenicity in chickens but appeared to behave like an exogenous leukosis virus. Neutralizing antibodies to the virus were found in three of five meat-type chicken lines, but not in seven layer lines. The virus and its Rous sarcoma virus pseudotype did not replicate in, or transform, mammalian cells.", "author" : [ { "dropping-particle" : "", "family" : "Payne", "given" : "L. N.", "non-dropping-particle" : "", "parse-names" : false, "suffix" : "" }, { "dropping-particle" : "", "family" : "Brown", "given" : "S. R.", "non-dropping-particle" : "", "parse-names" : false, "suffix" : "" }, { "dropping-particle" : "", "family" : "Bumstead", "given" : "N.", "non-dropping-particle" : "", "parse-names" : false, "suffix" : "" }, { "dropping-particle" : "", "family" : "Howes", "given" : "K.", "non-dropping-particle" : "", "parse-names" : false, "suffix" : "" }, { "dropping-particle" : "", "family" : "Frazier", "given" : "J. A.", "non-dropping-particle" : "", "parse-names" : false, "suffix" : "" }, { "dropping-particle" : "", "family" : "Thouless", "given" : "M. E.", "non-dropping-particle" : "", "parse-names" : false, "suffix" : "" } ], "container-title" : "Journal of General Virology", "id" : "ITEM-1", "issue" : "4", "issued" : { "date-parts" : [ [ "1991" ] ] }, "page" : "801-807", "title" : "A novel subgroup of exogenous avian leukosis virus in chickens", "type" : "article-journal", "volume" : "72" }, "uris" : [ "http://www.mendeley.com/documents/?uuid=444bf116-dc70-429a-99a4-b57f023a140d" ] }, { "id" : "ITEM-2", "itemData" : { "DOI" : "10.1099/0022-1317-73-11-2995", "ISBN" : "0022-1317", "ISSN" : "00221317", "PMID" : "1331300", "abstract" : "The host ranges of the Rous sarcoma virus (RSV) pseudotype RSV(HPRS-103) of a novel avian leukosis virus (ALV), strain HPRS-103, and representative RSV pseudotypes of subgroups A to F, have been determined in embryo fibroblasts from 12 avian species. Domestic fowl, red jungle fowl, Sonnerat's jungle fowl and turkey were susceptible to infection by RSV(HPRS-103); ring-necked pheasant, Japanese green pheasant, golden pheasant, Japanese quail, guinea-fowl, Peking duck, Muscovy duck and goose were resistant. The host range pattern of RSV(HPRS-103) differs from those of viruses of subgroups A to G and I, and provides support for placing the HPRS-103 strain of ALV in a new envelope subgroup, designated J.", "author" : [ { "dropping-particle" : "", "family" : "Payne", "given" : "L. N.", "non-dropping-particle" : "", "parse-names" : false, "suffix" : "" }, { "dropping-particle" : "", "family" : "Howes", "given" : "K.", "non-dropping-particle" : "", "parse-names" : false, "suffix" : "" }, { "dropping-particle" : "", "family" : "Gillespie", "given" : "A. M.", "non-dropping-particle" : "", "parse-names" : false, "suffix" : "" }, { "dropping-particle" : "", "family" : "Smith", "given" : "L. M.", "non-dropping-particle" : "", "parse-names" : false, "suffix" : "" } ], "container-title" : "Journal of General Virology", "id" : "ITEM-2", "issue" : "11", "issued" : { "date-parts" : [ [ "1992" ] ] }, "page" : "2995-2997", "title" : "Host range of Rous sarcoma virus pseudotype RSV(HPRS-103) in 12 avian species: Support for a new avian retrovirus envelope subgroup, designated J", "type" : "article-journal", "volume" : "73" }, "uris" : [ "http://www.mendeley.com/documents/?uuid=0bcbeb86-e19b-46c6-8021-f963027b128d" ] }, { "id" : "ITEM-3", "itemData" : { "ISSN" : "0022-538X", "PMID" : "7815543", "abstract" : "The avian leukosis and sarcoma virus (ALSV) group comprises eight subgroups based on envelope properties. HPRS-103, an exogenous retrovirus recently isolated from meat-type chicken lines, is similar to the viruses of these subgroups in group antigen but differs from them in envelope properties and has been assigned to a new subgroup, J. HPRS-103 has a wide host range in birds, and unlike other nontransforming ALSVs which cause late-onset B-cell lymphomas, HPRS-103 causes late-onset myelocytomas. Analysis of the sequence of an infectious clone of the complete proviral genome indicates that HPRS-103 is a multiple recombinant of at least five ALSV sequences and one EAV (endogenous avian retroviral) sequence. The HPRS-103 env is most closely related to the env gene of the defective EAV-E51 but divergent from those of other ALSV subgroups. Probing of restriction digests of line 0 chicken genomic DNA has identified a novel group of endogenous sequences (EAV-HP) homologous to that of the HPRS-103 env gene but different from sequences homologous to EAV and E51. Unlike other replication-competent nontransforming ALSVs, HPRS-103 has an E element in its 3' noncoding region, as found in many transforming ALSVs. A deletion found in the HPRS-103 U3 EFII enhancer factor-binding site is also found in all replication-defective transforming ALSVs (including MC29, which causes rapid-onset myelocytomas).", "author" : [ { "dropping-particle" : "", "family" : "Bai", "given" : "J", "non-dropping-particle" : "", "parse-names" : false, "suffix" : "" }, { "dropping-particle" : "", "family" : "Payne", "given" : "L N", "non-dropping-particle" : "", "parse-names" : false, "suffix" : "" }, { "dropping-particle" : "", "family" : "Skinner", "given" : "M a", "non-dropping-particle" : "", "parse-names" : false, "suffix" : "" } ], "container-title" : "Journal of virology", "id" : "ITEM-3", "issue" : "2", "issued" : { "date-parts" : [ [ "1995" ] ] }, "page" : "779-84", "title" : "HPRS-103 (exogenous avian leukosis virus, subgroup J) has an env gene related to those of endogenous elements EAV-0 and E51 and an E element found previously only in sarcoma viruses.", "type" : "article-journal", "volume" : "69" }, "uris" : [ "http://www.mendeley.com/documents/?uuid=d4a3465c-4de2-4793-8e35-be163a49bac6" ] }, { "id" : "ITEM-4", "itemData" : { "abstract" : "A new subgroup of avian leukosis virus (ALV), designated subgroup J, was identified recently. Viruses of this subgroup do not cross-interfere with viruses of the avian A, B, C, D, and E subgroups, are not neutralized by antisera raised against the other virus subgroups, and have a broader host range than the A to E subgroups. Sequence comparisons reveal that while the subgroup J envelope gene includes some regions that are related to those found in env genes of the A to E subgroups, the majority of the subgroup J gene is composed of se- quences either that are more similar to those of a member (E51) of the ancient endogenous avian virus (EAV) family of proviruses or that appear unique to subgroup J viruses. These data led to the suggestion that the ALV-J env gene might have arisen by multiple recombination events between one or more endogenous and exogenous viruses. We initiated studies to investigate the origin of the subgroup J envelope gene and in particular to determine the identity of endogenous sequences that may have contributed to its generation. Here we report the identification of a novel family of avian endogenous viruses that include env coding sequences that are over 95% identical to both the gp85 and gp37 coding regions of subgroup J viruses. We call these viruses the ev/J family. We also report the isolation of ev/J-encoded cDNAs, indicating that at least some members of this family are expressed. These data support the hypothesis that the subgroup J envelope gene was acquired by recombination with expressed endogenous sequences and are consistent with acquisition of this gene by only one recombination event.", "author" : [ { "dropping-particle" : "", "family" : "Benson", "given" : "SJ", "non-dropping-particle" : "", "parse-names" : false, "suffix" : "" }, { "dropping-particle" : "", "family" : "Ruis", "given" : "BL", "non-dropping-particle" : "", "parse-names" : false, "suffix" : "" }, { "dropping-particle" : "", "family" : "Fadly", "given" : "AM", "non-dropping-particle" : "", "parse-names" : false, "suffix" : "" }, { "dropping-particle" : "", "family" : "Conklin", "given" : "KF", "non-dropping-particle" : "", "parse-names" : false, "suffix" : "" } ], "container-title" : "Journal of virology", "id" : "ITEM-4", "issue" : "45", "issued" : { "date-parts" : [ [ "1998" ] ] }, "note" : "The subgroup specificity of ALV is derived from the env gene. This is due mainly to the SU (surface) protein gp85. The secon dencoded protein is the transmembrane (TM) protein gp37 which anchors gp85 to the membrane. ALVJ gp85 only has 40% identity with other ALV subgroups, whereas the other five groups share ~85% similarity at the sequence level - they differ in hypervariable and variable regions that allow further classification into subgroups. \nALVJ env is much more closely related to E51 from the EAV family. E51 appears to be the only family member with an active env gene. All others have deletions of some or all of the SU protein. Therefore, even though there is good evidence for multiple EAVs being expressed, there is no real evidence that a functional envelope can be created. \nStudy showed that ALVJ env has over 95% identity with the E51 env suggesting the ALVJ envelope gene was acquired soley from these ERV sequences.", "page" : "10157-10164", "title" : "The unique envelope gene of the subgroup J avian leukosis virus derives from ev/J proviruses, a novel family of avian endogenous viruses", "type" : "article-journal", "volume" : "72" }, "uris" : [ "http://www.mendeley.com/documents/?uuid=e32d1222-3d19-4515-838b-e9425096ae46" ] }, { "id" : "ITEM-5", "itemData" : { "DOI" : "10.1128/JVI.74.3.1296-1306.2000.Updated", "author" : [ { "dropping-particle" : "", "family" : "Sacco", "given" : "MA", "non-dropping-particle" : "", "parse-names" : false, "suffix" : "" }, { "dropping-particle" : "", "family" : "Flannery", "given" : "DMJ", "non-dropping-particle" : "", "parse-names" : false, "suffix" : "" } ], "container-title" : "Journal of \u2026", "id" : "ITEM-5", "issue" : "3", "issued" : { "date-parts" : [ [ "2000" ] ] }, "note" : "ev2 = RAV-0 (prototype ALVE)\nev loci are proposed to be recent insertions:\n- low copy number\n- segregation in the population (i.e. they are not fixed)\n- distribution restricted to red jungle fowl and the subsequent domesticated chickens\n\n\nRecombination event creating ALVJ thought to have been a non-homologus recombination event", "page" : "1296-1306", "title" : "Avian endogenous retrovirus EAV-HP shares regions of identity with avian leukosis virus subgroup J and the avian retrotransposon ART-CH", "type" : "article-journal", "volume" : "74" }, "uris" : [ "http://www.mendeley.com/documents/?uuid=6d789b08-ab16-4cb6-8cbe-213e2d02a2bf" ] } ], "mendeley" : { "formattedCitation" : "(Payne et al. 1991; Payne et al. 1992; Bai et al. 1995; Benson et al. 1998; Sacco &amp; Flannery 2000)", "plainTextFormattedCitation" : "(Payne et al. 1991; Payne et al. 1992; Bai et al. 1995; Benson et al. 1998; Sacco &amp; Flannery 2000)", "previouslyFormattedCitation" : "(Payne et al. 1991; Payne et al. 1992; Bai et al. 1995; Benson et al. 1998; Sacco &amp; Flannery 2000)" }, "properties" : { "noteIndex" : 0 }, "schema" : "https://github.com/citation-style-language/schema/raw/master/csl-citation.json" }</w:instrText>
      </w:r>
      <w:r>
        <w:fldChar w:fldCharType="separate"/>
      </w:r>
      <w:r w:rsidRPr="00FB7CA3">
        <w:rPr>
          <w:noProof/>
        </w:rPr>
        <w:t>(Payne et al. 1991; Payne et al. 1992; Bai et al. 1995; Benson et al. 1998; Sacco &amp; Flannery 2000)</w:t>
      </w:r>
      <w:r>
        <w:fldChar w:fldCharType="end"/>
      </w:r>
      <w:r>
        <w:t>. The altered ALV virion causes ALV-J to enter cell</w:t>
      </w:r>
      <w:r w:rsidR="00144A6A">
        <w:t xml:space="preserve">s via the </w:t>
      </w:r>
      <w:r>
        <w:t xml:space="preserve">NHE1 receptor (originally named TVJ), changing the target cell from B cells to any myeloid cell, resulting in myelocytomas (rather than typical ALV-induced B cell lymphomas) in infected birds </w:t>
      </w:r>
      <w:r>
        <w:fldChar w:fldCharType="begin" w:fldLock="1"/>
      </w:r>
      <w:r w:rsidR="00B52699">
        <w:instrText>ADDIN CSL_CITATION { "citationItems" : [ { "id" : "ITEM-1", "itemData" : { "ISSN" : "0005-2086", "PMID" : "18939628", "abstract" : "Primary chicken embryo fibroblasts (CEF) from special specific pathogen-free chicken lines are used for detection of contamination of adult or embryonic tissues, meconium, or tissue culture fluids with avian leukosis viruses (ALV). The suitability and efficiency of such tests depend on the susceptibility of CEF to the various subgroups of exogenous as well as endogenous ALV. The ideal CEF for such tests should be not only susceptible to all retroviruses, but also free of endogenous viruses so that such tests are immune to any interference that may occur between the endogenous and the tested (exogenous) viruses. CEF and/or chickens free of endogenous viruses are also desirable for gene transfer studies using retroviral vectors, such as RNA interference (RNAi) experiments and transgenic work. The absence of ev genes in CEF or chickens can empower clean detection of successful RNAi construct delivery or gene transfer. CEF free of ev genes are also essential reagents routinely used in growing and detecting unknown retroviruses in varied viral assays. This report documents the development of a new line of chickens, 0.TVB*S1, that is free of endogenous viruses and susceptible to all subgroups of ALV identified in chickens.", "author" : [ { "dropping-particle" : "", "family" : "Zhang", "given" : "Huanmin", "non-dropping-particle" : "", "parse-names" : false, "suffix" : "" }, { "dropping-particle" : "", "family" : "Bacon", "given" : "Larry D", "non-dropping-particle" : "", "parse-names" : false, "suffix" : "" }, { "dropping-particle" : "", "family" : "Fadly", "given" : "Aly M", "non-dropping-particle" : "", "parse-names" : false, "suffix" : "" } ], "container-title" : "Avian diseases", "id" : "ITEM-1", "issue" : "3", "issued" : { "date-parts" : [ [ "2008", "9" ] ] }, "note" : "Susceptibility to ALV is mediated by autosomal tumour virus (TV) loci - tva, tvb, tvc and tvj - all of which carry alleles encoding receptors which mediate or block entry. \ntva and tvc are found close together on chromosome 28, tvb is the most complex locus (allele S1 gives susceptibility to B/D/E, S3 to B/D and R is a truncated receptor which blocks B/D/E infection) and is on chromosome 22, tvj is the most recently identified locus and is on chromosome 23. \n\n\nEv genes are non-essential, as various fertile lines have been created that are ev free. \n\n\nUseful to create lines that are free of ev genes so that you can test the impact of various exogenous ALVs without the risk of endogenisation.", "page" : "412-8", "title" : "Development of an endogenous virus-free line of chickens susceptible to all subgroups of avian leukosis virus.", "type" : "article-journal", "volume" : "52" }, "uris" : [ "http://www.mendeley.com/documents/?uuid=152d773d-8504-4bd0-a81d-57f1a3c55ae8" ] }, { "id" : "ITEM-2", "itemData" : { "DOI" : "10.1080/03079457.2011.646237", "ISSN" : "1465-3338", "PMID" : "22845317", "abstract" : "The present review is aimed at the non-specialist reader and is one of a number being written on important diseases of poultry to celebrate the 40th anniversary of the birth of Avian Pathology, the journal of the World Veterinary Poultry Association. The diseases of the avian leukosis complex have a number of features of distinction. They were the first neoplastic diseases in any species to be shown, 100 years ago, to be transmissible and caused by viruses, and have consequently been studied extensively by biomedical scientists as models for the role of viruses in cancer. They also became, from around the 1920s, the major cause of mortality and economic loss to the developed poultry industry, and were studied by agricultural scientists searching to understand and control them. The remit of the review is to cover research carried out over the 40 years since 1971, when the journal was founded. In this review on avian leukosis, an introductory summary is given of knowledge acquired over the preceding 60 years. Subsequently a selection is provided of discoveries, both fundamental and more applied, that seem to us to be of particular importance and interest. Much of the work was carried out by biomedical scientists interested in cancer. Probably the most significant was the discovery in the avian retroviruses of oncogenes that cause leukosis and other tumours and of their origin from proto-oncogenes in normal cells. These oncogenes are involved in cancer in many species, including chickens and humans. Other work was performed by agricultural scientists interested in poultry disease. Interests of the two groups have overlapped, particularly as a result of a shift of emphasis to molecular biology research.", "author" : [ { "dropping-particle" : "", "family" : "Payne", "given" : "L N", "non-dropping-particle" : "", "parse-names" : false, "suffix" : "" }, { "dropping-particle" : "", "family" : "Nair", "given" : "V", "non-dropping-particle" : "", "parse-names" : false, "suffix" : "" } ], "container-title" : "Avian pathology : journal of the W.V.P.A", "id" : "ITEM-2", "issue" : "1", "issued" : { "date-parts" : [ [ "2012", "1" ] ] }, "note" : "Broad overview \u2013 nice as an introduction to the subject. Starts with Ev genes and then moves on to detrimental effects of ev21, but only briefly. Last chunk is all about ALV-J and its spread.", "page" : "11-19", "title" : "The long view: 40 years of avian leukosis research.", "type" : "article-journal", "volume" : "41" }, "uris" : [ "http://www.mendeley.com/documents/?uuid=42cb0588-e47e-49f5-a783-3501c75ac896" ] }, { "id" : "ITEM-3", "itemData" : { "DOI" : "10.1099/vir.0.066852-0", "ISSN" : "1465-2099", "PMID" : "24903328", "abstract" : "Ancient endogenous retroviruses (ERVs) designated as the EAVs are present in all Gallus species including the chicken and resemble the modern avian sarcoma and leukosis viruses (ASLVs). The EAVs comprise several distinct retroviruses, including EAV-0, EAV-E51 and EAV-HP, as well as a putative member previously coined the avian retrotransposon of chickens (ART-CH). Thus far, only the EAV-HP elements have been well characterized. In this report we determined sequences of representative EAV-0 and EAV-E51 proviruses by cloning and data mining of the 2011 assembly of the G. gallus genome. Although the EAV-0 elements are primarily deleted in the env region, we identified two complete EAV-0 env genes within the G. gallus genome and prototype elements sharing identity to an EAV-E51-related clone previously designated EAV-E33. Prototype EAV-0, EAV-E51 and EAV-E33 gag, pol and env gene sequences used for phylogenetic analysis of deduced proteins showed that the EAVs form three distinct clades, with EAV-0 sharing the last common ancestor with the ASLVs. The EAV-E51 clade showed the greatest level of divergence compared to other EAVs or ASLVs suggesting that these ERVs represent exogenous retroviruses that evolved and integrated into the germ line over a long period of time. Moreover, the degree of divergence between the chicken and red jungle fowl EAV-E51 sequences suggests that they are more ancient than the other EAVs and may have diverged through mutations that accumulated post- integration. Finally, we show that the ART-CH elements are chimeric defective ERVs comprising portions of EAV-E51 and EAV-HP rather than authentic retrotransposons.", "author" : [ { "dropping-particle" : "", "family" : "Sacco", "given" : "Melanie Ann", "non-dropping-particle" : "", "parse-names" : false, "suffix" : "" }, { "dropping-particle" : "", "family" : "Nair", "given" : "Venugopal K", "non-dropping-particle" : "", "parse-names" : false, "suffix" : "" } ], "container-title" : "The Journal of general virology", "id" : "ITEM-3", "issued" : { "date-parts" : [ [ "2014", "7", "5" ] ] }, "page" : "1-27", "title" : "Prototype EAV Endogenous Retroviruses of the Gallus Genus.", "type" : "article-journal", "volume" : "5" }, "uris" : [ "http://www.mendeley.com/documents/?uuid=587428c9-e4fc-42b3-bd80-fad1ca67ed6e" ] } ], "mendeley" : { "formattedCitation" : "(Zhang et al. 2008; Payne &amp; Nair 2012; Sacco &amp; Nair 2014)", "plainTextFormattedCitation" : "(Zhang et al. 2008; Payne &amp; Nair 2012; Sacco &amp; Nair 2014)", "previouslyFormattedCitation" : "(Zhang et al. 2008; Payne &amp; Nair 2012; Sacco &amp; Nair 2014)" }, "properties" : { "noteIndex" : 0 }, "schema" : "https://github.com/citation-style-language/schema/raw/master/csl-citation.json" }</w:instrText>
      </w:r>
      <w:r>
        <w:fldChar w:fldCharType="separate"/>
      </w:r>
      <w:r w:rsidR="00B52699" w:rsidRPr="00B52699">
        <w:rPr>
          <w:noProof/>
        </w:rPr>
        <w:t>(Zhang et al. 2008; Payne &amp; Nair 2012; Sacco &amp; Nair 2014)</w:t>
      </w:r>
      <w:r>
        <w:fldChar w:fldCharType="end"/>
      </w:r>
      <w:r>
        <w:t xml:space="preserve">. </w:t>
      </w:r>
      <w:r w:rsidR="00EF038A">
        <w:t xml:space="preserve">Whilst this target cell change created a new immunological challenge for infected birds, expressed EAV-HP </w:t>
      </w:r>
      <w:r w:rsidR="00EF038A">
        <w:rPr>
          <w:i/>
        </w:rPr>
        <w:t>envelope</w:t>
      </w:r>
      <w:r w:rsidR="00EF038A">
        <w:t xml:space="preserve"> has been shown to induce tolerance by receptor interference </w:t>
      </w:r>
      <w:r w:rsidR="00EF038A">
        <w:fldChar w:fldCharType="begin" w:fldLock="1"/>
      </w:r>
      <w:r w:rsidR="00724D7B">
        <w:instrText>ADDIN CSL_CITATION { "citationItems" : [ { "id" : "ITEM-1", "itemData" : { "DOI" : "10.1128/JVI.78.19.10525", "author" : [ { "dropping-particle" : "", "family" : "Sacco", "given" : "MA", "non-dropping-particle" : "", "parse-names" : false, "suffix" : "" }, { "dropping-particle" : "", "family" : "Howes", "given" : "Ken", "non-dropping-particle" : "", "parse-names" : false, "suffix" : "" }, { "dropping-particle" : "", "family" : "Smith", "given" : "LP", "non-dropping-particle" : "", "parse-names" : false, "suffix" : "" }, { "dropping-particle" : "", "family" : "Nair", "given" : "VK", "non-dropping-particle" : "", "parse-names" : false, "suffix" : "" } ], "container-title" : "Journal of virology", "id" : "ITEM-1", "issue" : "19", "issued" : { "date-parts" : [ [ "2004" ] ] }, "note" : "ALV-J first identified in the UK in 1988. Rapidly became a worldwide issue.\n\n\nEAV-HP is present in 10-15 copies in the genome. And copies are still segregating - this makes sense as the pol genes in many (and the env in one) are still functional so they are able to move and expand their range in the genome. \n\n\nWith ALV A-D, infection of posthatch chicks leads to transient viremia which is subsequently cleared by an antibody response. Conversely, ALV-J infection does not clear leading to persistent viremia and fail to produce an antibody response, this is an issue for immunological tolerance.", "page" : "10525-10535", "title" : "Assessing the roles of endogenous retrovirus EAV-HP in avian leukosis virus subgroup J emergence and tolerance", "type" : "article-journal", "volume" : "78" }, "uris" : [ "http://www.mendeley.com/documents/?uuid=eba75a95-4c38-4009-bdef-500dc2d715b4" ] } ], "mendeley" : { "formattedCitation" : "(Sacco et al. 2004)", "plainTextFormattedCitation" : "(Sacco et al. 2004)", "previouslyFormattedCitation" : "(Sacco et al. 2004)" }, "properties" : { "noteIndex" : 0 }, "schema" : "https://github.com/citation-style-language/schema/raw/master/csl-citation.json" }</w:instrText>
      </w:r>
      <w:r w:rsidR="00EF038A">
        <w:fldChar w:fldCharType="separate"/>
      </w:r>
      <w:r w:rsidR="00EF038A" w:rsidRPr="00EF038A">
        <w:rPr>
          <w:noProof/>
        </w:rPr>
        <w:t>(Sacco et al. 2004)</w:t>
      </w:r>
      <w:r w:rsidR="00EF038A">
        <w:fldChar w:fldCharType="end"/>
      </w:r>
      <w:r w:rsidR="00EF038A">
        <w:t xml:space="preserve">. </w:t>
      </w:r>
    </w:p>
    <w:p w14:paraId="6DE82E60" w14:textId="77FDD57D" w:rsidR="001F37AB" w:rsidRPr="00FB7CA3" w:rsidRDefault="00B52699" w:rsidP="00391005">
      <w:pPr>
        <w:pStyle w:val="ListParagraph"/>
      </w:pPr>
      <w:r>
        <w:t xml:space="preserve">The detrimental global impact of ALV-J has been well documented </w:t>
      </w:r>
      <w:r>
        <w:fldChar w:fldCharType="begin" w:fldLock="1"/>
      </w:r>
      <w:r w:rsidR="00EF038A">
        <w:instrText>ADDIN CSL_CITATION { "citationItems" : [ { "id" : "ITEM-1", "itemData" : { "ISSN" : "0032-5791", "PMID" : "9706091", "abstract" : "Three species of avian retrovirus cause disease in poultry: the avian leukosis/sarcoma virus (ALSV), reticuloendotheliosis virus (REV), and lymphoproliferative disease virus (LPDV) of turkeys. The ALSV can be classified as slowly transforming viruses, which lack a viral oncogene, and acutely transforming viruses, which possess a viral oncogene. Slowly transforming viruses induce late onset leukoses of the B cell lymphoid, erythroid, and myeloid cell lineages, and other tumors, by viral promoter insertion into the genome of a host cell and activation of a cellular protooncogene. The various acutely transforming leukemia and sarcoma viruses induce leukotic or other tumors rapidly and carry one or anther (sometimes two) viral oncogenes, of which some 15 have been identified. The ALSV fall into six envelope subgroups, A through E, and the recently recognized J subgroup, which induces myeloid leukosis. With the exception of Subgroup E viruses, these viruses spread vertically and horizontally as infectious virions, and are termed exogenous viruses. Subgroup E viruses are usually spread genetically as DNA proviruses (often defective) in host germ cell genome, and are termed endogenous viruses. Several other families of endogenous viruses also exist, one of which, endogenous avian retrovirus (EAV), is related to Subgroup J ALV. Exogenous viruses, and sometimes endogenous viruses, can have detrimental effects on commercially important production traits. Exogenous viruses are currently controlled by virus eradication schemes. Reticuloendotheliosis virus, which lacks a viral oncogene, causes chronic B cell and T-cell lymphomas in chickens, and also chronic lymphomas in turkeys and other species of birds. An acutely transforming variant of REV, Strain T, carries a viral oncogene, and induces reticuloendotheliosis within a few days. In chickens and turkeys, REV spreads vertically and horizontally. No commercial control schemes are operated. In turkeys, LPDV infection has occurred in several countries, where it caused a lymphoproliferative disease of uncertain nature.", "author" : [ { "dropping-particle" : "", "family" : "Payne", "given" : "L N", "non-dropping-particle" : "", "parse-names" : false, "suffix" : "" } ], "container-title" : "Poultry science", "id" : "ITEM-1", "issue" : "8", "issued" : { "date-parts" : [ [ "1998", "8" ] ] }, "note" : "General information of diseases caused by retroviruses. States that ALV subgroups are divided by envelope properties \u2013 nucl seq of the env gene and aa seq of the SU (gp85) protein \u2013 defines the receptor needed for mediated endocytosis. \nALV-E loci do not induce tumours due to weak promoter enhancement by the LTRs.", "page" : "1204-12", "title" : "Retrovirus-induced disease in poultry.", "type" : "article-journal", "volume" : "77" }, "uris" : [ "http://www.mendeley.com/documents/?uuid=dbcb9815-f64c-4637-8b5e-be89346c2589" ] }, { "id" : "ITEM-2", "itemData" : { "DOI" : "10.1080/0307945002001676", "abstract" : "Avian leukosis virus (ALV) is the most common naturally occurring avian retrovirus that can cause a variety of neoplastic disease conditions in chickens. In addition to causing neoplasia, ALV is known to be associated with reduced productivity and other production problems in affected flocks. Biological and molecular assays for the detection of ALV are very useful in identification and classification of new isolates, safety testing of vaccines and in testing pathogen-free and other breeder flocks for freedom of virus infection. However, such assays are not particularly helpful in the diagnosis of virus-induced neoplastic disease of poultry, as avian oncogenic viruses are widespread and infection in the absence of tumor formation is common. Current technology based on molecular and antigenic characteristics of the virus is being used to develop more sensitive and specific procedures for isolation and identification of ALV. This review is primarily focused on the discussion of current technology most commonly used in isolation and identification of ALV associated with clinical disease in chickens.", "author" : [ { "dropping-particle" : "", "family" : "Fadly", "given" : "AM", "non-dropping-particle" : "", "parse-names" : false, "suffix" : "" } ], "container-title" : "Avian Pathology", "id" : "ITEM-2", "issue" : "6", "issued" : { "date-parts" : [ [ "2000" ] ] }, "note" : "p27 is a structural polypeptide, is the most abundant of these types in both exo and endo ALV. It is within the gag gene.\n\n\np27 assays cannot be used to differentiate between exo and endo as both groups have them - they are group specific to ALVs. However, in some cases dilution may be used to suggest difference between the two.\n\n\nELISA-ALV is the most commonly used test. It, like all other similar tests for ALV, require chicken embryo fibroblasts (CEFs). Other samples come from blood etc.\n\n\nBiological and molecular assays can tell the difference between exo and endo ALV, but the p27 does not differentiate.", "page" : "529-535", "title" : "Isolation and identification of avian leukosis viruses: a review", "type" : "article-journal", "volume" : "29" }, "uris" : [ "http://www.mendeley.com/documents/?uuid=c7699a06-3e29-4bd9-ab73-4f0cb41d45b1" ] }, { "id" : "ITEM-3", "itemData" : { "DOI" : "10.1080/03079457.2011.646237", "ISSN" : "1465-3338", "PMID" : "22845317", "abstract" : "The present review is aimed at the non-specialist reader and is one of a number being written on important diseases of poultry to celebrate the 40th anniversary of the birth of Avian Pathology, the journal of the World Veterinary Poultry Association. The diseases of the avian leukosis complex have a number of features of distinction. They were the first neoplastic diseases in any species to be shown, 100 years ago, to be transmissible and caused by viruses, and have consequently been studied extensively by biomedical scientists as models for the role of viruses in cancer. They also became, from around the 1920s, the major cause of mortality and economic loss to the developed poultry industry, and were studied by agricultural scientists searching to understand and control them. The remit of the review is to cover research carried out over the 40 years since 1971, when the journal was founded. In this review on avian leukosis, an introductory summary is given of knowledge acquired over the preceding 60 years. Subsequently a selection is provided of discoveries, both fundamental and more applied, that seem to us to be of particular importance and interest. Much of the work was carried out by biomedical scientists interested in cancer. Probably the most significant was the discovery in the avian retroviruses of oncogenes that cause leukosis and other tumours and of their origin from proto-oncogenes in normal cells. These oncogenes are involved in cancer in many species, including chickens and humans. Other work was performed by agricultural scientists interested in poultry disease. Interests of the two groups have overlapped, particularly as a result of a shift of emphasis to molecular biology research.", "author" : [ { "dropping-particle" : "", "family" : "Payne", "given" : "L N", "non-dropping-particle" : "", "parse-names" : false, "suffix" : "" }, { "dropping-particle" : "", "family" : "Nair", "given" : "V", "non-dropping-particle" : "", "parse-names" : false, "suffix" : "" } ], "container-title" : "Avian pathology : journal of the W.V.P.A", "id" : "ITEM-3", "issue" : "1", "issued" : { "date-parts" : [ [ "2012", "1" ] ] }, "note" : "Broad overview \u2013 nice as an introduction to the subject. Starts with Ev genes and then moves on to detrimental effects of ev21, but only briefly. Last chunk is all about ALV-J and its spread.", "page" : "11-19", "title" : "The long view: 40 years of avian leukosis research.", "type" : "article-journal", "volume" : "41" }, "uris" : [ "http://www.mendeley.com/documents/?uuid=42cb0588-e47e-49f5-a783-3501c75ac896" ] } ], "mendeley" : { "formattedCitation" : "(Payne 1998; Fadly 2000; Payne &amp; Nair 2012)", "plainTextFormattedCitation" : "(Payne 1998; Fadly 2000; Payne &amp; Nair 2012)", "previouslyFormattedCitation" : "(Payne 1998; Fadly 2000; Payne &amp; Nair 2012)" }, "properties" : { "noteIndex" : 0 }, "schema" : "https://github.com/citation-style-language/schema/raw/master/csl-citation.json" }</w:instrText>
      </w:r>
      <w:r>
        <w:fldChar w:fldCharType="separate"/>
      </w:r>
      <w:r w:rsidRPr="00B52699">
        <w:rPr>
          <w:noProof/>
        </w:rPr>
        <w:t>(Payne 1998; Fadly 2000; Payne &amp; Nair 2012)</w:t>
      </w:r>
      <w:r>
        <w:fldChar w:fldCharType="end"/>
      </w:r>
      <w:r>
        <w:t xml:space="preserve">, and whilst its spread has largely been controlled in Europe and North America, it is still a recurrent issue in Asia where secondary ALV-J/ALVE recombinants </w:t>
      </w:r>
      <w:r>
        <w:fldChar w:fldCharType="begin" w:fldLock="1"/>
      </w:r>
      <w:r>
        <w:instrText>ADDIN CSL_CITATION { "citationItems" : [ { "id" : "ITEM-1", "itemData" : { "DOI" : "10.1080/03079457.2011.560932", "ISSN" : "1465-3338", "PMID" : "21711186", "abstract" : "Two natural recombinant avian leukosis viruses (ALVs) were isolated from Chinese commercial egg-type chickens in 2009, which suffered from haemangiomas and myelocytomas. Sequence analysis of the complete proviral genomes revealed several unique genetic characteristics of the present two isolates, demonstrating that the two viruses were derived from recombination between earlier Chinese ALV-J and endogenous virus sequences. The two recombinant viruses presented typical genetic organization of replication-competent genus Alpharetrovirus, and the gag and pol genes were well conserved with those of ALVs. The env genes of the two viruses were composed of the internal identical sequences (about 240 bp) of endogenous viruses, and the rest of the sequence belonged to subgroup J ALVs. The long terminal repeats of the two viruses were more closely related to HPRS-103 and earlier Chinese ALV-J than other subgroup ALVs, and multiple transcription regulatory elements of ALV-J were highly conserved. In addition, the two viruses shared an almost identical 3'-untranslated region (UTR) sequence with earlier Chinese ALV-J strains and the US strain 4817, containing a ~127 bp deletion in the E element region. However, further comparison with endogenous ALV indicated that the 3'-UTR sequences with ~127 bp deletion of ALV-J were most probably derived from endogenous viruses by recombination. These results suggested that the two isolates can be characterized as recombinant ALV-J with the internal env gene and 3'-UTR sequence of endogenous ALV.", "author" : [ { "dropping-particle" : "", "family" : "Liu", "given" : "Chaonan", "non-dropping-particle" : "", "parse-names" : false, "suffix" : "" }, { "dropping-particle" : "", "family" : "Zheng", "given" : "Shimin", "non-dropping-particle" : "", "parse-names" : false, "suffix" : "" }, { "dropping-particle" : "", "family" : "Wang", "given" : "Yongqiang", "non-dropping-particle" : "", "parse-names" : false, "suffix" : "" }, { "dropping-particle" : "", "family" : "Jing", "given" : "Long", "non-dropping-particle" : "", "parse-names" : false, "suffix" : "" }, { "dropping-particle" : "", "family" : "Gao", "given" : "Honglei", "non-dropping-particle" : "", "parse-names" : false, "suffix" : "" }, { "dropping-particle" : "", "family" : "Gao", "given" : "Yulong", "non-dropping-particle" : "", "parse-names" : false, "suffix" : "" }, { "dropping-particle" : "", "family" : "Qi", "given" : "Xiaole", "non-dropping-particle" : "", "parse-names" : false, "suffix" : "" }, { "dropping-particle" : "", "family" : "Qin", "given" : "Liting", "non-dropping-particle" : "", "parse-names" : false, "suffix" : "" }, { "dropping-particle" : "", "family" : "Pan", "given" : "Wei", "non-dropping-particle" : "", "parse-names" : false, "suffix" : "" }, { "dropping-particle" : "", "family" : "Wang", "given" : "Xiaomei", "non-dropping-particle" : "", "parse-names" : false, "suffix" : "" } ], "container-title" : "Avian pathology : journal of the W.V.P.A", "id" : "ITEM-1", "issue" : "3", "issued" : { "date-parts" : [ [ "2011", "6" ] ] }, "note" : "ALV-A is most common, but ALV-B and ALV-J are also quite common. Subgroups C and D appear quite rare. ALV-J arose from recombination between an ALV-A and an endogenous ALV sequence (HPRS-103 was the protype J and was a recombination between an ALV-A and EAV-HP). These viruses appeared in the 1980s and have been a prevalent issue in commercial bird populations ever since. It is most prevalent in broiler populations, but has had an impact in egg laying populations as well, at a global scale. \n\n\nALV-J appears quite genetically unstable. There have been more cases of recombination allowing a diverse range of subtype J viruses to appear with novel physiological effects. \nThis study isolates two further ALV-J viruses which, under analysis, have been shown to be a secondary recombination between an existing ALV-J and another ERV. This gives the sequence ALV-A, and two different ERV signals. The LTRs appear to have been retained from the 'original' ALV-J with the ERV signals appearing in the env and gag regions of the internal domain.", "page" : "269-75", "title" : "Detection and molecular characterization of recombinant avian leukosis viruses in commercial egg-type chickens in China.", "type" : "article-journal", "volume" : "40" }, "uris" : [ "http://www.mendeley.com/documents/?uuid=2c72f9ed-d340-4b86-b83b-86c7a7375521" ] } ], "mendeley" : { "formattedCitation" : "(Liu et al. 2011)", "plainTextFormattedCitation" : "(Liu et al. 2011)", "previouslyFormattedCitation" : "(Liu et al. 2011)" }, "properties" : { "noteIndex" : 0 }, "schema" : "https://github.com/citation-style-language/schema/raw/master/csl-citation.json" }</w:instrText>
      </w:r>
      <w:r>
        <w:fldChar w:fldCharType="separate"/>
      </w:r>
      <w:r w:rsidRPr="00B52699">
        <w:rPr>
          <w:noProof/>
        </w:rPr>
        <w:t>(Liu et al. 2011)</w:t>
      </w:r>
      <w:r>
        <w:fldChar w:fldCharType="end"/>
      </w:r>
      <w:r>
        <w:t xml:space="preserve"> and acutely transforming strains </w:t>
      </w:r>
      <w:r>
        <w:fldChar w:fldCharType="begin" w:fldLock="1"/>
      </w:r>
      <w:r>
        <w:instrText>ADDIN CSL_CITATION { "citationItems" : [ { "id" : "ITEM-1", "itemData" : { "DOI" : "10.1128/JVI.75.9.4219-4225.2001", "ISSN" : "0022-538X", "abstract" : "Avian leukosis virus subgroup J (ALV-J), the most recent member of the avian retroviruses, is predominantly associated with myeloid leukosis in meat-type chickens. We have previously demonstrated that the acutely transforming virus strain 966, isolated from an ALV-J-induced tumor, transformed peripheral blood monocyte and bone marrow cells in vitro and induced rapid-onset tumors, suggesting transduction of oncogenes (L. N. Payne, A. M. Gillespie, and K. Howes, Avian Dis. 37:438-450, 1993). In order to understand the molecular basis for the rapid transformation and tumor induction, we have determined the complete genomic structure of the provirus of the 966 strain. The sequence of the 966 provirus clone revealed that its genome is closely related to that of HPRS-103 but is defective, with the entire pol and parts of the gag and env genes replaced by a 1,491-bp sequence representing exons 2 and 3 of the c-myc gene. LSTC-IAH30, a stable cell line derived from turkey monocyte cultures transformed by the 966 strain of ALV-J, expressed a 72-kDa Gag-Myc fusion protein. The identification of the myc gene in 966 virus as well as in several other ALV-J-induced tumors suggested that the induction of myeloid tumors by this new subgroup of ALV occurs through mechanisms involving the activation of the c-myc oncogene", "author" : [ { "dropping-particle" : "", "family" : "Chesters", "given" : "P. M.", "non-dropping-particle" : "", "parse-names" : false, "suffix" : "" }, { "dropping-particle" : "", "family" : "Howes", "given" : "K.", "non-dropping-particle" : "", "parse-names" : false, "suffix" : "" }, { "dropping-particle" : "", "family" : "McKay", "given" : "J. C.", "non-dropping-particle" : "", "parse-names" : false, "suffix" : "" }, { "dropping-particle" : "", "family" : "Payne", "given" : "L. N.", "non-dropping-particle" : "", "parse-names" : false, "suffix" : "" }, { "dropping-particle" : "", "family" : "Venugopal", "given" : "K.", "non-dropping-particle" : "", "parse-names" : false, "suffix" : "" } ], "container-title" : "Journal of Virology", "id" : "ITEM-1", "issue" : "9", "issued" : { "date-parts" : [ [ "2001" ] ] }, "page" : "4219-4225", "title" : "Acutely Transforming Avian Leukosis Virus Subgroup J Strain 966: Defective Genome Encodes a 72-Kilodalton Gag-Myc Fusion Protein", "type" : "article-journal", "volume" : "75" }, "uris" : [ "http://www.mendeley.com/documents/?uuid=81522eff-cbaa-4b4f-9cd2-3f40d79db4e5" ] } ], "mendeley" : { "formattedCitation" : "(Chesters et al. 2001)", "plainTextFormattedCitation" : "(Chesters et al. 2001)", "previouslyFormattedCitation" : "(Chesters et al. 2001)" }, "properties" : { "noteIndex" : 0 }, "schema" : "https://github.com/citation-style-language/schema/raw/master/csl-citation.json" }</w:instrText>
      </w:r>
      <w:r>
        <w:fldChar w:fldCharType="separate"/>
      </w:r>
      <w:r w:rsidRPr="00B52699">
        <w:rPr>
          <w:noProof/>
        </w:rPr>
        <w:t>(Chesters et al. 2001)</w:t>
      </w:r>
      <w:r>
        <w:fldChar w:fldCharType="end"/>
      </w:r>
      <w:r>
        <w:t xml:space="preserve"> have been identified.</w:t>
      </w:r>
      <w:r w:rsidR="00850357">
        <w:t xml:space="preserve"> The potential for novel recombinant retroviruses, even derived from sequences which have been in the genome for millions of years, highlights the need for a full characterisation of </w:t>
      </w:r>
      <w:r w:rsidR="00BC192B">
        <w:t>ERVs</w:t>
      </w:r>
      <w:r w:rsidR="00850357">
        <w:t xml:space="preserve"> in the chicken, including documenting the observed diversity between populations. </w:t>
      </w:r>
    </w:p>
    <w:p w14:paraId="726BA88D" w14:textId="77777777" w:rsidR="007F2ED3" w:rsidRDefault="007F2ED3" w:rsidP="00391005">
      <w:pPr>
        <w:pStyle w:val="ListParagraph"/>
      </w:pPr>
    </w:p>
    <w:p w14:paraId="2619AB93" w14:textId="62392BF9" w:rsidR="00141710" w:rsidRDefault="001A1B24" w:rsidP="001A1B24">
      <w:pPr>
        <w:pStyle w:val="Heading2"/>
      </w:pPr>
      <w:bookmarkStart w:id="64" w:name="_Toc485721567"/>
      <w:bookmarkStart w:id="65" w:name="_Toc486787147"/>
      <w:bookmarkStart w:id="66" w:name="_Toc486787295"/>
      <w:r>
        <w:t>The scope of this PhD project</w:t>
      </w:r>
      <w:bookmarkEnd w:id="64"/>
      <w:bookmarkEnd w:id="65"/>
      <w:bookmarkEnd w:id="66"/>
    </w:p>
    <w:p w14:paraId="170557F4" w14:textId="12CEBF4E" w:rsidR="00141710" w:rsidRDefault="00003BCA" w:rsidP="00391005">
      <w:pPr>
        <w:pStyle w:val="ListParagraph"/>
      </w:pPr>
      <w:r>
        <w:t>This project has two broad aims. Firstly, an updated characterisation of LTR retrotransposon-derived elements in the chicken genome, and an assessment</w:t>
      </w:r>
      <w:r w:rsidR="00662B8E">
        <w:t xml:space="preserve"> of how this content compares with</w:t>
      </w:r>
      <w:r>
        <w:t xml:space="preserve"> that observed in other avian genomes. This will involve the critical assessment of existing LTR retrotransposon detection methodologies and the creation of a new bioinformatic annotation pipeline, LocaTR, to identify these elements</w:t>
      </w:r>
      <w:r w:rsidR="00A26C76">
        <w:t xml:space="preserve"> (Chapter 3)</w:t>
      </w:r>
      <w:r>
        <w:t>. The intactness, distribution and expression potential of the chicken LTR retrotra</w:t>
      </w:r>
      <w:r w:rsidR="0098577F">
        <w:t>nsposons will</w:t>
      </w:r>
      <w:r>
        <w:t xml:space="preserve"> be assessed to give an accurate snapshot of the abundance of these elements. The LocaTR pipeline will then be applied to seventy-three sauropsid genomes, including six reptilian outgroups, to identify LTR retrotransposons across the lineage, assess any lineage-specific expans</w:t>
      </w:r>
      <w:r w:rsidR="005F1C84">
        <w:t>ions or contractions, and evaluate</w:t>
      </w:r>
      <w:r>
        <w:t xml:space="preserve"> the impact of genome assembly quality on LTR retrotransposon detection</w:t>
      </w:r>
      <w:r w:rsidR="00A26C76">
        <w:t xml:space="preserve"> (Chapter 4)</w:t>
      </w:r>
      <w:r>
        <w:t>.</w:t>
      </w:r>
    </w:p>
    <w:p w14:paraId="41A5F316" w14:textId="25184FD9" w:rsidR="00003BCA" w:rsidRDefault="00003BCA" w:rsidP="00391005">
      <w:pPr>
        <w:pStyle w:val="ListParagraph"/>
      </w:pPr>
      <w:r>
        <w:lastRenderedPageBreak/>
        <w:t>Secondly, a new bioinf</w:t>
      </w:r>
      <w:r w:rsidR="0098577F">
        <w:t>ormatic pipeline will be described</w:t>
      </w:r>
      <w:r>
        <w:t xml:space="preserve"> to identify ALVE insertions f</w:t>
      </w:r>
      <w:r w:rsidR="008A7110">
        <w:t>rom next generation sequencing</w:t>
      </w:r>
      <w:r>
        <w:t xml:space="preserve"> data, to characterise the diversity of these youngest chicken ERVs and assess their potential impact on host genome stability and physiology</w:t>
      </w:r>
      <w:r w:rsidR="00A26C76">
        <w:t xml:space="preserve"> (Chapter 6)</w:t>
      </w:r>
      <w:r>
        <w:t>. The pipeline will be tested and validated by analysing eight elite layer lines from Hy-Line International, developing diagnostic assays for each of the identified ALVEs,</w:t>
      </w:r>
      <w:r w:rsidR="0098577F">
        <w:t xml:space="preserve"> and</w:t>
      </w:r>
      <w:r>
        <w:t xml:space="preserve"> sequencing each </w:t>
      </w:r>
      <w:r w:rsidR="00C85A9A">
        <w:t xml:space="preserve">ALVE </w:t>
      </w:r>
      <w:r>
        <w:t>insert</w:t>
      </w:r>
      <w:r w:rsidR="0098577F">
        <w:t>. The potential phenotypic effects will be assessed, and potential methods identified for mediating the detrimental impacts of these insertions</w:t>
      </w:r>
      <w:r w:rsidR="005F1C84">
        <w:t xml:space="preserve"> (Chapter 6)</w:t>
      </w:r>
      <w:r w:rsidR="00C85A9A">
        <w:t xml:space="preserve">. The wider ALVE diversity </w:t>
      </w:r>
      <w:r w:rsidR="0098577F">
        <w:t>in chicken populations will</w:t>
      </w:r>
      <w:r w:rsidR="00C85A9A">
        <w:t xml:space="preserve"> be assessed by applying the pipeline to multiple datasets from commercial stocks, indigenous breeds, and wild RJF</w:t>
      </w:r>
      <w:r w:rsidR="00A26C76">
        <w:t xml:space="preserve"> (Chapter 7)</w:t>
      </w:r>
      <w:r w:rsidR="005F1C84">
        <w:t>.</w:t>
      </w:r>
    </w:p>
    <w:p w14:paraId="7CC0DB81" w14:textId="3D12A93D" w:rsidR="00C85A9A" w:rsidRDefault="00C85A9A" w:rsidP="00391005">
      <w:pPr>
        <w:pStyle w:val="ListParagraph"/>
      </w:pPr>
      <w:r>
        <w:t>Together, this will enable an updated annotation of transposable elements capable of insertional mutagenesis, recombination with exogenous retroviruses, and disruption of commercially relevant traits, with the aim of mitigating their detrimental effects on productivity and animal welfare.</w:t>
      </w:r>
    </w:p>
    <w:p w14:paraId="0B45C7DE" w14:textId="3869C77E" w:rsidR="005F3BD5" w:rsidRDefault="005F3BD5" w:rsidP="00391005">
      <w:pPr>
        <w:pStyle w:val="ListParagraph"/>
      </w:pPr>
    </w:p>
    <w:p w14:paraId="4D16F9A6" w14:textId="0372EB00" w:rsidR="00FE2022" w:rsidRDefault="00FE2022" w:rsidP="00391005">
      <w:pPr>
        <w:pStyle w:val="ListParagraph"/>
      </w:pPr>
    </w:p>
    <w:p w14:paraId="6AAE097B" w14:textId="47F13DC6" w:rsidR="00FE2022" w:rsidRDefault="00FE2022" w:rsidP="00391005">
      <w:pPr>
        <w:pStyle w:val="ListParagraph"/>
      </w:pPr>
    </w:p>
    <w:p w14:paraId="0CDBA854" w14:textId="4ED4F920" w:rsidR="00FE2022" w:rsidRDefault="00FE2022" w:rsidP="00391005">
      <w:pPr>
        <w:pStyle w:val="ListParagraph"/>
      </w:pPr>
    </w:p>
    <w:p w14:paraId="5B6616CB" w14:textId="3F15BC2E" w:rsidR="00FE2022" w:rsidRDefault="00FE2022" w:rsidP="00391005">
      <w:pPr>
        <w:pStyle w:val="ListParagraph"/>
      </w:pPr>
    </w:p>
    <w:p w14:paraId="3FE0F56C" w14:textId="32EC730A" w:rsidR="00FE2022" w:rsidRDefault="00FE2022" w:rsidP="00391005">
      <w:pPr>
        <w:pStyle w:val="ListParagraph"/>
      </w:pPr>
    </w:p>
    <w:p w14:paraId="340615E8" w14:textId="00C6B9F5" w:rsidR="00FE2022" w:rsidRDefault="00FE2022" w:rsidP="00391005">
      <w:pPr>
        <w:pStyle w:val="ListParagraph"/>
      </w:pPr>
    </w:p>
    <w:p w14:paraId="62D89AE8" w14:textId="56A40557" w:rsidR="00FE2022" w:rsidRDefault="00FE2022" w:rsidP="00391005">
      <w:pPr>
        <w:pStyle w:val="ListParagraph"/>
      </w:pPr>
    </w:p>
    <w:p w14:paraId="6D6DB4AB" w14:textId="20CC54D6" w:rsidR="00FE2022" w:rsidRDefault="00FE2022" w:rsidP="00391005">
      <w:pPr>
        <w:pStyle w:val="ListParagraph"/>
      </w:pPr>
    </w:p>
    <w:p w14:paraId="59DF5BF3" w14:textId="0F053936" w:rsidR="00FE2022" w:rsidRDefault="00FE2022" w:rsidP="00391005">
      <w:pPr>
        <w:pStyle w:val="ListParagraph"/>
      </w:pPr>
    </w:p>
    <w:p w14:paraId="56707CF2" w14:textId="008432D5" w:rsidR="00FE2022" w:rsidRDefault="00FE2022" w:rsidP="00391005">
      <w:pPr>
        <w:pStyle w:val="ListParagraph"/>
      </w:pPr>
    </w:p>
    <w:p w14:paraId="6A9EB8AB" w14:textId="0B5F629C" w:rsidR="00FE2022" w:rsidRDefault="00FE2022" w:rsidP="00391005">
      <w:pPr>
        <w:pStyle w:val="ListParagraph"/>
      </w:pPr>
    </w:p>
    <w:p w14:paraId="6556B20B" w14:textId="77777777" w:rsidR="00FE2022" w:rsidRDefault="00FE2022" w:rsidP="00391005">
      <w:pPr>
        <w:pStyle w:val="ListParagraph"/>
      </w:pPr>
    </w:p>
    <w:p w14:paraId="17E3A250" w14:textId="77777777" w:rsidR="00141710" w:rsidRDefault="00141710" w:rsidP="00391005">
      <w:pPr>
        <w:pStyle w:val="ListParagraph"/>
        <w:sectPr w:rsidR="00141710" w:rsidSect="001B4326">
          <w:footerReference w:type="default" r:id="rId19"/>
          <w:pgSz w:w="11906" w:h="16838"/>
          <w:pgMar w:top="1134" w:right="1418" w:bottom="2268" w:left="2268" w:header="709" w:footer="1066" w:gutter="0"/>
          <w:pgNumType w:start="1"/>
          <w:cols w:space="708"/>
          <w:docGrid w:linePitch="360"/>
        </w:sectPr>
      </w:pPr>
    </w:p>
    <w:p w14:paraId="5CEA4798" w14:textId="41CA8B69" w:rsidR="000C520D" w:rsidRDefault="00C54CB1" w:rsidP="00920FC5">
      <w:pPr>
        <w:pStyle w:val="Heading1"/>
      </w:pPr>
      <w:r>
        <w:lastRenderedPageBreak/>
        <w:t xml:space="preserve"> </w:t>
      </w:r>
      <w:bookmarkStart w:id="67" w:name="_Toc485721568"/>
      <w:bookmarkStart w:id="68" w:name="_Toc486787148"/>
      <w:bookmarkStart w:id="69" w:name="_Toc486787296"/>
      <w:r>
        <w:t>Materials and Methods (i)</w:t>
      </w:r>
      <w:bookmarkEnd w:id="67"/>
      <w:bookmarkEnd w:id="68"/>
      <w:bookmarkEnd w:id="69"/>
    </w:p>
    <w:p w14:paraId="1F47AEC2" w14:textId="2A32CB42" w:rsidR="00D74789" w:rsidRDefault="0095636A" w:rsidP="00D74789">
      <w:pPr>
        <w:pStyle w:val="ListParagraph"/>
      </w:pPr>
      <w:r>
        <w:t>This chapter outlines the methodology u</w:t>
      </w:r>
      <w:r w:rsidR="00525DAE">
        <w:t>sed for the next two</w:t>
      </w:r>
      <w:r>
        <w:t xml:space="preserve"> chapters. These chapters concern the identification of all LTR retrotransposons within assembled avian genomes, beginning with the annotation of the chicken. This involves the development of a new identification pipeline to annotate these repetitive elements, and their full characterisation in terms of genomic distribution, age and intactness. </w:t>
      </w:r>
    </w:p>
    <w:p w14:paraId="5CC57C3E" w14:textId="0E85A85B" w:rsidR="00D74789" w:rsidRDefault="00944740" w:rsidP="00391005">
      <w:pPr>
        <w:pStyle w:val="ListParagraph"/>
      </w:pPr>
      <w:r>
        <w:t xml:space="preserve">In </w:t>
      </w:r>
      <w:r w:rsidR="00D74789">
        <w:t xml:space="preserve">this </w:t>
      </w:r>
      <w:bookmarkStart w:id="70" w:name="_Hlk497222140"/>
      <w:r w:rsidR="00D74789">
        <w:t xml:space="preserve">thesis ‘element’ refers to a single LTR retrotransposon. There may be multiple ‘copies’ of the same LTR retrotransposon </w:t>
      </w:r>
      <w:r>
        <w:t>in the genome (</w:t>
      </w:r>
      <w:r w:rsidR="00D74789">
        <w:t>classifie</w:t>
      </w:r>
      <w:r>
        <w:t>d by LTR retrotransposon family or retroviral genera)</w:t>
      </w:r>
      <w:r w:rsidR="00D74789">
        <w:t>, but</w:t>
      </w:r>
      <w:r>
        <w:t xml:space="preserve"> each</w:t>
      </w:r>
      <w:r w:rsidR="00D74789">
        <w:t xml:space="preserve"> integration is a separate ‘element’.</w:t>
      </w:r>
      <w:bookmarkEnd w:id="70"/>
    </w:p>
    <w:p w14:paraId="22D24958" w14:textId="77777777" w:rsidR="0095636A" w:rsidRPr="001D097B" w:rsidRDefault="0095636A" w:rsidP="00391005">
      <w:pPr>
        <w:pStyle w:val="ListParagraph"/>
        <w:rPr>
          <w:sz w:val="20"/>
        </w:rPr>
      </w:pPr>
    </w:p>
    <w:p w14:paraId="2773A865" w14:textId="6C78E9B7" w:rsidR="00D12630" w:rsidRDefault="00B806B4" w:rsidP="00D4225A">
      <w:pPr>
        <w:pStyle w:val="Heading2"/>
        <w:numPr>
          <w:ilvl w:val="1"/>
          <w:numId w:val="3"/>
        </w:numPr>
      </w:pPr>
      <w:bookmarkStart w:id="71" w:name="_Ref477158759"/>
      <w:bookmarkStart w:id="72" w:name="_Toc485721569"/>
      <w:bookmarkStart w:id="73" w:name="_Toc486787149"/>
      <w:bookmarkStart w:id="74" w:name="_Toc486787297"/>
      <w:r>
        <w:t>Development of LocaTR – an integrated identification pipeline for LTR retrotransposons, using the Galgal4 chicken genome assembly</w:t>
      </w:r>
      <w:bookmarkEnd w:id="71"/>
      <w:bookmarkEnd w:id="72"/>
      <w:bookmarkEnd w:id="73"/>
      <w:bookmarkEnd w:id="74"/>
    </w:p>
    <w:p w14:paraId="1B0FF09A" w14:textId="66BD1D80" w:rsidR="00B806B4" w:rsidRDefault="000362F6" w:rsidP="000362F6">
      <w:pPr>
        <w:pStyle w:val="Heading3"/>
      </w:pPr>
      <w:bookmarkStart w:id="75" w:name="_Toc485721570"/>
      <w:bookmarkStart w:id="76" w:name="_Toc486787150"/>
      <w:bookmarkStart w:id="77" w:name="_Toc486787298"/>
      <w:r>
        <w:t>Genomic resources</w:t>
      </w:r>
      <w:bookmarkEnd w:id="75"/>
      <w:bookmarkEnd w:id="76"/>
      <w:bookmarkEnd w:id="77"/>
    </w:p>
    <w:p w14:paraId="3B288342" w14:textId="58D1EF41" w:rsidR="00600158" w:rsidRDefault="00991004" w:rsidP="00391005">
      <w:pPr>
        <w:pStyle w:val="ListParagraph"/>
      </w:pPr>
      <w:r>
        <w:t>The Galgal4 chick</w:t>
      </w:r>
      <w:r w:rsidR="00CE49F7">
        <w:t>en genome assembly (GenBank: GCF</w:t>
      </w:r>
      <w:r w:rsidR="000C2448">
        <w:t>_000002315.3</w:t>
      </w:r>
      <w:r>
        <w:t>) was used for development of the LocaTR identification pipeline and for the analysis of chicken LTR retrotransposon content.</w:t>
      </w:r>
      <w:r w:rsidR="00164FCB">
        <w:t xml:space="preserve"> </w:t>
      </w:r>
    </w:p>
    <w:p w14:paraId="08D47326" w14:textId="77777777" w:rsidR="00944740" w:rsidRPr="001D097B" w:rsidRDefault="00944740" w:rsidP="00391005">
      <w:pPr>
        <w:pStyle w:val="ListParagraph"/>
        <w:rPr>
          <w:sz w:val="19"/>
          <w:szCs w:val="19"/>
        </w:rPr>
      </w:pPr>
    </w:p>
    <w:p w14:paraId="70F5BFD5" w14:textId="2300AB96" w:rsidR="00675D86" w:rsidRDefault="00675D86" w:rsidP="00675D86">
      <w:pPr>
        <w:pStyle w:val="Heading3"/>
      </w:pPr>
      <w:bookmarkStart w:id="78" w:name="_Toc485721571"/>
      <w:bookmarkStart w:id="79" w:name="_Toc486787151"/>
      <w:bookmarkStart w:id="80" w:name="_Toc486787299"/>
      <w:r>
        <w:t>Construction of the LocaTR LTR retrotransposon identification pipeline</w:t>
      </w:r>
      <w:bookmarkEnd w:id="78"/>
      <w:bookmarkEnd w:id="79"/>
      <w:bookmarkEnd w:id="80"/>
    </w:p>
    <w:p w14:paraId="1ECD51E1" w14:textId="0109B3B3" w:rsidR="00675D86" w:rsidRDefault="00675D86" w:rsidP="00391005">
      <w:pPr>
        <w:pStyle w:val="ListParagraph"/>
      </w:pPr>
      <w:r>
        <w:t xml:space="preserve">LocaTR, a unified LTR retrotransposon identification pipeline, was created to connect the disparate LTR retrotransposon identification methodologies outlined below in section </w:t>
      </w:r>
      <w:r>
        <w:fldChar w:fldCharType="begin" w:fldLock="1"/>
      </w:r>
      <w:r>
        <w:instrText xml:space="preserve"> REF _Ref477074486 \r \h </w:instrText>
      </w:r>
      <w:r>
        <w:fldChar w:fldCharType="separate"/>
      </w:r>
      <w:r w:rsidR="002C549C">
        <w:t>2.1.3</w:t>
      </w:r>
      <w:r>
        <w:fldChar w:fldCharType="end"/>
      </w:r>
      <w:r>
        <w:t xml:space="preserve"> into a clear, user friendly framework. The pipeline includes seventeen processing scripts directly run by the user, six accessory scripts cont</w:t>
      </w:r>
      <w:r w:rsidR="00373D7F">
        <w:t>aining standalone functions, a</w:t>
      </w:r>
      <w:r>
        <w:t xml:space="preserve"> reference</w:t>
      </w:r>
      <w:r w:rsidR="00373D7F">
        <w:t xml:space="preserve"> set of</w:t>
      </w:r>
      <w:r>
        <w:t xml:space="preserve"> LTR retrotransposon sequences, nucleotide and protein domain </w:t>
      </w:r>
      <w:r w:rsidR="00373D7F">
        <w:t>profile Hidden Markov Models (pHMMs)</w:t>
      </w:r>
      <w:r>
        <w:t xml:space="preserve">, and extensive documentation.  </w:t>
      </w:r>
    </w:p>
    <w:p w14:paraId="5A2370C9" w14:textId="1FF37A75" w:rsidR="00675D86" w:rsidRDefault="00675D86" w:rsidP="00391005">
      <w:pPr>
        <w:pStyle w:val="ListParagraph"/>
      </w:pPr>
      <w:r>
        <w:t xml:space="preserve">Most scripts were written in Python, with four of the position formatting scripts written in BASH. All scripts were written specifically for this pipeline, are extensively commented, and have built in help messages and error catches. All code can be found on the </w:t>
      </w:r>
      <w:r w:rsidRPr="00830A53">
        <w:t>CD accompanying this thesis</w:t>
      </w:r>
      <w:r>
        <w:t xml:space="preserve"> </w:t>
      </w:r>
      <w:r w:rsidR="001F12F6">
        <w:t xml:space="preserve">(Appendix 1) </w:t>
      </w:r>
      <w:r>
        <w:t xml:space="preserve">as well as online in the GitHub LocaTR repository: </w:t>
      </w:r>
      <w:r w:rsidRPr="00B46AAC">
        <w:t>https://github.com/andrewstephenmason/LocaTR</w:t>
      </w:r>
      <w:r>
        <w:t xml:space="preserve">. </w:t>
      </w:r>
    </w:p>
    <w:p w14:paraId="5D0E7CBD" w14:textId="30DE439B" w:rsidR="000362F6" w:rsidRDefault="00163E06" w:rsidP="000362F6">
      <w:pPr>
        <w:pStyle w:val="Heading3"/>
      </w:pPr>
      <w:bookmarkStart w:id="81" w:name="_Ref477074486"/>
      <w:bookmarkStart w:id="82" w:name="_Toc485721572"/>
      <w:bookmarkStart w:id="83" w:name="_Toc486787152"/>
      <w:bookmarkStart w:id="84" w:name="_Toc486787300"/>
      <w:r>
        <w:rPr>
          <w:i/>
        </w:rPr>
        <w:lastRenderedPageBreak/>
        <w:t xml:space="preserve">In silico </w:t>
      </w:r>
      <w:r>
        <w:t>methods for the identification of LTR retrotransposons</w:t>
      </w:r>
      <w:bookmarkEnd w:id="81"/>
      <w:bookmarkEnd w:id="82"/>
      <w:bookmarkEnd w:id="83"/>
      <w:bookmarkEnd w:id="84"/>
    </w:p>
    <w:p w14:paraId="6C2A1848" w14:textId="680AA45F" w:rsidR="005445F2" w:rsidRPr="004F00DC" w:rsidRDefault="004F00DC" w:rsidP="00D74789">
      <w:pPr>
        <w:pStyle w:val="ListParagraph"/>
      </w:pPr>
      <w:r>
        <w:t>Three homology based identification programs and four structure-based identification programs were</w:t>
      </w:r>
      <w:r w:rsidR="00675D86">
        <w:t xml:space="preserve"> implemented as part of LocaTR </w:t>
      </w:r>
      <w:r>
        <w:t>to annotate LTR retrotransposons. Both branches of identification strategies have their strengths</w:t>
      </w:r>
      <w:r w:rsidR="00164390">
        <w:t xml:space="preserve"> and weaknesses (outlined in section </w:t>
      </w:r>
      <w:r w:rsidR="00164390">
        <w:fldChar w:fldCharType="begin" w:fldLock="1"/>
      </w:r>
      <w:r w:rsidR="00164390">
        <w:instrText xml:space="preserve"> REF _Ref478204925 \r \h </w:instrText>
      </w:r>
      <w:r w:rsidR="00164390">
        <w:fldChar w:fldCharType="separate"/>
      </w:r>
      <w:r w:rsidR="002C549C">
        <w:t>3.1</w:t>
      </w:r>
      <w:r w:rsidR="00164390">
        <w:fldChar w:fldCharType="end"/>
      </w:r>
      <w:r w:rsidR="00164390">
        <w:t>)</w:t>
      </w:r>
      <w:r>
        <w:t xml:space="preserve">, and the individual programs also have their own biases. However, the combination of strategies and the use of multiple programs within each strategy was done to mitigate against those potential issues. </w:t>
      </w:r>
      <w:r w:rsidR="00F30150">
        <w:t>Other structure-based approaches are available, but the four used here have a wide use in the literature and no complete identification redundancy between methods.</w:t>
      </w:r>
    </w:p>
    <w:p w14:paraId="7430B515" w14:textId="77777777" w:rsidR="004F00DC" w:rsidRDefault="004F00DC" w:rsidP="00391005">
      <w:pPr>
        <w:pStyle w:val="ListParagraph"/>
      </w:pPr>
    </w:p>
    <w:p w14:paraId="0FD43C53" w14:textId="009BCDBE" w:rsidR="000362F6" w:rsidRDefault="000362F6" w:rsidP="000362F6">
      <w:pPr>
        <w:pStyle w:val="Heading4"/>
      </w:pPr>
      <w:r>
        <w:t>Homology-based identification</w:t>
      </w:r>
    </w:p>
    <w:p w14:paraId="5C1AF193" w14:textId="7FD8E9C8" w:rsidR="000362F6" w:rsidRDefault="00A926B1" w:rsidP="00391005">
      <w:pPr>
        <w:pStyle w:val="ListParagraph"/>
      </w:pPr>
      <w:r>
        <w:t xml:space="preserve">RepeatMasker v4.0.3 </w:t>
      </w:r>
      <w:r>
        <w:fldChar w:fldCharType="begin" w:fldLock="1"/>
      </w:r>
      <w:r>
        <w:instrText>ADDIN CSL_CITATION { "citationItems" : [ { "id" : "ITEM-1", "itemData" : { "author" : [ { "dropping-particle" : "", "family" : "Smit", "given" : "AFA", "non-dropping-particle" : "", "parse-names" : false, "suffix" : "" }, { "dropping-particle" : "", "family" : "Hubley", "given" : "R", "non-dropping-particle" : "", "parse-names" : false, "suffix" : "" }, { "dropping-particle" : "", "family" : "Green", "given" : "P", "non-dropping-particle" : "", "parse-names" : false, "suffix" : "" } ], "id" : "ITEM-1", "issue" : "Available: http://repeatmasker.org", "issued" : { "date-parts" : [ [ "2013" ] ] }, "title" : "RepeatMasker Open-4.0.3", "type" : "article-journal" }, "uris" : [ "http://www.mendeley.com/documents/?uuid=023ab28e-73a7-4726-8aea-79ec19c2421b" ] } ], "mendeley" : { "formattedCitation" : "(Smit et al. 2013)", "plainTextFormattedCitation" : "(Smit et al. 2013)", "previouslyFormattedCitation" : "(Smit et al. 2013)" }, "properties" : { "noteIndex" : 0 }, "schema" : "https://github.com/citation-style-language/schema/raw/master/csl-citation.json" }</w:instrText>
      </w:r>
      <w:r>
        <w:fldChar w:fldCharType="separate"/>
      </w:r>
      <w:r w:rsidRPr="00A926B1">
        <w:rPr>
          <w:noProof/>
        </w:rPr>
        <w:t>(Smit et al. 2013)</w:t>
      </w:r>
      <w:r>
        <w:fldChar w:fldCharType="end"/>
      </w:r>
      <w:r>
        <w:t xml:space="preserve"> analysi</w:t>
      </w:r>
      <w:r w:rsidR="002078CE">
        <w:t>s was performed on Galgal4 with</w:t>
      </w:r>
      <w:r>
        <w:t xml:space="preserve"> default settings and also by specifying the ‘-species’ flag as ‘chicken’ and then as ‘vertebrates’. Under default settings, RepeatMasker uses the primate RepBase libraries </w:t>
      </w:r>
      <w:r>
        <w:fldChar w:fldCharType="begin" w:fldLock="1"/>
      </w:r>
      <w:r w:rsidR="009451EA">
        <w:instrText>ADDIN CSL_CITATION { "citationItems" : [ { "id" : "ITEM-1", "itemData" : { "DOI" : "10.1159/000084979", "ISBN" : "1650961448", "ISSN" : "1424-859X", "PMID" : "16093699", "abstract" : "Repbase Update is a comprehensive database of repetitive elements from diverse eukaryotic organisms. Currently, it contains over 3600 annotated sequences representing different families and subfamilies of repeats, many of which are unreported anywhere else. Each sequence is accompanied by a short description and references to the original contributors. Repbase Update includes Repbase Reports, an electronic journal publishing newly discovered transposable elements, and the Transposon Pub, a web-based browser of selected chromosomal maps of transposable elements. Sequences from Repbase Update are used to screen and annotate repetitive elements using programs such as Censor and RepeatMasker. Repbase Update is available on the worldwide web at http://www.girinst.org/Repbase_Update.html.", "author" : [ { "dropping-particle" : "", "family" : "Jurka", "given" : "J", "non-dropping-particle" : "", "parse-names" : false, "suffix" : "" }, { "dropping-particle" : "V", "family" : "Kapitonov", "given" : "V", "non-dropping-particle" : "", "parse-names" : false, "suffix" : "" }, { "dropping-particle" : "", "family" : "Pavlicek", "given" : "A", "non-dropping-particle" : "", "parse-names" : false, "suffix" : "" }, { "dropping-particle" : "", "family" : "Klonowski", "given" : "P", "non-dropping-particle" : "", "parse-names" : false, "suffix" : "" }, { "dropping-particle" : "", "family" : "Kohany", "given" : "O", "non-dropping-particle" : "", "parse-names" : false, "suffix" : "" }, { "dropping-particle" : "", "family" : "Walichiewicz", "given" : "J", "non-dropping-particle" : "", "parse-names" : false, "suffix" : "" } ], "container-title" : "Cytogenetic and genome research", "id" : "ITEM-1", "issued" : { "date-parts" : [ [ "2005", "1" ] ] }, "note" : "Read", "page" : "462-7", "title" : "Repbase Update, a database of eukaryotic repetitive elements.", "type" : "article-journal", "volume" : "110" }, "uris" : [ "http://www.mendeley.com/documents/?uuid=e115107c-047d-44c0-a505-3bea3f8ac7a2" ] } ], "mendeley" : { "formattedCitation" : "(Jurka et al. 2005)", "plainTextFormattedCitation" : "(Jurka et al. 2005)", "previouslyFormattedCitation" : "(Jurka et al. 2005)" }, "properties" : { "noteIndex" : 0 }, "schema" : "https://github.com/citation-style-language/schema/raw/master/csl-citation.json" }</w:instrText>
      </w:r>
      <w:r>
        <w:fldChar w:fldCharType="separate"/>
      </w:r>
      <w:r w:rsidRPr="00A926B1">
        <w:rPr>
          <w:noProof/>
        </w:rPr>
        <w:t>(Jurka et al. 2005)</w:t>
      </w:r>
      <w:r>
        <w:fldChar w:fldCharType="end"/>
      </w:r>
      <w:r>
        <w:t>, but the ‘-species’ flag directs RepeatMasker t</w:t>
      </w:r>
      <w:r w:rsidR="00C759A9">
        <w:t>o annotated repeats in specific</w:t>
      </w:r>
      <w:r>
        <w:t xml:space="preserve"> phylogenetic groups. In all cases the ‘-nolow’ flag was used to reduce computational effort by ignoring low complexity</w:t>
      </w:r>
      <w:r w:rsidR="00A32B36">
        <w:t xml:space="preserve"> DNA</w:t>
      </w:r>
      <w:r>
        <w:t xml:space="preserve"> </w:t>
      </w:r>
      <w:r w:rsidR="005F5441">
        <w:t xml:space="preserve">and simple </w:t>
      </w:r>
      <w:r w:rsidR="002A35E7">
        <w:t>repeats during masking</w:t>
      </w:r>
      <w:r>
        <w:t>. In addition, the three</w:t>
      </w:r>
      <w:r w:rsidR="005F5441">
        <w:t xml:space="preserve"> non-default sensitivity</w:t>
      </w:r>
      <w:r>
        <w:t xml:space="preserve"> settings of RepeatMasker</w:t>
      </w:r>
      <w:r w:rsidR="005F5441">
        <w:t xml:space="preserve"> were tested to compare total annotated repeat content against processing time.</w:t>
      </w:r>
      <w:r w:rsidR="00BA3D3B">
        <w:t xml:space="preserve"> </w:t>
      </w:r>
      <w:r w:rsidR="00B2006B">
        <w:t>Following testing of settings, LTR retrotransposon-annotated regions</w:t>
      </w:r>
      <w:r w:rsidR="002A35E7">
        <w:t xml:space="preserve"> were extracted using a custom BASH script. </w:t>
      </w:r>
    </w:p>
    <w:p w14:paraId="1FDF68C5" w14:textId="667961D0" w:rsidR="00BA3D3B" w:rsidRDefault="009451EA" w:rsidP="00391005">
      <w:pPr>
        <w:pStyle w:val="ListParagraph"/>
      </w:pPr>
      <w:r>
        <w:t xml:space="preserve">As well as using existing, generic RepBase libraries, a custom </w:t>
      </w:r>
      <w:r w:rsidR="00BA3D3B">
        <w:t>database of reference LTR retrot</w:t>
      </w:r>
      <w:r w:rsidR="0050298F">
        <w:t>ransposons was compiled from 717</w:t>
      </w:r>
      <w:r w:rsidR="00BA3D3B">
        <w:t xml:space="preserve"> single domain and full-length sequences</w:t>
      </w:r>
      <w:r w:rsidR="00A849CE">
        <w:t xml:space="preserve"> (</w:t>
      </w:r>
      <w:r w:rsidR="00982F0D">
        <w:t>Appendix 2: AF</w:t>
      </w:r>
      <w:r w:rsidR="001F12F6">
        <w:t>0</w:t>
      </w:r>
      <w:r w:rsidR="00982F0D">
        <w:t>1</w:t>
      </w:r>
      <w:r w:rsidR="00A849CE">
        <w:t>)</w:t>
      </w:r>
      <w:r>
        <w:t xml:space="preserve">. These were sourced from the </w:t>
      </w:r>
      <w:r>
        <w:rPr>
          <w:i/>
        </w:rPr>
        <w:t>Gallus</w:t>
      </w:r>
      <w:r>
        <w:t xml:space="preserve">-specific RepBase libraries and sequences from the Gypsy Database (GyDB) of Mobile Genetic Elements </w:t>
      </w:r>
      <w:r>
        <w:fldChar w:fldCharType="begin" w:fldLock="1"/>
      </w:r>
      <w:r w:rsidR="00B2006B">
        <w:instrText>ADDIN CSL_CITATION { "citationItems" : [ { "id" : "ITEM-1",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"ITEM-1", "issue" : "Database issue", "issued" : { "date-parts" : [ [ "2011", "1" ] ] }, "page" : "D70-4", "title" : "The Gypsy Database (GyDB) of mobile genetic elements: release 2.0.", "type" : "article-journal", "volume" : "39" }, "uris" : [ "http://www.mendeley.com/documents/?uuid=2201aeec-e22e-4c31-9b3c-c918eda40ebe" ] } ], "mendeley" : { "formattedCitation" : "(Llorens et al. 2011)", "plainTextFormattedCitation" : "(Llorens et al. 2011)", "previouslyFormattedCitation" : "(Llorens et al. 2011)" }, "properties" : { "noteIndex" : 0 }, "schema" : "https://github.com/citation-style-language/schema/raw/master/csl-citation.json" }</w:instrText>
      </w:r>
      <w:r>
        <w:fldChar w:fldCharType="separate"/>
      </w:r>
      <w:r w:rsidRPr="009451EA">
        <w:rPr>
          <w:noProof/>
        </w:rPr>
        <w:t>(Llorens et al. 2011)</w:t>
      </w:r>
      <w:r>
        <w:fldChar w:fldCharType="end"/>
      </w:r>
      <w:r>
        <w:t xml:space="preserve">, selected for diverse LTR retrotransposon phylogenetic coverage, from avian host species where possible. </w:t>
      </w:r>
      <w:r w:rsidR="00AD1C41">
        <w:t>These sequences were used as queries in local BLASTn and tBLASTx v2.2.28</w:t>
      </w:r>
      <w:r w:rsidR="00B2006B">
        <w:t xml:space="preserve"> </w:t>
      </w:r>
      <w:r w:rsidR="00B2006B">
        <w:fldChar w:fldCharType="begin" w:fldLock="1"/>
      </w:r>
      <w:r w:rsidR="00D4209A">
        <w:instrText>ADDIN CSL_CITATION { "citationItems" : [ { "id" : "ITEM-1", "itemData" : { "DOI" : "10.1016/S0022-2836(05)80360-2", "ISSN" : "0022-2836", "PMID" : "2231712", "abstract" : "A new approach to rapid sequence comparison, basic local alignment search tool (BLAST), directly approximates alignments that optimize a measure of local similarity, the maximal segment pair (MSP) score. Recent mathematical results on the stochastic properties of MSP scores allow an analysis of the performance of this method as well as the statistical significance of alignments it generates. The basic algorithm is simple and robust; it can be implemented in a number of ways and applied in a variety of contexts including straightforward DNA and protein sequence database searches, motif searches, gene identification searches, and in the analysis of multiple regions of similarity in long DNA sequences. In addition to its flexibility and tractability to mathematical analysis, BLAST is an order of magnitude faster than existing sequence comparison tools of comparable sensitivity.", "author" : [ { "dropping-particle" : "", "family" : "Altschul", "given" : "S F", "non-dropping-particle" : "", "parse-names" : false, "suffix" : "" }, { "dropping-particle" : "", "family" : "Gish", "given" : "W", "non-dropping-particle" : "", "parse-names" : false, "suffix" : "" }, { "dropping-particle" : "", "family" : "Miller", "given" : "W", "non-dropping-particle" : "", "parse-names" : false, "suffix" : "" }, { "dropping-particle" : "", "family" : "Myers", "given" : "E W", "non-dropping-particle" : "", "parse-names" : false, "suffix" : "" }, { "dropping-particle" : "", "family" : "Lipman", "given" : "D J", "non-dropping-particle" : "", "parse-names" : false, "suffix" : "" } ], "container-title" : "Journal of molecular biology", "id" : "ITEM-1", "issue" : "3", "issued" : { "date-parts" : [ [ "1990", "10", "5" ] ] }, "page" : "403-10", "title" : "Basic local alignment search tool.", "type" : "article-journal", "volume" : "215" }, "uris" : [ "http://www.mendeley.com/documents/?uuid=0188c6d8-06ae-4ebf-a9af-c569717e2063" ] } ], "mendeley" : { "formattedCitation" : "(Altschul et al. 1990)", "plainTextFormattedCitation" : "(Altschul et al. 1990)", "previouslyFormattedCitation" : "(Altschul et al. 1990)" }, "properties" : { "noteIndex" : 0 }, "schema" : "https://github.com/citation-style-language/schema/raw/master/csl-citation.json" }</w:instrText>
      </w:r>
      <w:r w:rsidR="00B2006B">
        <w:fldChar w:fldCharType="separate"/>
      </w:r>
      <w:r w:rsidR="00B2006B" w:rsidRPr="00B2006B">
        <w:rPr>
          <w:noProof/>
        </w:rPr>
        <w:t>(Altschul et al. 1990)</w:t>
      </w:r>
      <w:r w:rsidR="00B2006B">
        <w:fldChar w:fldCharType="end"/>
      </w:r>
      <w:r w:rsidR="00AD1C41">
        <w:t xml:space="preserve"> searches of Galgal4, using an E-value threshold of 10</w:t>
      </w:r>
      <w:r w:rsidR="00AD1C41">
        <w:rPr>
          <w:vertAlign w:val="superscript"/>
        </w:rPr>
        <w:t>-10</w:t>
      </w:r>
      <w:r w:rsidR="00AD1C41">
        <w:t>, with rejection of hits shorter than 100</w:t>
      </w:r>
      <w:r w:rsidR="00614DD6">
        <w:t xml:space="preserve"> </w:t>
      </w:r>
      <w:r w:rsidR="00AD1C41">
        <w:t>bp</w:t>
      </w:r>
      <w:r w:rsidR="00C759A9">
        <w:t xml:space="preserve"> </w:t>
      </w:r>
      <w:r w:rsidR="00C759A9">
        <w:fldChar w:fldCharType="begin" w:fldLock="1"/>
      </w:r>
      <w:r w:rsidR="008B29DC">
        <w:instrText>ADDIN CSL_CITATION { "citationItems" : [ { "id" : "ITEM-1", "itemData" : { "DOI" : "10.1371/journal.pgen.1001191", "ISSN" : "1553-7404", "PMID" : "21124940", "abstract" : "Integration into the nuclear genome of germ line cells can lead to vertical inheritance of retroviral genes as host alleles. For other viruses, germ line integration has only rarely been documented. Nonetheless, we identified endogenous viral elements (EVEs) derived from ten non-retroviral families by systematic in silico screening of animal genomes, including the first endogenous representatives of double-stranded RNA, reverse-transcribing DNA, and segmented RNA viruses, and the first endogenous DNA viruses in mammalian genomes. Phylogenetic and genomic analysis of EVEs across multiple host species revealed novel information about the origin and evolution of diverse virus groups. Furthermore, several of the elements identified here encode intact open reading frames or are expressed as mRNA. For one element in the primate lineage, we provide statistically robust evidence for exaptation. Our findings establish that genetic material derived from all known viral genome types and replication strategies can enter the animal germ line, greatly broadening the scope of paleovirological studies and indicating a more significant evolutionary role for gene flow from virus to animal genomes than has previously been recognized.", "author" : [ { "dropping-particle" : "", "family" : "Katzourakis", "given" : "Aris", "non-dropping-particle" : "", "parse-names" : false, "suffix" : "" }, { "dropping-particle" : "", "family" : "Gifford", "given" : "Robert J", "non-dropping-particle" : "", "parse-names" : false, "suffix" : "" } ], "container-title" : "PLoS genetics", "id" : "ITEM-1", "issue" : "11", "issued" : { "date-parts" : [ [ "2010", "11" ] ] }, "note" : "EVEs - endogenous viral elements\nUse &amp;lt;1x10-9 as a highly significant E value threshold for tBLASTn\n\n\nVast majorty of EVEs are ERVs - rtRNA viruses such as retroviruses, as their replication has an obligate step of entering the host genome. \nEVEs from other virus types (with different replicative strategies) are also found, but are much less common. This may be mediated by non-homologous recombination with host chromosomal DNA, or by interactions with retroelements (such as LINEs) in the host cell. \n\n\nAll EVEs are useful for the study of virus evolution - viruses are capable of rapid rates of nucleotide substitution, host switching, and lineage extinction - this limits what you can infer from contemporary isolates.\n\n\nFIGURE 1 is informative - shows how different viral groups could integrate as dsRNA into the host genome. It also suggests the likelihood of the different options. \n\n\nCreated a library of peptide sequences of viruses (not retroviruses) that infect mammals and used this list to screen 44 mammal genomes, 2 bird genomes (chicken and zebrafinch) and three vector species (3xmosquito and 1xtick). Data for full ORFs was submitted into existing EST libraries to try and find expression data from the appropriate organism. \n\n\nIdentified numerous matches in mammals and the insect vectors - identified dsRNA viruses (Reoviridae) and RNA+ve (positive sense RNA) viruses (Flaviviridae), as well as segmented (Orthomyxo-, Bunyav-) and non-segmented (Borna-, Filo- and Rhabdo-) RNA-ve viruses. The viral presence is consistent with being derived from mRNA (rather than genomic RNA) as all structures spanned a single viral transcript (or fragments thereof) - EVEs from different genes never appeared as contiguous sequences, so you can't know whether insertion came from the same virus, or even same period of infection. In mammals (not seen in insects) viral sequence was flanked by TSDs and 3' poly-A tails - consistent with LINE mediated retrotransposition of mRNA. \nAlso found significant matches to DNA viruses - ssDNA (Parvo- and Circo-) and rtDNA (Hepadna- the first ever identification as part of inherited genomic sequence). \n\n\nIdentification of EBLN-1 (a bornavirus-derived insert)(RNA-ve) in all primates, insert predating divergence of strepsirhine (lemurs etc) primates (~54MYA). ORFs are intact, likelihood of maintaining an ORF over this time period without purifying selection was &amp;lt;1x10-5. However, it no longer retains coding function - potential loss across pirmates relatively recently? Or it is close to something else that is being maintained by selection and the selective force is carrying across it?\n\n\nUnsurprisingly, there is better representation of certain virus groups than of others - likely reflecting a predisposition for germline integration for certain families. Viruses that establish persistent infection, or replicate within the nucleus are particularly well represented. \n\n\nAs they cannot propagate themselves throughout the genome, the dynamics of sequence growth, loss and fixation may be very different to those dynamics observed with ERVs. It is possible that EVEs can be totally lost from the genome through large scale deletions (as can ERVs), again there seems to be no mechanism for clean excision of this elements.", "page" : "e1001191", "title" : "Endogenous viral elements in animal genomes.", "type" : "article-journal", "volume" : "6" }, "uris" : [ "http://www.mendeley.com/documents/?uuid=96577b1b-e345-4bec-92d3-4b5b2d6fedba" ] } ], "mendeley" : { "formattedCitation" : "(Katzourakis &amp; Gifford 2010)", "plainTextFormattedCitation" : "(Katzourakis &amp; Gifford 2010)", "previouslyFormattedCitation" : "(Katzourakis &amp; Gifford 2010)" }, "properties" : { "noteIndex" : 0 }, "schema" : "https://github.com/citation-style-language/schema/raw/master/csl-citation.json" }</w:instrText>
      </w:r>
      <w:r w:rsidR="00C759A9">
        <w:fldChar w:fldCharType="separate"/>
      </w:r>
      <w:r w:rsidR="00C759A9" w:rsidRPr="00C759A9">
        <w:rPr>
          <w:noProof/>
        </w:rPr>
        <w:t>(Katzourakis &amp; Gifford 2010)</w:t>
      </w:r>
      <w:r w:rsidR="00C759A9">
        <w:fldChar w:fldCharType="end"/>
      </w:r>
      <w:r w:rsidR="002078CE">
        <w:t xml:space="preserve">. These positions were </w:t>
      </w:r>
      <w:r w:rsidR="00AD1C41">
        <w:t xml:space="preserve">combined with the </w:t>
      </w:r>
      <w:r w:rsidR="00A32B36">
        <w:t>locations</w:t>
      </w:r>
      <w:r w:rsidR="00B2006B">
        <w:t xml:space="preserve"> identified by RepeatMasker, and annotated sites were merged if they overlapped or were fewer than </w:t>
      </w:r>
      <w:r w:rsidR="00A32B36">
        <w:t>11</w:t>
      </w:r>
      <w:r w:rsidR="00614DD6">
        <w:t xml:space="preserve"> </w:t>
      </w:r>
      <w:r w:rsidR="00A32B36">
        <w:t xml:space="preserve">bp apart. </w:t>
      </w:r>
      <w:r w:rsidR="00A32B36">
        <w:lastRenderedPageBreak/>
        <w:t>Each identified putative sequence</w:t>
      </w:r>
      <w:r w:rsidR="002078CE">
        <w:t xml:space="preserve"> was</w:t>
      </w:r>
      <w:r w:rsidR="00B2006B">
        <w:t xml:space="preserve"> analysed</w:t>
      </w:r>
      <w:r w:rsidR="00A32B36">
        <w:t xml:space="preserve"> again </w:t>
      </w:r>
      <w:r w:rsidR="00B2006B">
        <w:t xml:space="preserve">with RepeatMasker, specifying the ‘-species vertebrates’ flag, and those locations with high homology to other repeat classes, such as Chicken Repeat 1 (CR1) LINE elements identified due to their </w:t>
      </w:r>
      <w:r w:rsidR="00B2006B">
        <w:rPr>
          <w:i/>
        </w:rPr>
        <w:t>reverse transcriptase</w:t>
      </w:r>
      <w:r w:rsidR="00B2006B">
        <w:t xml:space="preserve"> domain, were removed. </w:t>
      </w:r>
      <w:r w:rsidR="00A849CE">
        <w:t>Putative LTR retrotransposon sites were further checked using a reciprocal tBLASTx search against the custom LTR retrotransposon database.</w:t>
      </w:r>
      <w:r w:rsidR="002A35E7">
        <w:t xml:space="preserve"> This whole process was wrapped into Python scripts. </w:t>
      </w:r>
    </w:p>
    <w:p w14:paraId="5CCF8531" w14:textId="384265E2" w:rsidR="00A849CE" w:rsidRPr="00A849CE" w:rsidRDefault="00A849CE" w:rsidP="00391005">
      <w:pPr>
        <w:pStyle w:val="ListParagraph"/>
        <w:rPr>
          <w:i/>
        </w:rPr>
      </w:pPr>
      <w:r>
        <w:t xml:space="preserve">Additionally, ReDoSt v1.1 </w:t>
      </w:r>
      <w:r w:rsidR="00D4209A">
        <w:fldChar w:fldCharType="begin" w:fldLock="1"/>
      </w:r>
      <w:r w:rsidR="003C2764">
        <w:instrText>ADDIN CSL_CITATION { "citationItems" : [ { "id" : "ITEM-1",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"ITEM-1", "issue" : "1", "issued" : { "date-parts" : [ [ "2011", "1" ] ] }, "page" : "621", "publisher" : "BioMed Central Ltd", "title" : "Eukaryote DIRS1-like retrotransposons: an overview.", "type" : "article-journal", "volume" : "12" }, "uris" : [ "http://www.mendeley.com/documents/?uuid=eb273253-14b9-48d7-aca5-e76e38f87da6" ] } ], "mendeley" : { "formattedCitation" : "(Piedno\u00ebl et al. 2011)", "plainTextFormattedCitation" : "(Piedno\u00ebl et al. 2011)", "previouslyFormattedCitation" : "(Piedno\u00ebl et al. 2011)" }, "properties" : { "noteIndex" : 0 }, "schema" : "https://github.com/citation-style-language/schema/raw/master/csl-citation.json" }</w:instrText>
      </w:r>
      <w:r w:rsidR="00D4209A">
        <w:fldChar w:fldCharType="separate"/>
      </w:r>
      <w:r w:rsidR="00D4209A" w:rsidRPr="00D4209A">
        <w:rPr>
          <w:noProof/>
        </w:rPr>
        <w:t>(Piednoël et al. 2011)</w:t>
      </w:r>
      <w:r w:rsidR="00D4209A">
        <w:fldChar w:fldCharType="end"/>
      </w:r>
      <w:r>
        <w:t xml:space="preserve"> was used with default settings for the identification of the structurally divergent DIRS elements. Putative DIRS elements had to have an identifiable </w:t>
      </w:r>
      <w:r>
        <w:rPr>
          <w:i/>
        </w:rPr>
        <w:t>reverse transcriptase</w:t>
      </w:r>
      <w:r w:rsidR="00C759A9">
        <w:t xml:space="preserve"> domain</w:t>
      </w:r>
      <w:r>
        <w:t xml:space="preserve">, and either a recognisable </w:t>
      </w:r>
      <w:r>
        <w:rPr>
          <w:i/>
        </w:rPr>
        <w:t xml:space="preserve">methyl transferase </w:t>
      </w:r>
      <w:r>
        <w:t xml:space="preserve">or </w:t>
      </w:r>
      <w:r>
        <w:rPr>
          <w:i/>
        </w:rPr>
        <w:t>tyrosine recombinase</w:t>
      </w:r>
      <w:r>
        <w:t xml:space="preserve"> dom</w:t>
      </w:r>
      <w:r w:rsidR="00C759A9">
        <w:t>ain</w:t>
      </w:r>
      <w:r>
        <w:t>. DIRS element locations were extracted</w:t>
      </w:r>
      <w:r w:rsidR="002A35E7">
        <w:t xml:space="preserve"> using a custom Python script</w:t>
      </w:r>
      <w:r>
        <w:t>, including 350</w:t>
      </w:r>
      <w:r w:rsidR="00614DD6">
        <w:t xml:space="preserve"> </w:t>
      </w:r>
      <w:r>
        <w:t>bp of up- and down</w:t>
      </w:r>
      <w:r w:rsidR="002078CE">
        <w:t>-</w:t>
      </w:r>
      <w:r>
        <w:t xml:space="preserve">stream sequence </w:t>
      </w:r>
      <w:r w:rsidR="004A64D6">
        <w:t xml:space="preserve">to capture the inverted terminal repeats (ITRs). </w:t>
      </w:r>
    </w:p>
    <w:p w14:paraId="0F836CEF" w14:textId="77777777" w:rsidR="0095636A" w:rsidRDefault="0095636A" w:rsidP="00391005">
      <w:pPr>
        <w:pStyle w:val="ListParagraph"/>
      </w:pPr>
    </w:p>
    <w:p w14:paraId="10B281CD" w14:textId="77777777" w:rsidR="000362F6" w:rsidRDefault="000362F6" w:rsidP="000362F6">
      <w:pPr>
        <w:pStyle w:val="Heading4"/>
      </w:pPr>
      <w:r>
        <w:t>Structure-based identification</w:t>
      </w:r>
    </w:p>
    <w:p w14:paraId="2B2A5071" w14:textId="4439AD12" w:rsidR="000362F6" w:rsidRDefault="003C2764" w:rsidP="00391005">
      <w:pPr>
        <w:pStyle w:val="ListParagraph"/>
      </w:pPr>
      <w:r>
        <w:t>LTR_STRUC</w:t>
      </w:r>
      <w:r w:rsidR="00E4573F">
        <w:t xml:space="preserve"> (LS)</w:t>
      </w:r>
      <w:r>
        <w:t xml:space="preserve"> v1.1 </w:t>
      </w:r>
      <w:r>
        <w:fldChar w:fldCharType="begin" w:fldLock="1"/>
      </w:r>
      <w:r w:rsidR="00E4573F">
        <w:instrText>ADDIN CSL_CITATION { "citationItems" : [ { "id" : "ITEM-1", "itemData" : { "DOI" : "10.1093/bioinformatics/btf878", "ISSN" : "1367-4803", "abstract" : "Motivation: Long terminal repeat (LTR) retrotransposons constitute a substantial fraction of most eukaryotic genomes and are believed to have a significant im- pact on genome structure and function. Conventional methods used to search for LTR retrotransposons in genome databases are labor intensive. We present an efficient, reliable and automated method to identify and analyze members of this important class of transposable elements. Results: We have developed a new data-mining pro- gram, LTR STRUC (LTR retrotransposon structure program) which identifies and automatically analyzes LTRretrotransposons in genome databases by searching for structural features characteristic of such elements. LTR STRUC has significant advantages over conventional search methods in the case of LTR retrotransposon families having low sequence homology to known queries or families with atypical structure (e.g. non-autonomous elements lacking canonical retroviral ORFs) and is thus a discovery tool that complements established methods. LTR STRUC finds LTR retrotransposons using an algo- rithm that encompasses a number of tasks that would otherwise have to be initiated individually by the user. Foreach LTR retrotransposon found, LTR STRUC auto- matically generates an analysis of a variety of structural features of biological interest. Availability: The LTR STRUC program is currently avail- able as a console application free of charge to academic users from the authors.", "author" : [ { "dropping-particle" : "", "family" : "McCarthy", "given" : "E. M.", "non-dropping-particle" : "", "parse-names" : false, "suffix" : "" }, { "dropping-particle" : "", "family" : "McDonald", "given" : "J. F.", "non-dropping-particle" : "", "parse-names" : false, "suffix" : "" } ], "container-title" : "Bioinformatics", "id" : "ITEM-1", "issue" : "3", "issued" : { "date-parts" : [ [ "2003", "2", "12" ] ] }, "note" : "LTR_STRUC identifies putative LTRs and then looks for other features which define retrotransposons - dinucleotide repeats at the outer edge of LTRs and the PBS and PPT.\nWhen LTRs insert a short 4-6bp segment of host DNA is replicated creating a target site repeat &amp;quot;TSR&amp;quot;.\n\n        \nLocating elements in comparable to existing techniques (2003) but in identifying them it is superior (especially when they are novel).\n\n        \nMost identified have LTRs with greater than 90% similarity - allows recognition of inserts to within 60-100mya? Ish. Unlikely to detect below 75%, sometimes can match 80% similarity.\n\n        \nCannot find retrotransposons that span contigs - as the algorithm searches for both ends before stating a hit --&amp;gt; for the same reason it can&amp;#039;t locate solos or truncated sequence.\nDescribes mian utility is for discovery and initial analysis of new families of retrotransposons.", "page" : "362-367", "title" : "LTR_STRUC: a novel search and identification program for LTR retrotransposons", "type" : "article-journal", "volume" : "19" }, "uris" : [ "http://www.mendeley.com/documents/?uuid=b61a9d94-3042-4bb2-8f34-39b2363886f1" ] } ], "mendeley" : { "formattedCitation" : "(McCarthy &amp; McDonald 2003)", "plainTextFormattedCitation" : "(McCarthy &amp; McDonald 2003)", "previouslyFormattedCitation" : "(McCarthy &amp; McDonald 2003)" }, "properties" : { "noteIndex" : 0 }, "schema" : "https://github.com/citation-style-language/schema/raw/master/csl-citation.json" }</w:instrText>
      </w:r>
      <w:r>
        <w:fldChar w:fldCharType="separate"/>
      </w:r>
      <w:r w:rsidRPr="003C2764">
        <w:rPr>
          <w:noProof/>
        </w:rPr>
        <w:t>(McCarthy &amp; McDonald 2003)</w:t>
      </w:r>
      <w:r>
        <w:fldChar w:fldCharType="end"/>
      </w:r>
      <w:r w:rsidR="00A32B36">
        <w:t xml:space="preserve"> was</w:t>
      </w:r>
      <w:r>
        <w:t xml:space="preserve"> the oldest structure-based program used for this study. </w:t>
      </w:r>
      <w:r w:rsidR="00E4573F">
        <w:t>Whilst it has continued to be used in LTR retrotransposon identification studies, the program itself is a black box: the source code is unavailable, there is very limited documentation, and it only runs as a foreground Windows executable. In the f</w:t>
      </w:r>
      <w:r w:rsidR="00C759A9">
        <w:t>irst i</w:t>
      </w:r>
      <w:r w:rsidR="002078CE">
        <w:t>nstance, the ten poorly defined</w:t>
      </w:r>
      <w:r w:rsidR="00E4573F">
        <w:t xml:space="preserve"> sensitivity settings were compared by analysing the Galgal4 chromosomes 1 and Z against the default analysis. Following this, LS was run on the full Galgal4 assembly with sensitivity 1, per contig, to address inherent memory issues, and then separately on reverse complemented sequence, as LS does</w:t>
      </w:r>
      <w:r w:rsidR="00C759A9">
        <w:t xml:space="preserve"> no</w:t>
      </w:r>
      <w:r w:rsidR="00E4573F">
        <w:t>t consider the reverse strand during identification. Sequences were then used as BLASTn queries against Galgal4 to obtain the putative element positions. Sequence preparation, batch running of LS on Windows, and identification of element locations was all managed with Python scripts.</w:t>
      </w:r>
    </w:p>
    <w:p w14:paraId="26CB148A" w14:textId="069AB55F" w:rsidR="00E4573F" w:rsidRDefault="00E4573F" w:rsidP="00391005">
      <w:pPr>
        <w:pStyle w:val="ListParagraph"/>
      </w:pPr>
      <w:r>
        <w:t xml:space="preserve">LTR Harvest (LH) </w:t>
      </w:r>
      <w:r>
        <w:fldChar w:fldCharType="begin" w:fldLock="1"/>
      </w:r>
      <w:r w:rsidR="00825D1A">
        <w:instrText>ADDIN CSL_CITATION { "citationItems" : [ { "id" : "ITEM-1", "itemData" : { "DOI" : "10.1186/1471-2105-9-18", "ISSN" : "1471-2105", "PMID" : "18194517", "abstract" : "BACKGROUND: Transposable elements are abundant in eukaryotic genomes and it is believed that they have a significant impact on the evolution of gene and chromosome structure. While there are several completed eukaryotic genome projects, there are only few high quality genome wide annotations of transposable elements. Therefore, there is a considerable demand for computational identification of transposable elements. LTR retrotransposons, an important subclass of transposable elements, are well suited for computational identification, as they contain long terminal repeats (LTRs).\n\nRESULTS: We have developed a software tool LTRharvest for the de novo detection of full length LTR retrotransposons in large sequence sets. LTRharvest efficiently delivers high quality annotations based on known LTR transposon features like length, distance, and sequence motifs. A quality validation of LTRharvest against a gold standard annotation for Saccharomyces cerevisae and Drosophila melanogaster shows a sensitivity of up to 90% and 97% and specificity of 100% and 72%, respectively. This is comparable or slightly better than annotations for previous software tools. The main advantage of LTRharvest over previous tools is (a) its ability to efficiently handle large datasets from finished or unfinished genome projects, (b) its flexibility in incorporating known sequence features into the prediction, and (c) its availability as an open source software.\n\nCONCLUSION: LTRharvest is an efficient software tool delivering high quality annotation of LTR retrotransposons. It can, for example, process the largest human chromosome in approx. 8 minutes on a Linux PC with 4 GB of memory. Its flexibility and small space and run-time requirements makes LTRharvest a very competitive candidate for future LTR retrotransposon annotation projects. Moreover, the structured design and implementation and the availability as open source provides an excellent base for incorporating novel concepts to further improve prediction of LTR retrotransposons.", "author" : [ { "dropping-particle" : "", "family" : "Ellinghaus", "given" : "David", "non-dropping-particle" : "", "parse-names" : false, "suffix" : "" }, { "dropping-particle" : "", "family" : "Kurtz", "given" : "Stefan", "non-dropping-particle" : "", "parse-names" : false, "suffix" : "" }, { "dropping-particle" : "", "family" : "Willhoeft", "given" : "Ute", "non-dropping-particle" : "", "parse-names" : false, "suffix" : "" } ], "container-title" : "BMC bioinformatics", "id" : "ITEM-1", "issued" : { "date-parts" : [ [ "2008", "1" ] ] }, "note" : "Paper introduces LTR Harvest and then compares it to LTR_STRUC, LTR_par, LTR_Rho and LTR_FINDER.\n\n\nPart of Genome Tools download. \n\n\nPaper suggests that (up to 2008 at least) the best known program for Repeat searching was RepeatMasker - suggests that RepeatMasker annotation is slow for large vertebrate genomes. Repeatmasker uses known libraries of repeats - many TE families are known to be lineage specific - half of all human repeats arose after the mouse/human divergence. There are few up to date resources of repeats in non model organisms. Even models such as chicken lack a good repeat library. \n\n\nSoftware such as Vmatch, RECON, RAP &amp;amp; PILER were developed to look at all repeats. Generally found that this then creates lots of work classifying the types of repeats. As they are so different, it is better to create programs to search for certain repeat types. \n\n\nLTR retrotransposons have many described canonical features. Some are species specific such as conserved dinucleotide repeats found in yeast at the 5' and 3' end of elements.\n\n\nLTR_STRUC and LTR_par are similar, but par uses a faster algorithm. Harvest uses the same LTR model as par, but with a different composition of algorithms and features. \n\n\nHarvest models:\n- LTR length constraint\n- element distance constraint\n- LTR similarity constraint\n- target site duplications (TSDs)\n- LTR dinucleotide palindromic motifs\nThis again means that solo LTR sequences are not detected in the initial step. \n\n\nHarvest requires the genome tools program 'suffixerator' as part of its processing. This creates the 'suffix array' used for searching. This is the computationally time consuming part of the process. The actual search for hits takes minutes. This allows you to run multiple parameter sets quickly with one suffix array construction. Recommended that the default parameters should only be changed once the user has knowledge of species-specific features of LTR retrotransposons in the organism of study. \n\n\nEach level of the workflow in fig2 acts as a cut off. If you require a hit to have a TSD result for example, you can screen all those hits which do not have this. \n\n\nRecommend that after running this program you should do post-processing to confirm hits and eradicate false positives:\n- cluster reported predictions using Vmatch - positives will group, false positives will exist as singles\n- characterise domains\n- compare sequences to RepBase - least favourable option", "page" : "18", "title" : "LTRharvest, an efficient and flexible software for de novo detection of LTR retrotransposons.", "type" : "article-journal", "volume" : "9" }, "uris" : [ "http://www.mendeley.com/documents/?uuid=6b36a6e7-3016-4149-9760-619c00bc1e18" ] } ], "mendeley" : { "formattedCitation" : "(Ellinghaus et al. 2008)", "plainTextFormattedCitation" : "(Ellinghaus et al. 2008)", "previouslyFormattedCitation" : "(Ellinghaus et al. 2008)" }, "properties" : { "noteIndex" : 0 }, "schema" : "https://github.com/citation-style-language/schema/raw/master/csl-citation.json" }</w:instrText>
      </w:r>
      <w:r>
        <w:fldChar w:fldCharType="separate"/>
      </w:r>
      <w:r w:rsidRPr="00E4573F">
        <w:rPr>
          <w:noProof/>
        </w:rPr>
        <w:t>(Ellinghaus et al. 2008)</w:t>
      </w:r>
      <w:r>
        <w:fldChar w:fldCharType="end"/>
      </w:r>
      <w:r>
        <w:t xml:space="preserve"> was implemented as part of GenomeTools v1.5.1 </w:t>
      </w:r>
      <w:r>
        <w:fldChar w:fldCharType="begin" w:fldLock="1"/>
      </w:r>
      <w:r w:rsidR="00170CCB">
        <w:instrText>ADDIN CSL_CITATION { "citationItems" : [ { "id" : "ITEM-1", "itemData" : { "author" : [ { "dropping-particle" : "", "family" : "Gremme", "given" : "G", "non-dropping-particle" : "", "parse-names" : false, "suffix" : "" }, { "dropping-particle" : "", "family" : "Steinbiss", "given" : "S", "non-dropping-particle" : "", "parse-names" : false, "suffix" : "" }, { "dropping-particle" : "", "family" : "Kurtz", "given" : "S", "non-dropping-particle" : "", "parse-names" : false, "suffix" : "" } ], "container-title" : "IEEE/ACM Transactions on Computational Biology and Bioinformatics", "id" : "ITEM-1", "issue" : "3", "issued" : { "date-parts" : [ [ "2013" ] ] }, "page" : "645-656", "title" : "Genome Tools: a comprehensive software library for efficient processing of structured genome annotations", "type" : "article-journal", "volume" : "10" }, "uris" : [ "http://www.mendeley.com/documents/?uuid=81dcff1c-0097-48ab-a764-c17fcd09b8f8" ] } ], "mendeley" : { "formattedCitation" : "(Gremme et al. 2013)", "plainTextFormattedCitation" : "(Gremme et al. 2013)", "previouslyFormattedCitation" : "(Gremme et al. 2013)" }, "properties" : { "noteIndex" : 0 }, "schema" : "https://github.com/citation-style-language/schema/raw/master/csl-citation.json" }</w:instrText>
      </w:r>
      <w:r>
        <w:fldChar w:fldCharType="separate"/>
      </w:r>
      <w:r w:rsidRPr="00E4573F">
        <w:rPr>
          <w:noProof/>
        </w:rPr>
        <w:t>(Gremme et al. 2013)</w:t>
      </w:r>
      <w:r>
        <w:fldChar w:fldCharType="end"/>
      </w:r>
      <w:r>
        <w:t xml:space="preserve">, compiled with HMMER v3.1b1 </w:t>
      </w:r>
      <w:r w:rsidR="00170CCB">
        <w:fldChar w:fldCharType="begin" w:fldLock="1"/>
      </w:r>
      <w:r w:rsidR="006A44C0">
        <w:instrText>ADDIN CSL_CITATION { "citationItems" : [ { "id" : "ITEM-1", "itemData" : { "DOI" : "10.1142/9781848165632_0019", "ISBN" : "9781848165625", "ISSN" : "0919-9454", "PMID" : "20180275", "abstract" : "Many theoretical advances have been made in applying probabilistic inference methods to improve the power of sequence homology searches, yet the BLAST suite of programs is still the workhorse for most of the field. The main reason for this is practical: BLAST's programs are about 100-fold faster than the fastest competing implementations of probabilistic inference methods. I describe recent work on the HMMER software suite for protein sequence analysis, which implements probabilistic inference using profile hidden Markov models. Our aim in HMMER3 is to achieve BLAST's speed while further improving the power of probabilistic inference based methods. HMMER3 implements a new probabilistic model of local sequence alignment and a new heuristic acceleration algorithm. Combined with efficient vector-parallel implementations on modern processors, these improvements synergize. HMMER3 uses more powerful log-odds likelihood scores (scores summed over alignment uncertainty, rather than scoring a single optimal alignment); it calculates accurate expectation values (E-values) for those scores without simulation using a generalization of Karlin/Altschul theory; it computes posterior distributions over the ensemble of possible alignments and returns posterior probabilities (confidences) in each aligned residue; and it does all this at an overall speed comparable to BLAST. The HMMER project aims to usher in a new generation of more powerful homology search tools based on probabilistic inference methods.", "author" : [ { "dropping-particle" : "", "family" : "Eddy", "given" : "Sean R", "non-dropping-particle" : "", "parse-names" : false, "suffix" : "" } ], "container-title" : "Genome Informatics", "id" : "ITEM-1", "issue" : "1", "issued" : { "date-parts" : [ [ "2009" ] ] }, "page" : "205-211", "title" : "A New Generation of Homology Search Tools Based on Probabilistic Inference", "type" : "article-journal", "volume" : "23" }, "uris" : [ "http://www.mendeley.com/documents/?uuid=227927c1-801a-4e07-877d-3b69713d54b3" ] } ], "mendeley" : { "formattedCitation" : "(Eddy 2009)", "plainTextFormattedCitation" : "(Eddy 2009)", "previouslyFormattedCitation" : "(Eddy 2009)" }, "properties" : { "noteIndex" : 0 }, "schema" : "https://github.com/citation-style-language/schema/raw/master/csl-citation.json" }</w:instrText>
      </w:r>
      <w:r w:rsidR="00170CCB">
        <w:fldChar w:fldCharType="separate"/>
      </w:r>
      <w:r w:rsidR="00170CCB" w:rsidRPr="00170CCB">
        <w:rPr>
          <w:noProof/>
        </w:rPr>
        <w:t>(Eddy 2009)</w:t>
      </w:r>
      <w:r w:rsidR="00170CCB">
        <w:fldChar w:fldCharType="end"/>
      </w:r>
      <w:r>
        <w:t>, with two custom parameter groupings in addition to the default settings</w:t>
      </w:r>
      <w:r w:rsidR="003C479E">
        <w:t xml:space="preserve"> (</w:t>
      </w:r>
      <w:r w:rsidR="003C479E" w:rsidRPr="003C479E">
        <w:fldChar w:fldCharType="begin" w:fldLock="1"/>
      </w:r>
      <w:r w:rsidR="003C479E" w:rsidRPr="003C479E">
        <w:instrText xml:space="preserve"> REF _Ref477421759 \h  \* MERGEFORMAT </w:instrText>
      </w:r>
      <w:r w:rsidR="003C479E" w:rsidRPr="003C479E">
        <w:fldChar w:fldCharType="separate"/>
      </w:r>
      <w:r w:rsidR="002C549C" w:rsidRPr="002C549C">
        <w:t xml:space="preserve">Table </w:t>
      </w:r>
      <w:r w:rsidR="002C549C" w:rsidRPr="002C549C">
        <w:rPr>
          <w:noProof/>
        </w:rPr>
        <w:t>2.1</w:t>
      </w:r>
      <w:r w:rsidR="003C479E" w:rsidRPr="003C479E">
        <w:fldChar w:fldCharType="end"/>
      </w:r>
      <w:r w:rsidR="00A32B36">
        <w:t>). Custom</w:t>
      </w:r>
      <w:r w:rsidR="00170CCB">
        <w:t xml:space="preserve"> set 1 followed less stringent requirements for LTR length and sequence identity (enabling </w:t>
      </w:r>
      <w:r w:rsidR="00170CCB">
        <w:lastRenderedPageBreak/>
        <w:t xml:space="preserve">detection of older, more divergent sequences). </w:t>
      </w:r>
      <w:r w:rsidR="00A32B36">
        <w:t>Custom</w:t>
      </w:r>
      <w:r w:rsidR="00170CCB">
        <w:t xml:space="preserve"> set 2 </w:t>
      </w:r>
      <w:r w:rsidR="00A32B36">
        <w:t xml:space="preserve">went beyond this to also allow for </w:t>
      </w:r>
      <w:r w:rsidR="00170CCB">
        <w:t>nested LTR retrotransposons</w:t>
      </w:r>
      <w:r w:rsidR="006A44C0">
        <w:t>, where a</w:t>
      </w:r>
      <w:r w:rsidR="0070108D">
        <w:t xml:space="preserve"> more recent LTR retrotransposon insertion occurred</w:t>
      </w:r>
      <w:r w:rsidR="006A44C0">
        <w:t xml:space="preserve"> within </w:t>
      </w:r>
      <w:r w:rsidR="00A32B36">
        <w:t xml:space="preserve">an existing </w:t>
      </w:r>
      <w:r w:rsidR="0070108D">
        <w:t>LTR retrotransposon</w:t>
      </w:r>
      <w:r w:rsidR="00A32B36">
        <w:t xml:space="preserve">. </w:t>
      </w:r>
      <w:r w:rsidR="00183750">
        <w:t>Custom sett</w:t>
      </w:r>
      <w:r w:rsidR="002078CE">
        <w:t>ings were chosen based suggestions</w:t>
      </w:r>
      <w:r w:rsidR="00183750">
        <w:t xml:space="preserve"> in the LH user manual, and the annotated features of previously identified chicken LTR retrotransposon sequences. </w:t>
      </w:r>
    </w:p>
    <w:p w14:paraId="3F9E91FA" w14:textId="3F23EA9C" w:rsidR="003C479E" w:rsidRDefault="003C479E" w:rsidP="003C479E">
      <w:pPr>
        <w:pStyle w:val="Caption"/>
      </w:pPr>
      <w:bookmarkStart w:id="85" w:name="_Ref477421759"/>
      <w:bookmarkStart w:id="86" w:name="_Toc486786297"/>
      <w:r w:rsidRPr="00F5693B">
        <w:t xml:space="preserve">Table </w:t>
      </w:r>
      <w:fldSimple w:instr=" STYLEREF 1 \s " w:fldLock="1">
        <w:r w:rsidR="002C549C" w:rsidRPr="00F5693B">
          <w:rPr>
            <w:noProof/>
          </w:rPr>
          <w:t>2</w:t>
        </w:r>
      </w:fldSimple>
      <w:r w:rsidR="001167C6" w:rsidRPr="00F5693B">
        <w:t>.</w:t>
      </w:r>
      <w:fldSimple w:instr=" SEQ Table \* ARABIC \s 1 " w:fldLock="1">
        <w:r w:rsidR="002C549C" w:rsidRPr="00F5693B">
          <w:rPr>
            <w:noProof/>
          </w:rPr>
          <w:t>1</w:t>
        </w:r>
      </w:fldSimple>
      <w:bookmarkEnd w:id="85"/>
      <w:r>
        <w:t xml:space="preserve"> Default and chosen parameters for LTR Harvest optimisation.</w:t>
      </w:r>
      <w:bookmarkEnd w:id="86"/>
    </w:p>
    <w:tbl>
      <w:tblPr>
        <w:tblStyle w:val="TableGrid"/>
        <w:tblW w:w="59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1"/>
        <w:gridCol w:w="1134"/>
        <w:gridCol w:w="1134"/>
        <w:gridCol w:w="1134"/>
      </w:tblGrid>
      <w:tr w:rsidR="00624A30" w14:paraId="5976F3B6" w14:textId="77777777" w:rsidTr="003C479E">
        <w:trPr>
          <w:trHeight w:val="552"/>
          <w:jc w:val="center"/>
        </w:trPr>
        <w:tc>
          <w:tcPr>
            <w:tcW w:w="2551" w:type="dxa"/>
            <w:tcBorders>
              <w:top w:val="single" w:sz="4" w:space="0" w:color="auto"/>
              <w:bottom w:val="single" w:sz="4" w:space="0" w:color="auto"/>
            </w:tcBorders>
            <w:vAlign w:val="center"/>
          </w:tcPr>
          <w:p w14:paraId="62FD76D3" w14:textId="4E3D56C5" w:rsidR="00624A30" w:rsidRDefault="00C759A9" w:rsidP="00C759A9">
            <w:pPr>
              <w:pStyle w:val="Tablecontent"/>
              <w:jc w:val="right"/>
            </w:pPr>
            <w:r>
              <w:t>LTR Harvest Parameter</w:t>
            </w:r>
          </w:p>
        </w:tc>
        <w:tc>
          <w:tcPr>
            <w:tcW w:w="1134" w:type="dxa"/>
            <w:tcBorders>
              <w:top w:val="single" w:sz="4" w:space="0" w:color="auto"/>
              <w:bottom w:val="single" w:sz="4" w:space="0" w:color="auto"/>
            </w:tcBorders>
            <w:vAlign w:val="center"/>
          </w:tcPr>
          <w:p w14:paraId="30C45944" w14:textId="2CD8C1F1" w:rsidR="00624A30" w:rsidRDefault="00624A30" w:rsidP="003C2320">
            <w:pPr>
              <w:pStyle w:val="Tablecontent"/>
              <w:jc w:val="center"/>
            </w:pPr>
            <w:r>
              <w:t>Default</w:t>
            </w:r>
          </w:p>
        </w:tc>
        <w:tc>
          <w:tcPr>
            <w:tcW w:w="1134" w:type="dxa"/>
            <w:tcBorders>
              <w:top w:val="single" w:sz="4" w:space="0" w:color="auto"/>
              <w:bottom w:val="single" w:sz="4" w:space="0" w:color="auto"/>
            </w:tcBorders>
            <w:vAlign w:val="center"/>
          </w:tcPr>
          <w:p w14:paraId="77A14CA8" w14:textId="7374FECC" w:rsidR="00624A30" w:rsidRDefault="00624A30" w:rsidP="003C2320">
            <w:pPr>
              <w:pStyle w:val="Tablecontent"/>
              <w:jc w:val="center"/>
            </w:pPr>
            <w:r>
              <w:t>Set 1</w:t>
            </w:r>
          </w:p>
        </w:tc>
        <w:tc>
          <w:tcPr>
            <w:tcW w:w="1134" w:type="dxa"/>
            <w:tcBorders>
              <w:top w:val="single" w:sz="4" w:space="0" w:color="auto"/>
              <w:bottom w:val="single" w:sz="4" w:space="0" w:color="auto"/>
            </w:tcBorders>
            <w:vAlign w:val="center"/>
          </w:tcPr>
          <w:p w14:paraId="0206C9C3" w14:textId="3129447A" w:rsidR="00624A30" w:rsidRDefault="00624A30" w:rsidP="003C2320">
            <w:pPr>
              <w:pStyle w:val="Tablecontent"/>
              <w:jc w:val="center"/>
            </w:pPr>
            <w:r>
              <w:t>Set 2</w:t>
            </w:r>
          </w:p>
        </w:tc>
      </w:tr>
      <w:tr w:rsidR="00624A30" w14:paraId="210B6440" w14:textId="77777777" w:rsidTr="003C479E">
        <w:trPr>
          <w:jc w:val="center"/>
        </w:trPr>
        <w:tc>
          <w:tcPr>
            <w:tcW w:w="2551" w:type="dxa"/>
            <w:tcBorders>
              <w:top w:val="single" w:sz="4" w:space="0" w:color="auto"/>
              <w:right w:val="single" w:sz="4" w:space="0" w:color="auto"/>
            </w:tcBorders>
            <w:vAlign w:val="center"/>
          </w:tcPr>
          <w:p w14:paraId="43707DF6" w14:textId="32EEC82A" w:rsidR="00624A30" w:rsidRPr="00624A30" w:rsidRDefault="00624A30" w:rsidP="003C2320">
            <w:pPr>
              <w:pStyle w:val="Tablecontent"/>
              <w:ind w:right="31"/>
              <w:jc w:val="right"/>
            </w:pPr>
            <w:r>
              <w:t>Min LTR length (bp)</w:t>
            </w:r>
          </w:p>
        </w:tc>
        <w:tc>
          <w:tcPr>
            <w:tcW w:w="1134" w:type="dxa"/>
            <w:tcBorders>
              <w:top w:val="single" w:sz="4" w:space="0" w:color="auto"/>
              <w:left w:val="single" w:sz="4" w:space="0" w:color="auto"/>
            </w:tcBorders>
            <w:vAlign w:val="center"/>
          </w:tcPr>
          <w:p w14:paraId="4D9D25FA" w14:textId="210EC396" w:rsidR="00624A30" w:rsidRPr="005A55BD" w:rsidRDefault="00624A30" w:rsidP="003C2320">
            <w:pPr>
              <w:pStyle w:val="Tablecontent"/>
              <w:jc w:val="center"/>
            </w:pPr>
            <w:r>
              <w:t>100</w:t>
            </w:r>
          </w:p>
        </w:tc>
        <w:tc>
          <w:tcPr>
            <w:tcW w:w="1134" w:type="dxa"/>
            <w:tcBorders>
              <w:top w:val="single" w:sz="4" w:space="0" w:color="auto"/>
            </w:tcBorders>
            <w:vAlign w:val="center"/>
          </w:tcPr>
          <w:p w14:paraId="20C6B8F8" w14:textId="7C3DAB69" w:rsidR="00624A30" w:rsidRPr="005A55BD" w:rsidRDefault="00624A30" w:rsidP="003C2320">
            <w:pPr>
              <w:pStyle w:val="Tablecontent"/>
              <w:jc w:val="center"/>
            </w:pPr>
            <w:r>
              <w:t>80</w:t>
            </w:r>
          </w:p>
        </w:tc>
        <w:tc>
          <w:tcPr>
            <w:tcW w:w="1134" w:type="dxa"/>
            <w:tcBorders>
              <w:top w:val="single" w:sz="4" w:space="0" w:color="auto"/>
            </w:tcBorders>
            <w:vAlign w:val="center"/>
          </w:tcPr>
          <w:p w14:paraId="02B2D112" w14:textId="1EF8C125" w:rsidR="00624A30" w:rsidRPr="005A55BD" w:rsidRDefault="00624A30" w:rsidP="003C2320">
            <w:pPr>
              <w:pStyle w:val="Tablecontent"/>
              <w:jc w:val="center"/>
            </w:pPr>
            <w:r>
              <w:t>80</w:t>
            </w:r>
          </w:p>
        </w:tc>
      </w:tr>
      <w:tr w:rsidR="00624A30" w14:paraId="36EB0A70" w14:textId="77777777" w:rsidTr="003C479E">
        <w:trPr>
          <w:jc w:val="center"/>
        </w:trPr>
        <w:tc>
          <w:tcPr>
            <w:tcW w:w="2551" w:type="dxa"/>
            <w:tcBorders>
              <w:right w:val="single" w:sz="4" w:space="0" w:color="auto"/>
            </w:tcBorders>
            <w:vAlign w:val="center"/>
          </w:tcPr>
          <w:p w14:paraId="4D11B462" w14:textId="620EA651" w:rsidR="00624A30" w:rsidRDefault="00624A30" w:rsidP="003C2320">
            <w:pPr>
              <w:pStyle w:val="Tablecontent"/>
              <w:ind w:right="31"/>
              <w:jc w:val="right"/>
            </w:pPr>
            <w:r>
              <w:t>Max LTR length (bp)</w:t>
            </w:r>
          </w:p>
        </w:tc>
        <w:tc>
          <w:tcPr>
            <w:tcW w:w="1134" w:type="dxa"/>
            <w:tcBorders>
              <w:left w:val="single" w:sz="4" w:space="0" w:color="auto"/>
            </w:tcBorders>
            <w:vAlign w:val="center"/>
          </w:tcPr>
          <w:p w14:paraId="3B41E8DF" w14:textId="1D588AB5" w:rsidR="00624A30" w:rsidRPr="005A55BD" w:rsidRDefault="00624A30" w:rsidP="003C2320">
            <w:pPr>
              <w:pStyle w:val="Tablecontent"/>
              <w:jc w:val="center"/>
            </w:pPr>
            <w:r>
              <w:t>1,000</w:t>
            </w:r>
          </w:p>
        </w:tc>
        <w:tc>
          <w:tcPr>
            <w:tcW w:w="1134" w:type="dxa"/>
            <w:vAlign w:val="center"/>
          </w:tcPr>
          <w:p w14:paraId="6A8F819C" w14:textId="21E31E0E" w:rsidR="00624A30" w:rsidRPr="005A55BD" w:rsidRDefault="00624A30" w:rsidP="003C2320">
            <w:pPr>
              <w:pStyle w:val="Tablecontent"/>
              <w:jc w:val="center"/>
            </w:pPr>
            <w:r>
              <w:t>2,000</w:t>
            </w:r>
          </w:p>
        </w:tc>
        <w:tc>
          <w:tcPr>
            <w:tcW w:w="1134" w:type="dxa"/>
            <w:vAlign w:val="center"/>
          </w:tcPr>
          <w:p w14:paraId="1E6C2C45" w14:textId="17BED5FB" w:rsidR="00624A30" w:rsidRPr="005A55BD" w:rsidRDefault="00624A30" w:rsidP="003C2320">
            <w:pPr>
              <w:pStyle w:val="Tablecontent"/>
              <w:jc w:val="center"/>
            </w:pPr>
            <w:r>
              <w:t>2,000</w:t>
            </w:r>
          </w:p>
        </w:tc>
      </w:tr>
      <w:tr w:rsidR="00624A30" w14:paraId="2E47F896" w14:textId="77777777" w:rsidTr="003C479E">
        <w:trPr>
          <w:jc w:val="center"/>
        </w:trPr>
        <w:tc>
          <w:tcPr>
            <w:tcW w:w="2551" w:type="dxa"/>
            <w:tcBorders>
              <w:right w:val="single" w:sz="4" w:space="0" w:color="auto"/>
            </w:tcBorders>
            <w:vAlign w:val="center"/>
          </w:tcPr>
          <w:p w14:paraId="71FC4D71" w14:textId="65F1845F" w:rsidR="00624A30" w:rsidRDefault="00624A30" w:rsidP="003C2320">
            <w:pPr>
              <w:pStyle w:val="Tablecontent"/>
              <w:ind w:right="31"/>
              <w:jc w:val="right"/>
            </w:pPr>
            <w:r>
              <w:t>LTR homology cut-off (%)</w:t>
            </w:r>
          </w:p>
        </w:tc>
        <w:tc>
          <w:tcPr>
            <w:tcW w:w="1134" w:type="dxa"/>
            <w:tcBorders>
              <w:left w:val="single" w:sz="4" w:space="0" w:color="auto"/>
            </w:tcBorders>
            <w:vAlign w:val="center"/>
          </w:tcPr>
          <w:p w14:paraId="7733D152" w14:textId="75476DF1" w:rsidR="00624A30" w:rsidRPr="005A55BD" w:rsidRDefault="00624A30" w:rsidP="003C2320">
            <w:pPr>
              <w:pStyle w:val="Tablecontent"/>
              <w:jc w:val="center"/>
            </w:pPr>
            <w:r>
              <w:t>85</w:t>
            </w:r>
          </w:p>
        </w:tc>
        <w:tc>
          <w:tcPr>
            <w:tcW w:w="1134" w:type="dxa"/>
            <w:vAlign w:val="center"/>
          </w:tcPr>
          <w:p w14:paraId="19F23EF0" w14:textId="617096BE" w:rsidR="00624A30" w:rsidRPr="005A55BD" w:rsidRDefault="00624A30" w:rsidP="003C2320">
            <w:pPr>
              <w:pStyle w:val="Tablecontent"/>
              <w:jc w:val="center"/>
            </w:pPr>
            <w:r>
              <w:t>75</w:t>
            </w:r>
          </w:p>
        </w:tc>
        <w:tc>
          <w:tcPr>
            <w:tcW w:w="1134" w:type="dxa"/>
            <w:vAlign w:val="center"/>
          </w:tcPr>
          <w:p w14:paraId="7D65324F" w14:textId="6B653F6D" w:rsidR="00624A30" w:rsidRPr="005A55BD" w:rsidRDefault="00624A30" w:rsidP="003C2320">
            <w:pPr>
              <w:pStyle w:val="Tablecontent"/>
              <w:jc w:val="center"/>
            </w:pPr>
            <w:r>
              <w:t>75</w:t>
            </w:r>
          </w:p>
        </w:tc>
      </w:tr>
      <w:tr w:rsidR="00624A30" w14:paraId="76596C3E" w14:textId="77777777" w:rsidTr="003C479E">
        <w:trPr>
          <w:jc w:val="center"/>
        </w:trPr>
        <w:tc>
          <w:tcPr>
            <w:tcW w:w="2551" w:type="dxa"/>
            <w:tcBorders>
              <w:right w:val="single" w:sz="4" w:space="0" w:color="auto"/>
            </w:tcBorders>
            <w:vAlign w:val="center"/>
          </w:tcPr>
          <w:p w14:paraId="1A185DF3" w14:textId="2C8F7329" w:rsidR="00624A30" w:rsidRDefault="00624A30" w:rsidP="003C2320">
            <w:pPr>
              <w:pStyle w:val="Tablecontent"/>
              <w:ind w:right="31"/>
              <w:jc w:val="right"/>
            </w:pPr>
            <w:r>
              <w:t>Max element length</w:t>
            </w:r>
            <w:r w:rsidR="003C2320">
              <w:t xml:space="preserve"> (bp)</w:t>
            </w:r>
          </w:p>
        </w:tc>
        <w:tc>
          <w:tcPr>
            <w:tcW w:w="1134" w:type="dxa"/>
            <w:tcBorders>
              <w:left w:val="single" w:sz="4" w:space="0" w:color="auto"/>
            </w:tcBorders>
            <w:vAlign w:val="center"/>
          </w:tcPr>
          <w:p w14:paraId="33D8E362" w14:textId="3D58BD21" w:rsidR="00624A30" w:rsidRPr="005A55BD" w:rsidRDefault="00624A30" w:rsidP="003C2320">
            <w:pPr>
              <w:pStyle w:val="Tablecontent"/>
              <w:jc w:val="center"/>
            </w:pPr>
            <w:r>
              <w:t>15,000</w:t>
            </w:r>
          </w:p>
        </w:tc>
        <w:tc>
          <w:tcPr>
            <w:tcW w:w="1134" w:type="dxa"/>
            <w:vAlign w:val="center"/>
          </w:tcPr>
          <w:p w14:paraId="2297F19B" w14:textId="3A4784D3" w:rsidR="00624A30" w:rsidRPr="005A55BD" w:rsidRDefault="00624A30" w:rsidP="003C2320">
            <w:pPr>
              <w:pStyle w:val="Tablecontent"/>
              <w:jc w:val="center"/>
            </w:pPr>
            <w:r>
              <w:t>15,000</w:t>
            </w:r>
          </w:p>
        </w:tc>
        <w:tc>
          <w:tcPr>
            <w:tcW w:w="1134" w:type="dxa"/>
            <w:vAlign w:val="center"/>
          </w:tcPr>
          <w:p w14:paraId="3A1C9A54" w14:textId="7A9F9C6F" w:rsidR="00624A30" w:rsidRPr="005A55BD" w:rsidRDefault="00624A30" w:rsidP="003C2320">
            <w:pPr>
              <w:pStyle w:val="Tablecontent"/>
              <w:jc w:val="center"/>
            </w:pPr>
            <w:r>
              <w:t>25,000</w:t>
            </w:r>
          </w:p>
        </w:tc>
      </w:tr>
      <w:tr w:rsidR="00624A30" w14:paraId="6283F74F" w14:textId="77777777" w:rsidTr="003C479E">
        <w:trPr>
          <w:jc w:val="center"/>
        </w:trPr>
        <w:tc>
          <w:tcPr>
            <w:tcW w:w="2551" w:type="dxa"/>
            <w:tcBorders>
              <w:bottom w:val="single" w:sz="4" w:space="0" w:color="auto"/>
              <w:right w:val="single" w:sz="4" w:space="0" w:color="auto"/>
            </w:tcBorders>
            <w:vAlign w:val="center"/>
          </w:tcPr>
          <w:p w14:paraId="5F9A7DA8" w14:textId="5D5AA626" w:rsidR="00624A30" w:rsidRDefault="003C2320" w:rsidP="003C2320">
            <w:pPr>
              <w:pStyle w:val="Tablecontent"/>
              <w:ind w:right="31"/>
              <w:jc w:val="right"/>
            </w:pPr>
            <w:r>
              <w:t>Report</w:t>
            </w:r>
            <w:r w:rsidR="00624A30">
              <w:t xml:space="preserve"> nested elements</w:t>
            </w:r>
          </w:p>
        </w:tc>
        <w:tc>
          <w:tcPr>
            <w:tcW w:w="1134" w:type="dxa"/>
            <w:tcBorders>
              <w:left w:val="single" w:sz="4" w:space="0" w:color="auto"/>
              <w:bottom w:val="single" w:sz="4" w:space="0" w:color="auto"/>
            </w:tcBorders>
            <w:vAlign w:val="center"/>
          </w:tcPr>
          <w:p w14:paraId="44D38F0A" w14:textId="0658357C" w:rsidR="00624A30" w:rsidRPr="005A55BD" w:rsidRDefault="00624A30" w:rsidP="003C2320">
            <w:pPr>
              <w:pStyle w:val="Tablecontent"/>
              <w:jc w:val="center"/>
            </w:pPr>
            <w:r>
              <w:t>no</w:t>
            </w:r>
          </w:p>
        </w:tc>
        <w:tc>
          <w:tcPr>
            <w:tcW w:w="1134" w:type="dxa"/>
            <w:tcBorders>
              <w:bottom w:val="single" w:sz="4" w:space="0" w:color="auto"/>
            </w:tcBorders>
            <w:vAlign w:val="center"/>
          </w:tcPr>
          <w:p w14:paraId="032359E3" w14:textId="2A236634" w:rsidR="00624A30" w:rsidRPr="005A55BD" w:rsidRDefault="00624A30" w:rsidP="003C2320">
            <w:pPr>
              <w:pStyle w:val="Tablecontent"/>
              <w:jc w:val="center"/>
            </w:pPr>
            <w:r>
              <w:t>best</w:t>
            </w:r>
          </w:p>
        </w:tc>
        <w:tc>
          <w:tcPr>
            <w:tcW w:w="1134" w:type="dxa"/>
            <w:tcBorders>
              <w:bottom w:val="single" w:sz="4" w:space="0" w:color="auto"/>
            </w:tcBorders>
            <w:vAlign w:val="center"/>
          </w:tcPr>
          <w:p w14:paraId="7E3C187A" w14:textId="50A9AD7F" w:rsidR="00624A30" w:rsidRPr="005A55BD" w:rsidRDefault="00624A30" w:rsidP="003C2320">
            <w:pPr>
              <w:pStyle w:val="Tablecontent"/>
              <w:jc w:val="center"/>
            </w:pPr>
            <w:r>
              <w:t>all</w:t>
            </w:r>
          </w:p>
        </w:tc>
      </w:tr>
    </w:tbl>
    <w:p w14:paraId="14B2556A" w14:textId="77777777" w:rsidR="00624A30" w:rsidRDefault="00624A30" w:rsidP="00391005">
      <w:pPr>
        <w:pStyle w:val="ListParagraph"/>
      </w:pPr>
    </w:p>
    <w:p w14:paraId="710C106A" w14:textId="382D94E8" w:rsidR="006A44C0" w:rsidRDefault="006A44C0" w:rsidP="00391005">
      <w:pPr>
        <w:pStyle w:val="ListParagraph"/>
      </w:pPr>
      <w:r>
        <w:t xml:space="preserve">Prior to running RetroTector (ReTe) v1.0.1 </w:t>
      </w:r>
      <w:r>
        <w:fldChar w:fldCharType="begin" w:fldLock="1"/>
      </w:r>
      <w:r w:rsidR="00CF4CEF">
        <w:instrText>ADDIN CSL_CITATION { "citationItems" : [ { "id" : "ITEM-1", "itemData" : { "DOI" : "10.1093/nar/gkm515", "ISSN" : "1362-4962", "PMID" : "17636050", "abstract" : "Eukaryotic genomes contain many endogenous retroviral sequences (ERVs). ERVs are often severely mutated, therefore difficult to detect. A platform independent (Java) program package, RetroTector (ReTe), was constructed. It has three basic modules: (i) detection of candidate long terminal repeats (LTRs), (ii) detection of chains of conserved retroviral motifs fulfilling distance constraints and (iii) attempted reconstruction of original retroviral protein sequences, combining alignment, codon statistics and properties of protein ends. Other features are prediction of additional open reading frames, automated database collection, graphical presentation and automatic classification. ReTe favors elements &gt;1000-bp long due to its dependence on order of and distances between retroviral fragments. It detects single or low-copy-number elements. ReTe assigned a 'retroviral' score of 890-2827 to 10 exogenous retroviruses from seven genera, and accurately predicted their genes. In a simulated model, ReTe was robust against mutational decay. The human genome was analyzed in 1-2 days on a LINUX cluster. Retroviral sequences were detected in divergent vertebrate genomes. Most ReTe detected chains were coincident with Repeatmasker output and the HERVd database. ReTe did not report most of the evolutionary old HERV-L related and MalR sequences, and is not yet tailored for single LTR detection. Nevertheless, ReTe rationally detects and annotates many retroviral sequences.", "author" : [ { "dropping-particle" : "", "family" : "Sperber", "given" : "G\u00f6ran O", "non-dropping-particle" : "", "parse-names" : false, "suffix" : "" }, { "dropping-particle" : "", "family" : "Airola", "given" : "Tove", "non-dropping-particle" : "", "parse-names" : false, "suffix" : "" }, { "dropping-particle" : "", "family" : "Jern", "given" : "Patric", "non-dropping-particle" : "", "parse-names" : false, "suffix" : "" }, { "dropping-particle" : "", "family" : "Blomberg", "given" : "Jonas", "non-dropping-particle" : "", "parse-names" : false, "suffix" : "" } ], "container-title" : "Nucleic acids research", "id" : "ITEM-1", "issue" : "15", "issued" : { "date-parts" : [ [ "2007", "1" ] ] }, "note" : "extensively annotated on doc 4 in the planning and brainstorming folder.", "page" : "4964-76", "title" : "Automated recognition of retroviral sequences in genomic data--RetroTector.", "type" : "article-journal", "volume" : "35" }, "uris" : [ "http://www.mendeley.com/documents/?uuid=5a105799-8f88-42b6-889a-c9977f1ab6de" ] } ], "mendeley" : { "formattedCitation" : "(Sperber et al. 2007)", "plainTextFormattedCitation" : "(Sperber et al. 2007)", "previouslyFormattedCitation" : "(Sperber et al. 2007)" }, "properties" : { "noteIndex" : 0 }, "schema" : "https://github.com/citation-style-language/schema/raw/master/csl-citation.json" }</w:instrText>
      </w:r>
      <w:r>
        <w:fldChar w:fldCharType="separate"/>
      </w:r>
      <w:r w:rsidRPr="006A44C0">
        <w:rPr>
          <w:noProof/>
        </w:rPr>
        <w:t>(Sperber et al. 2007)</w:t>
      </w:r>
      <w:r>
        <w:fldChar w:fldCharType="end"/>
      </w:r>
      <w:r>
        <w:t>, all contigs shorter than 30</w:t>
      </w:r>
      <w:r w:rsidR="00614DD6">
        <w:t xml:space="preserve"> </w:t>
      </w:r>
      <w:r>
        <w:t xml:space="preserve">kb were </w:t>
      </w:r>
      <w:r w:rsidR="00A32B36">
        <w:t>‘</w:t>
      </w:r>
      <w:r>
        <w:t>padded</w:t>
      </w:r>
      <w:r w:rsidR="00A32B36">
        <w:t>’</w:t>
      </w:r>
      <w:r>
        <w:t xml:space="preserve"> at each end to aid the LTR retrotransposon identification algorithm, as suggested in the ReTe documentation. </w:t>
      </w:r>
      <w:r w:rsidR="00CF4CEF">
        <w:t>The padding was 15</w:t>
      </w:r>
      <w:r w:rsidR="00614DD6">
        <w:t xml:space="preserve"> </w:t>
      </w:r>
      <w:r w:rsidR="00CF4CEF">
        <w:t xml:space="preserve">kb of </w:t>
      </w:r>
      <w:r>
        <w:t>randomly ge</w:t>
      </w:r>
      <w:r w:rsidR="00CF4CEF">
        <w:t xml:space="preserve">nerated sequence with equal base frequencies, and the sequence was checked prior to use with BLASTn and tBLASTx searches against the NCBI non-redundant database </w:t>
      </w:r>
      <w:r w:rsidR="00CF4CEF">
        <w:fldChar w:fldCharType="begin" w:fldLock="1"/>
      </w:r>
      <w:r w:rsidR="0067235C">
        <w:instrText>ADDIN CSL_CITATION { "citationItems" : [ { "id" : "ITEM-1", "itemData" : { "author" : [ { "dropping-particle" : "", "family" : "Pruitt", "given" : "Kim", "non-dropping-particle" : "", "parse-names" : false, "suffix" : "" }, { "dropping-particle" : "", "family" : "Brown", "given" : "G", "non-dropping-particle" : "", "parse-names" : false, "suffix" : "" }, { "dropping-particle" : "", "family" : "Tausova", "given" : "T", "non-dropping-particle" : "", "parse-names" : false, "suffix" : "" }, { "dropping-particle" : "", "family" : "Maglott", "given" : "D", "non-dropping-particle" : "", "parse-names" : false, "suffix" : "" } ], "chapter-number" : "18", "container-title" : "The NCBI Handbook", "id" : "ITEM-1", "issued" : { "date-parts" : [ [ "2002" ] ] }, "publisher" : "National Library of Medicine (US), National Center for Biotechnology Information", "publisher-place" : "Bethseda (MD)", "title" : "The Reference Sequence (RefSeq) Database", "type" : "chapter" }, "uris" : [ "http://www.mendeley.com/documents/?uuid=0d9bea4b-ecbd-4d27-8f21-989140655119" ] } ], "mendeley" : { "formattedCitation" : "(Pruitt et al. 2002)", "plainTextFormattedCitation" : "(Pruitt et al. 2002)", "previouslyFormattedCitation" : "(Pruitt et al. 2002)" }, "properties" : { "noteIndex" : 0 }, "schema" : "https://github.com/citation-style-language/schema/raw/master/csl-citation.json" }</w:instrText>
      </w:r>
      <w:r w:rsidR="00CF4CEF">
        <w:fldChar w:fldCharType="separate"/>
      </w:r>
      <w:r w:rsidR="00CF4CEF" w:rsidRPr="00CF4CEF">
        <w:rPr>
          <w:noProof/>
        </w:rPr>
        <w:t>(Pruitt et al. 2002)</w:t>
      </w:r>
      <w:r w:rsidR="00CF4CEF">
        <w:fldChar w:fldCharType="end"/>
      </w:r>
      <w:r w:rsidR="00CF4CEF">
        <w:t xml:space="preserve"> to ensure it was devoid of gene or repeat identity. The primary ‘SweepDNA’ pr</w:t>
      </w:r>
      <w:r w:rsidR="00C759A9">
        <w:t>otocol</w:t>
      </w:r>
      <w:r w:rsidR="002078CE">
        <w:t xml:space="preserve"> masked</w:t>
      </w:r>
      <w:r w:rsidR="00183750">
        <w:t xml:space="preserve"> undesirable repeat classes by converting identified sequences to ambiguous</w:t>
      </w:r>
      <w:r w:rsidR="002078CE">
        <w:t xml:space="preserve"> bases (Ns). This protocol masked</w:t>
      </w:r>
      <w:r w:rsidR="00183750">
        <w:t xml:space="preserve"> Alu and L1 elements by default, but fo</w:t>
      </w:r>
      <w:r w:rsidR="002078CE">
        <w:t>ur additional ‘brooms’ (specific</w:t>
      </w:r>
      <w:r w:rsidR="00183750">
        <w:t xml:space="preserve"> repeat-masking programs) provided by the ReTe authors were used to mask CR1 elements.</w:t>
      </w:r>
      <w:r w:rsidR="00C759A9">
        <w:t xml:space="preserve"> </w:t>
      </w:r>
      <w:r w:rsidR="00183750">
        <w:t xml:space="preserve">Repeat-masking </w:t>
      </w:r>
      <w:r w:rsidR="00CF4CEF">
        <w:t>limit</w:t>
      </w:r>
      <w:r w:rsidR="00183750">
        <w:t>s</w:t>
      </w:r>
      <w:r w:rsidR="00CF4CEF">
        <w:t xml:space="preserve"> the search space and reduce</w:t>
      </w:r>
      <w:r w:rsidR="00183750">
        <w:t>s</w:t>
      </w:r>
      <w:r w:rsidR="00CF4CEF">
        <w:t xml:space="preserve"> false positives. The secondary ‘SweepScripts’ protocol was run with default settings and putative hits were extracted using custom Python scripting, rather than the ‘CollectGenome’ p</w:t>
      </w:r>
      <w:r w:rsidR="00A32B36">
        <w:t>rotocol which required management of multiple</w:t>
      </w:r>
      <w:r w:rsidR="00CF4CEF">
        <w:t xml:space="preserve"> SQL databases. </w:t>
      </w:r>
    </w:p>
    <w:p w14:paraId="241DF0BF" w14:textId="26FBACBC" w:rsidR="0067235C" w:rsidRDefault="0067235C" w:rsidP="00391005">
      <w:pPr>
        <w:pStyle w:val="ListParagraph"/>
      </w:pPr>
      <w:r>
        <w:t xml:space="preserve">The default configuration file for MGEScan_LTR (MGS; referred to as LTR_Rho in original literature) v1.3.1 </w:t>
      </w:r>
      <w:r>
        <w:fldChar w:fldCharType="begin" w:fldLock="1"/>
      </w:r>
      <w:r w:rsidR="00B249AE">
        <w:instrText>ADDIN CSL_CITATION { "citationItems" : [ { "id" : "ITEM-1", "itemData" : { "DOI" : "10.1186/1471-2164-8-90", "ISBN" : "1471216489", "ISSN" : "1471-2164", "PMID" : "17407597", "abstract" : "BACKGROUND: LTR retrotransposons are a class of mobile genetic elements containing two similar long terminal repeats (LTRs). Currently, LTR retrotransposons are annotated in eukaryotic genomes mainly through the conventional homology searching approach. Hence, it is limited to annotating known elements.\n\nRESULTS: In this paper, we report a de novo computational method that can identify new LTR retrotransposons without relying on a library of known elements. Specifically, our method identifies intact LTR retrotransposons by using an approximate string matching technique and protein domain analysis. In addition, it identifies partially deleted or solo LTRs using profile Hidden Markov Models (pHMMs). As a result, this method can de novo identify all types of LTR retrotransposons. We tested this method on the two pairs of eukaryotic genomes, C. elegans vs. C. briggsae and D. melanogaster vs. D. pseudoobscura. LTR retrotransposons in C. elegans and D. melanogaster have been intensively studied using conventional annotation methods. Comparing with previous work, we identified new intact LTR retroelements and new putative families, which may imply that there may still be new retroelements that are left to be discovered even in well-studied organisms. To assess the sensitivity and accuracy of our method, we compared our results with a previously published method, LTR_STRUC, which predominantly identifies full-length LTR retrotransposons. In summary, both methods identified comparable number of intact LTR retroelements. But our method can identify nearly all known elements in C. elegans, while LTR_STRUCT missed about 1/3 of them. Our method also identified more known LTR retroelements than LTR_STRUCT in the D. melanogaster genome. We also identified some LTR retroelements in the other two genomes, C. briggsae and D. pseudoobscura, which have not been completely finished. In contrast, the conventional method failed to identify those elements. Finally, the phylogenetic and chromosomal distributions of the identified elements are discussed.\n\nCONCLUSION: We report a novel method for de novo identification of LTR retrotransposons in eukaryotic genomes with favorable performance over the existing methods.", "author" : [ { "dropping-particle" : "", "family" : "Rho", "given" : "Mina", "non-dropping-particle" : "", "parse-names" : false, "suffix" : "" }, { "dropping-particle" : "", "family" : "Choi", "given" : "Jeong-Hyeon", "non-dropping-particle" : "", "parse-names" : false, "suffix" : "" }, { "dropping-particle" : "", "family" : "Kim", "given" : "Sun", "non-dropping-particle" : "", "parse-names" : false, "suffix" : "" }, { "dropping-particle" : "", "family" : "Lynch", "given" : "Michael", "non-dropping-particle" : "", "parse-names" : false, "suffix" : "" }, { "dropping-particle" : "", "family" : "Tang", "given" : "Haixu", "non-dropping-particle" : "", "parse-names" : false, "suffix" : "" } ], "container-title" : "BMC genomics", "id" : "ITEM-1", "issued" : { "date-parts" : [ [ "2007", "1" ] ] }, "note" : "Software developed - eventually called MGEScan_LTR\nIdentifies both intact elements using string matching and protein domain analysis. AND identifies truncated elements or solo LTRs using profile Hidden Markov Models (pHMMs). \nCompared to LTR_STRUC this program identifies 50% more elements and recognised more known elements than LTR_STRUC did. \n\n        \nStages:\n1) identify young and intact elements with LTR pair homology &amp;gt;80% - using distance models and protein domains to provide good element predictions\n2) search for solo LTRs using a BAG clustered sequence set of the LTRs found in stage 1 and using whole sequence pHMMs from the LTR clusters to search for matching LTRs\n3) identify old elements with lower LTR pair identity using a phylogenetic analysis\n\n        \nAlthough the authors stress how much better this model is than LTR_STRUC, Venn diagrams of which models find what hits show that LTR_STRUC, while recognising fewer hits, finds a very different subset of hits, not all of which overlap with this analysis - again, necessity for using multiple analyses.", "page" : "90", "title" : "De novo identification of LTR retrotransposons in eukaryotic genomes.", "type" : "article-journal", "volume" : "8" }, "uris" : [ "http://www.mendeley.com/documents/?uuid=b04b9174-8ccb-4f72-9017-ebbdcd5a46e0" ] } ], "mendeley" : { "formattedCitation" : "(Rho et al. 2007)", "plainTextFormattedCitation" : "(Rho et al. 2007)", "previouslyFormattedCitation" : "(Rho et al. 2007)" }, "properties" : { "noteIndex" : 0 }, "schema" : "https://github.com/citation-style-language/schema/raw/master/csl-citation.json" }</w:instrText>
      </w:r>
      <w:r>
        <w:fldChar w:fldCharType="separate"/>
      </w:r>
      <w:r w:rsidRPr="0067235C">
        <w:rPr>
          <w:noProof/>
        </w:rPr>
        <w:t>(Rho et al. 2007)</w:t>
      </w:r>
      <w:r>
        <w:fldChar w:fldCharType="end"/>
      </w:r>
      <w:r>
        <w:t xml:space="preserve"> was altered to increase the diversity of detected elements. The minimum distance between LTRs was reduced from 2</w:t>
      </w:r>
      <w:r w:rsidR="00614DD6">
        <w:t xml:space="preserve"> </w:t>
      </w:r>
      <w:r>
        <w:t>kb to 1</w:t>
      </w:r>
      <w:r w:rsidR="00614DD6">
        <w:t xml:space="preserve"> </w:t>
      </w:r>
      <w:r>
        <w:lastRenderedPageBreak/>
        <w:t>kb, the maximum length for the LTR retrotransposon was increased from 20</w:t>
      </w:r>
      <w:r w:rsidR="00614DD6">
        <w:t xml:space="preserve"> </w:t>
      </w:r>
      <w:r>
        <w:t>kb to 25</w:t>
      </w:r>
      <w:r w:rsidR="00614DD6">
        <w:t xml:space="preserve"> </w:t>
      </w:r>
      <w:r>
        <w:t>kb, minimu</w:t>
      </w:r>
      <w:r w:rsidR="002078CE">
        <w:t>m LTR length was decreased to 8</w:t>
      </w:r>
      <w:r>
        <w:t>0</w:t>
      </w:r>
      <w:r w:rsidR="00614DD6">
        <w:t xml:space="preserve"> </w:t>
      </w:r>
      <w:r>
        <w:t>bp, and maximum LTR length</w:t>
      </w:r>
      <w:r w:rsidR="002078CE">
        <w:t xml:space="preserve"> was increased from 1</w:t>
      </w:r>
      <w:r w:rsidR="00614DD6">
        <w:t xml:space="preserve"> </w:t>
      </w:r>
      <w:r w:rsidR="002078CE">
        <w:t>kb to 2</w:t>
      </w:r>
      <w:r w:rsidR="00614DD6">
        <w:t xml:space="preserve"> </w:t>
      </w:r>
      <w:r w:rsidR="008A1C8E">
        <w:t>kb. These changes were made to reflect the optimum parameters identified with the multiple tests of LH.</w:t>
      </w:r>
      <w:r w:rsidR="00A32B36">
        <w:t xml:space="preserve"> MGS was run individually on each Galgal4 contig and the positions extracted with a custom BASH script.</w:t>
      </w:r>
    </w:p>
    <w:p w14:paraId="5B2BC4DF" w14:textId="568ACAE0" w:rsidR="00814069" w:rsidRDefault="00B249AE" w:rsidP="00391005">
      <w:pPr>
        <w:pStyle w:val="ListParagraph"/>
      </w:pPr>
      <w:r>
        <w:t xml:space="preserve">Following identification of putative elements by these four programs, additional support was required before they were defined as LTR retrotransposons. Each element was analysed by RepeatMasker to check for other repeat classes, particularly CR1. LTR retrotransposon nucleotide motifs were identified using Dfam v1.2 </w:t>
      </w:r>
      <w:r>
        <w:fldChar w:fldCharType="begin" w:fldLock="1"/>
      </w:r>
      <w:r>
        <w:instrText>ADDIN CSL_CITATION { "citationItems" : [ { "id" : "ITEM-1", "itemData" : { "author" : [ { "dropping-particle" : "", "family" : "Wheeler", "given" : "TJ", "non-dropping-particle" : "", "parse-names" : false, "suffix" : "" }, { "dropping-particle" : "", "family" : "Clements", "given" : "J", "non-dropping-particle" : "", "parse-names" : false, "suffix" : "" }, { "dropping-particle" : "", "family" : "Eddy", "given" : "SR", "non-dropping-particle" : "", "parse-names" : false, "suffix" : "" }, { "dropping-particle" : "", "family" : "Hubley", "given" : "R", "non-dropping-particle" : "", "parse-names" : false, "suffix" : "" }, { "dropping-particle" : "", "family" : "Jones", "given" : "TA", "non-dropping-particle" : "", "parse-names" : false, "suffix" : "" }, { "dropping-particle" : "", "family" : "Jurka", "given" : "J", "non-dropping-particle" : "", "parse-names" : false, "suffix" : "" }, { "dropping-particle" : "", "family" : "Smit", "given" : "AFA", "non-dropping-particle" : "", "parse-names" : false, "suffix" : "" }, { "dropping-particle" : "", "family" : "Finn", "given" : "RD", "non-dropping-particle" : "", "parse-names" : false, "suffix" : "" } ], "container-title" : "Nucleic Acids Research", "id" : "ITEM-1", "issue" : "D1", "issued" : { "date-parts" : [ [ "2013" ] ] }, "page" : "D70-82", "title" : "Dfam: a database of repetitive DNA based on profile hidden Markov models", "type" : "article-journal", "volume" : "41" }, "uris" : [ "http://www.mendeley.com/documents/?uuid=545400a3-6b68-4f92-ac0f-ad76d20a2fc6" ] } ], "mendeley" : { "formattedCitation" : "(Wheeler et al. 2013)", "plainTextFormattedCitation" : "(Wheeler et al. 2013)", "previouslyFormattedCitation" : "(Wheeler et al. 2013)" }, "properties" : { "noteIndex" : 0 }, "schema" : "https://github.com/citation-style-language/schema/raw/master/csl-citation.json" }</w:instrText>
      </w:r>
      <w:r>
        <w:fldChar w:fldCharType="separate"/>
      </w:r>
      <w:r w:rsidRPr="00B249AE">
        <w:rPr>
          <w:noProof/>
        </w:rPr>
        <w:t>(Wheeler et al. 2013)</w:t>
      </w:r>
      <w:r>
        <w:fldChar w:fldCharType="end"/>
      </w:r>
      <w:r>
        <w:t xml:space="preserve"> </w:t>
      </w:r>
      <w:r w:rsidR="00373D7F">
        <w:t xml:space="preserve">pHMMs </w:t>
      </w:r>
      <w:r w:rsidR="0089103F">
        <w:t>with HMMER nhmmscan and</w:t>
      </w:r>
      <w:r>
        <w:t xml:space="preserve"> an E-va</w:t>
      </w:r>
      <w:r w:rsidR="00183750">
        <w:t>l</w:t>
      </w:r>
      <w:r>
        <w:t>ue threshold of 10</w:t>
      </w:r>
      <w:r>
        <w:rPr>
          <w:vertAlign w:val="superscript"/>
        </w:rPr>
        <w:t>-5</w:t>
      </w:r>
      <w:r>
        <w:t xml:space="preserve">. Putative protein-coding regions within the elements were identified using GyDB </w:t>
      </w:r>
      <w:r w:rsidRPr="00B249AE">
        <w:rPr>
          <w:i/>
        </w:rPr>
        <w:t>gag</w:t>
      </w:r>
      <w:r>
        <w:t xml:space="preserve">, </w:t>
      </w:r>
      <w:r w:rsidRPr="00B249AE">
        <w:rPr>
          <w:i/>
        </w:rPr>
        <w:t>pol</w:t>
      </w:r>
      <w:r>
        <w:t xml:space="preserve">, </w:t>
      </w:r>
      <w:r w:rsidRPr="00B249AE">
        <w:rPr>
          <w:i/>
        </w:rPr>
        <w:t>envelope</w:t>
      </w:r>
      <w:r>
        <w:t xml:space="preserve"> and accessory </w:t>
      </w:r>
      <w:r w:rsidRPr="00B249AE">
        <w:t>protein</w:t>
      </w:r>
      <w:r w:rsidR="0089103F">
        <w:t xml:space="preserve"> pHMMs with HMMER hmmscan and</w:t>
      </w:r>
      <w:r>
        <w:t xml:space="preserve"> an E-value threshold of 10</w:t>
      </w:r>
      <w:r>
        <w:rPr>
          <w:vertAlign w:val="superscript"/>
        </w:rPr>
        <w:t>-10</w:t>
      </w:r>
      <w:r>
        <w:t xml:space="preserve">, following translation of each element into all six reading frames with the EMBOSS v6.6.0 transeq tool </w:t>
      </w:r>
      <w:r>
        <w:fldChar w:fldCharType="begin" w:fldLock="1"/>
      </w:r>
      <w:r>
        <w:instrText>ADDIN CSL_CITATION { "citationItems" : [ { "id" : "ITEM-1", "itemData" : { "author" : [ { "dropping-particle" : "", "family" : "Rice", "given" : "Peter", "non-dropping-particle" : "", "parse-names" : false, "suffix" : "" }, { "dropping-particle" : "", "family" : "Longden", "given" : "I", "non-dropping-particle" : "", "parse-names" : false, "suffix" : "" }, { "dropping-particle" : "", "family" : "Bleasby", "given" : "A", "non-dropping-particle" : "", "parse-names" : false, "suffix" : "" } ], "container-title" : "Trends in genetics", "id" : "ITEM-1", "issue" : "6", "issued" : { "date-parts" : [ [ "2000" ] ] }, "page" : "276-277", "title" : "EMBOSS: the European molecular biology open software suite", "type" : "article-journal", "volume" : "16" }, "uris" : [ "http://www.mendeley.com/documents/?uuid=c554aa09-897e-42ab-adf9-6fa865ed8d08" ] } ], "mendeley" : { "formattedCitation" : "(Rice et al. 2000)", "plainTextFormattedCitation" : "(Rice et al. 2000)", "previouslyFormattedCitation" : "(Rice et al. 2000)" }, "properties" : { "noteIndex" : 0 }, "schema" : "https://github.com/citation-style-language/schema/raw/master/csl-citation.json" }</w:instrText>
      </w:r>
      <w:r>
        <w:fldChar w:fldCharType="separate"/>
      </w:r>
      <w:r w:rsidRPr="00B249AE">
        <w:rPr>
          <w:noProof/>
        </w:rPr>
        <w:t>(Rice et al. 2000)</w:t>
      </w:r>
      <w:r>
        <w:fldChar w:fldCharType="end"/>
      </w:r>
      <w:r>
        <w:t>.</w:t>
      </w:r>
      <w:r w:rsidR="00183750">
        <w:t xml:space="preserve"> E-value thresholds were chosen to reflect recommendations in the HMMER user manual.</w:t>
      </w:r>
      <w:r>
        <w:t xml:space="preserve"> pHMMs for the Galgal4 tRNA genes were also built to enable characterisation of the protein binding site (PBS) domain between the 5’ LTR and </w:t>
      </w:r>
      <w:r>
        <w:rPr>
          <w:i/>
        </w:rPr>
        <w:t>gag</w:t>
      </w:r>
      <w:r>
        <w:t xml:space="preserve"> gene. tRNA genes were identified using tRNAscan-SE v1.3.1 </w:t>
      </w:r>
      <w:r>
        <w:fldChar w:fldCharType="begin" w:fldLock="1"/>
      </w:r>
      <w:r>
        <w:instrText>ADDIN CSL_CITATION { "citationItems" : [ { "id" : "ITEM-1", "itemData" : { "ISSN" : "0305-1048", "PMID" : "9023104", "abstract" : "We describe a program, tRNAscan-SE, which identifies 99-100% of transfer RNA genes in DNA sequence while giving less than one false positive per 15 gigabases. Two previously described tRNA detection programs are used as fast, first-pass prefilters to identify candidate tRNAs, which are then analyzed by a highly selective tRNA covariance model. This work represents a practical application of RNA covariance models, which are general, probabilistic secondary structure profiles based on stochastic context-free grammars. tRNAscan-SE searches at approximately 30 000 bp/s. Additional extensions to tRNAscan-SE detect unusual tRNA homologues such as selenocysteine tRNAs, tRNA-derived repetitive elements and tRNA pseudogenes.", "author" : [ { "dropping-particle" : "", "family" : "Lowe", "given" : "T M", "non-dropping-particle" : "", "parse-names" : false, "suffix" : "" }, { "dropping-particle" : "", "family" : "Eddy", "given" : "S R", "non-dropping-particle" : "", "parse-names" : false, "suffix" : "" } ], "container-title" : "Nucleic acids research", "id" : "ITEM-1", "issue" : "5", "issued" : { "date-parts" : [ [ "1997", "3", "1" ] ] }, "page" : "955-64", "title" : "tRNAscan-SE: a program for improved detection of transfer RNA genes in genomic sequence.", "type" : "article-journal", "volume" : "25" }, "uris" : [ "http://www.mendeley.com/documents/?uuid=a042a053-11c6-4fda-9ff4-4aab4a041b5a" ] } ], "mendeley" : { "formattedCitation" : "(Lowe &amp; Eddy 1997)", "plainTextFormattedCitation" : "(Lowe &amp; Eddy 1997)", "previouslyFormattedCitation" : "(Lowe &amp; Eddy 1997)" }, "properties" : { "noteIndex" : 0 }, "schema" : "https://github.com/citation-style-language/schema/raw/master/csl-citation.json" }</w:instrText>
      </w:r>
      <w:r>
        <w:fldChar w:fldCharType="separate"/>
      </w:r>
      <w:r w:rsidRPr="00B249AE">
        <w:rPr>
          <w:noProof/>
        </w:rPr>
        <w:t>(Lowe &amp; Eddy 1997)</w:t>
      </w:r>
      <w:r>
        <w:fldChar w:fldCharType="end"/>
      </w:r>
      <w:r>
        <w:t xml:space="preserve"> with default parameters. tRNA sequences were then extracted using custom Python scripts and aligned by amino acid using MUSCLE v3.8.31 </w:t>
      </w:r>
      <w:r>
        <w:fldChar w:fldCharType="begin" w:fldLock="1"/>
      </w:r>
      <w:r w:rsidR="00967733">
        <w:instrText>ADDIN CSL_CITATION { "citationItems" : [ { "id" : "ITEM-1", "itemData" : { "DOI" : "10.1093/nar/gkh340", "ISSN" : "1362-4962", "PMID" : "15034147", "abstract" : "We describe MUSCLE, a new computer program for creating multiple alignments of protein sequences. Elements of the algorithm include fast distance estimation using kmer counting, progressive alignment using a new profile function we call the log-expectation score, and refinement using tree-dependent restricted partitioning. The speed and accuracy of MUSCLE are compared with T-Coffee, MAFFT and CLUSTALW on four test sets of reference alignments: BAliBASE, SABmark, SMART and a new benchmark, PREFAB. MUSCLE achieves the highest, or joint highest, rank in accuracy on each of these sets. Without refinement, MUSCLE achieves average accuracy statistically indistinguishable from T-Coffee and MAFFT, and is the fastest of the tested methods for large numbers of sequences, aligning 5000 sequences of average length 350 in 7 min on a current desktop computer. The MUSCLE program, source code and PREFAB test data are freely available at http://www.drive5. com/muscle.", "author" : [ { "dropping-particle" : "", "family" : "Edgar", "given" : "Robert C", "non-dropping-particle" : "", "parse-names" : false, "suffix" : "" } ], "container-title" : "Nucleic acids research", "id" : "ITEM-1", "issue" : "5", "issued" : { "date-parts" : [ [ "2004", "1" ] ] }, "page" : "1792-7", "title" : "MUSCLE: multiple sequence alignment with high accuracy and high throughput.", "type" : "article-journal", "volume" : "32" }, "uris" : [ "http://www.mendeley.com/documents/?uuid=54011dfa-a283-4dde-a04e-f35c1756b52a" ] } ], "mendeley" : { "formattedCitation" : "(Edgar 2004)", "plainTextFormattedCitation" : "(Edgar 2004)", "previouslyFormattedCitation" : "(Edgar 2004)" }, "properties" : { "noteIndex" : 0 }, "schema" : "https://github.com/citation-style-language/schema/raw/master/csl-citation.json" }</w:instrText>
      </w:r>
      <w:r>
        <w:fldChar w:fldCharType="separate"/>
      </w:r>
      <w:r w:rsidRPr="00B249AE">
        <w:rPr>
          <w:noProof/>
        </w:rPr>
        <w:t>(Edgar 2004)</w:t>
      </w:r>
      <w:r>
        <w:fldChar w:fldCharType="end"/>
      </w:r>
      <w:r>
        <w:t xml:space="preserve"> with default settings, and pHMMs built using HMMER hmmbuild. HMMER hmmpress was used to create</w:t>
      </w:r>
      <w:r w:rsidR="0089103F">
        <w:t xml:space="preserve"> all</w:t>
      </w:r>
      <w:r>
        <w:t xml:space="preserve"> pHMM flatfile databases. </w:t>
      </w:r>
    </w:p>
    <w:p w14:paraId="55A287B3" w14:textId="34276D34" w:rsidR="000E376B" w:rsidRDefault="0089103F" w:rsidP="00391005">
      <w:pPr>
        <w:pStyle w:val="ListParagraph"/>
      </w:pPr>
      <w:r>
        <w:t>F</w:t>
      </w:r>
      <w:r w:rsidR="00814069">
        <w:t>eature test</w:t>
      </w:r>
      <w:r>
        <w:t xml:space="preserve"> result</w:t>
      </w:r>
      <w:r w:rsidR="00814069">
        <w:t xml:space="preserve">s were used to generate composite confidence scores for each putative insertion. Elements were scored with a ‘P’ if any LTR retrotransposon coding domains were identified. Identification of </w:t>
      </w:r>
      <w:r w:rsidR="00814069">
        <w:rPr>
          <w:i/>
        </w:rPr>
        <w:t>reverse transcriptase</w:t>
      </w:r>
      <w:r w:rsidR="000E376B">
        <w:t xml:space="preserve"> would</w:t>
      </w:r>
      <w:r w:rsidR="00814069">
        <w:t xml:space="preserve"> ideally </w:t>
      </w:r>
      <w:r w:rsidR="000E376B">
        <w:t xml:space="preserve">be </w:t>
      </w:r>
      <w:r w:rsidR="00814069">
        <w:t xml:space="preserve">supported by identification of other domains, as </w:t>
      </w:r>
      <w:r w:rsidR="00814069">
        <w:rPr>
          <w:i/>
        </w:rPr>
        <w:t xml:space="preserve">reverse transcriptase </w:t>
      </w:r>
      <w:r w:rsidR="00814069">
        <w:t xml:space="preserve">alone could belong to a LINE. </w:t>
      </w:r>
      <w:r w:rsidR="000E376B">
        <w:t xml:space="preserve">Elements were also scored with a ‘D’ if there was positive identification of LTR retrotransposon nucleotide motifs, with the ‘D’ followed by a number identifying where the first LTR retrotransposon-related motif positioned when ranked by E-value. If elements were annotated by RepeatMasker as LTR-related, they were also scored with an ‘R’, with the output showing how much of the element had matches to various repeat classes. Finally, elements were also scored with a ‘t’ if the PBS site was identified. </w:t>
      </w:r>
    </w:p>
    <w:p w14:paraId="1E091330" w14:textId="7541691C" w:rsidR="00814069" w:rsidRDefault="0089103F" w:rsidP="00391005">
      <w:pPr>
        <w:pStyle w:val="ListParagraph"/>
      </w:pPr>
      <w:r>
        <w:lastRenderedPageBreak/>
        <w:t>P</w:t>
      </w:r>
      <w:r w:rsidR="000E376B">
        <w:t>utative eleme</w:t>
      </w:r>
      <w:r w:rsidR="00E25D01">
        <w:t xml:space="preserve">nts were </w:t>
      </w:r>
      <w:r w:rsidR="000E376B">
        <w:t>ranked</w:t>
      </w:r>
      <w:r w:rsidR="00E25D01">
        <w:t xml:space="preserve"> on assigned score</w:t>
      </w:r>
      <w:r w:rsidR="000E376B">
        <w:t xml:space="preserve">, and those with no supporting evidence were automatically discarded. The result output for all </w:t>
      </w:r>
      <w:r w:rsidR="00A86AD2">
        <w:t xml:space="preserve">other identified sites was </w:t>
      </w:r>
      <w:r w:rsidR="000E376B">
        <w:t xml:space="preserve">checked manually. The highest confidence score for a putative element was ‘D1+P+R+t’, </w:t>
      </w:r>
      <w:r w:rsidR="00156468">
        <w:t xml:space="preserve">but </w:t>
      </w:r>
      <w:r w:rsidR="000E376B">
        <w:t xml:space="preserve">lower confidence elements were also selected. In general, elements with just the ‘R’ classification were discarded unless </w:t>
      </w:r>
      <w:r w:rsidR="00156468">
        <w:t>most</w:t>
      </w:r>
      <w:r w:rsidR="000E376B">
        <w:t xml:space="preserve"> </w:t>
      </w:r>
      <w:r w:rsidR="00156468">
        <w:t xml:space="preserve">of </w:t>
      </w:r>
      <w:r w:rsidR="000E376B">
        <w:t>the element had LTR-</w:t>
      </w:r>
      <w:r w:rsidR="00156468">
        <w:t>related annotation</w:t>
      </w:r>
      <w:r w:rsidR="000E376B">
        <w:t xml:space="preserve"> </w:t>
      </w:r>
      <w:r w:rsidR="00156468">
        <w:t>(</w:t>
      </w:r>
      <w:r w:rsidR="000E376B">
        <w:t>and</w:t>
      </w:r>
      <w:r w:rsidR="00156468">
        <w:t xml:space="preserve"> the annotation of other repeat classes was</w:t>
      </w:r>
      <w:r w:rsidR="000E376B">
        <w:t xml:space="preserve"> minimal</w:t>
      </w:r>
      <w:r w:rsidR="00156468">
        <w:t>)</w:t>
      </w:r>
      <w:r w:rsidR="000E376B">
        <w:t xml:space="preserve">, and elements with just the ‘t’ classification were automatically discarded. </w:t>
      </w:r>
      <w:r w:rsidR="00156468">
        <w:t xml:space="preserve">User discretion was important with more ambiguous scores, such as ‘D7+R’, but putative </w:t>
      </w:r>
      <w:r w:rsidR="00A86AD2">
        <w:t>elements were discarded if there was insufficient evidence that they were LTR retrotransposons.</w:t>
      </w:r>
    </w:p>
    <w:p w14:paraId="74D5B849" w14:textId="77777777" w:rsidR="0095636A" w:rsidRDefault="0095636A" w:rsidP="00391005">
      <w:pPr>
        <w:pStyle w:val="ListParagraph"/>
      </w:pPr>
    </w:p>
    <w:p w14:paraId="115CD705" w14:textId="4C8F04EF" w:rsidR="000362F6" w:rsidRDefault="000362F6" w:rsidP="000362F6">
      <w:pPr>
        <w:pStyle w:val="Heading4"/>
      </w:pPr>
      <w:r>
        <w:t xml:space="preserve">Combining </w:t>
      </w:r>
      <w:r w:rsidR="00156468">
        <w:t>the homology and structure-based identification approaches</w:t>
      </w:r>
    </w:p>
    <w:p w14:paraId="74B8A5BA" w14:textId="4F631A17" w:rsidR="0095636A" w:rsidRDefault="00C27852" w:rsidP="00391005">
      <w:pPr>
        <w:pStyle w:val="ListParagraph"/>
      </w:pPr>
      <w:r>
        <w:t>All elements identified by the structure-based id</w:t>
      </w:r>
      <w:r w:rsidR="0089103F">
        <w:t xml:space="preserve">entification programs were </w:t>
      </w:r>
      <w:r>
        <w:t>used in a secondary BLASTn/tBLASTx protocol, following the same approach as above with the custom LTR retrotransposon database. This was to identify degraded sequence or solo LTRs related to the newly identified, structurally intact elements (SIEs) which were not identified by the homology bas</w:t>
      </w:r>
      <w:r w:rsidR="0089103F">
        <w:t xml:space="preserve">ed identification. </w:t>
      </w:r>
      <w:r w:rsidR="006C58C5">
        <w:t>The final stage</w:t>
      </w:r>
      <w:r w:rsidR="00675D86">
        <w:t xml:space="preserve"> of the LocaTR identification pipeline</w:t>
      </w:r>
      <w:r w:rsidR="006C58C5">
        <w:t xml:space="preserve"> was to combine and merge all LTR r</w:t>
      </w:r>
      <w:r w:rsidR="00EC423B">
        <w:t xml:space="preserve">etrotransposon-related sequence </w:t>
      </w:r>
      <w:r w:rsidR="006C58C5">
        <w:t>identified in the homology, structure-based and</w:t>
      </w:r>
      <w:r w:rsidR="00EC423B">
        <w:t xml:space="preserve"> secondary BLAST </w:t>
      </w:r>
      <w:r w:rsidR="006C58C5">
        <w:t>protocols</w:t>
      </w:r>
      <w:r w:rsidR="00EC423B">
        <w:t xml:space="preserve"> using external element coordinates</w:t>
      </w:r>
      <w:r w:rsidR="006C58C5">
        <w:t xml:space="preserve">, </w:t>
      </w:r>
      <w:r w:rsidR="00EC423B">
        <w:t>resulting in a full LTR retrotransposon annotation.</w:t>
      </w:r>
    </w:p>
    <w:p w14:paraId="7F6D3DB8" w14:textId="77777777" w:rsidR="00B806B4" w:rsidRDefault="00B806B4" w:rsidP="00391005">
      <w:pPr>
        <w:pStyle w:val="ListParagraph"/>
      </w:pPr>
    </w:p>
    <w:p w14:paraId="1CE5B2C2" w14:textId="734A319C" w:rsidR="00B806B4" w:rsidRDefault="00B806B4" w:rsidP="00D4225A">
      <w:pPr>
        <w:pStyle w:val="Heading2"/>
      </w:pPr>
      <w:bookmarkStart w:id="87" w:name="_Toc485721573"/>
      <w:bookmarkStart w:id="88" w:name="_Toc486787153"/>
      <w:bookmarkStart w:id="89" w:name="_Toc486787301"/>
      <w:r>
        <w:t>Analysis of</w:t>
      </w:r>
      <w:r w:rsidR="000362F6">
        <w:t xml:space="preserve"> the LTR retrotransposons identified in the Galgal4</w:t>
      </w:r>
      <w:r>
        <w:t xml:space="preserve"> chicken genome</w:t>
      </w:r>
      <w:r w:rsidR="000362F6">
        <w:t xml:space="preserve"> assembly</w:t>
      </w:r>
      <w:bookmarkEnd w:id="87"/>
      <w:bookmarkEnd w:id="88"/>
      <w:bookmarkEnd w:id="89"/>
    </w:p>
    <w:p w14:paraId="33077A25" w14:textId="5BC79795" w:rsidR="00B806B4" w:rsidRDefault="00F32B70" w:rsidP="00D31DD8">
      <w:pPr>
        <w:pStyle w:val="Heading3"/>
      </w:pPr>
      <w:bookmarkStart w:id="90" w:name="_Toc485721574"/>
      <w:bookmarkStart w:id="91" w:name="_Toc486787154"/>
      <w:bookmarkStart w:id="92" w:name="_Toc486787302"/>
      <w:r>
        <w:t>Initial characterisation of structurally intact LTR retrotransposons</w:t>
      </w:r>
      <w:bookmarkEnd w:id="90"/>
      <w:bookmarkEnd w:id="91"/>
      <w:bookmarkEnd w:id="92"/>
    </w:p>
    <w:p w14:paraId="40E5A3B9" w14:textId="054A1CF1" w:rsidR="00D31DD8" w:rsidRDefault="00F32B70" w:rsidP="00391005">
      <w:pPr>
        <w:pStyle w:val="ListParagraph"/>
      </w:pPr>
      <w:r>
        <w:t xml:space="preserve">Structurally intact elements were aligned to the forty-five </w:t>
      </w:r>
      <w:r w:rsidR="0089103F">
        <w:t>full length</w:t>
      </w:r>
      <w:r>
        <w:t xml:space="preserve"> </w:t>
      </w:r>
      <w:r w:rsidR="0089103F">
        <w:t xml:space="preserve">LTR retrotransposon </w:t>
      </w:r>
      <w:r>
        <w:t xml:space="preserve">reference sequences </w:t>
      </w:r>
      <w:r w:rsidR="0089103F">
        <w:t xml:space="preserve">in the custom database </w:t>
      </w:r>
      <w:r>
        <w:t>using MUSCLE with default settings, and analysed for putative coding regions with GyDB protein</w:t>
      </w:r>
      <w:r w:rsidR="00D10048">
        <w:t xml:space="preserve"> pHMMs, using HMMER hmmscan and</w:t>
      </w:r>
      <w:r>
        <w:t xml:space="preserve"> an E-value threshold of 10</w:t>
      </w:r>
      <w:r>
        <w:rPr>
          <w:vertAlign w:val="superscript"/>
        </w:rPr>
        <w:t>-10</w:t>
      </w:r>
      <w:r>
        <w:t>. Domain alignments</w:t>
      </w:r>
      <w:r w:rsidR="0089103F">
        <w:t xml:space="preserve"> were inspected and SIEs were</w:t>
      </w:r>
      <w:r>
        <w:t xml:space="preserve"> manually classified </w:t>
      </w:r>
      <w:r w:rsidR="0089103F">
        <w:t>into either a retroviral genus or another LTR retrotransposon family</w:t>
      </w:r>
      <w:r>
        <w:t xml:space="preserve">. Protein assignments, particularly </w:t>
      </w:r>
      <w:r w:rsidRPr="00616A75">
        <w:rPr>
          <w:i/>
        </w:rPr>
        <w:t>reverse transcriptase</w:t>
      </w:r>
      <w:r>
        <w:t xml:space="preserve">, took precedence over nucleotide alignments during classification. </w:t>
      </w:r>
    </w:p>
    <w:p w14:paraId="44C6D895" w14:textId="77777777" w:rsidR="00F32B70" w:rsidRDefault="00F32B70" w:rsidP="00391005">
      <w:pPr>
        <w:pStyle w:val="ListParagraph"/>
      </w:pPr>
      <w:r>
        <w:lastRenderedPageBreak/>
        <w:t xml:space="preserve">LTR pair sequence identity was calculated from MUSCLE alignments with default settings. The insertion date for each element was calculated using this LTR pair identity and nucleotide divergence rates from the Galliformes </w:t>
      </w:r>
      <w:r>
        <w:fldChar w:fldCharType="begin" w:fldLock="1"/>
      </w:r>
      <w:r w:rsidR="007267ED">
        <w:instrText>ADDIN CSL_CITATION { "citationItems" : [ { "id" : "ITEM-1", "itemData" : { "author" : [ { "dropping-particle" : "", "family" : "Helm-Bychowski", "given" : "Kathleen M", "non-dropping-particle" : "", "parse-names" : false, "suffix" : "" }, { "dropping-particle" : "", "family" : "Wilson", "given" : "Allan C", "non-dropping-particle" : "", "parse-names" : false, "suffix" : "" } ], "container-title" : "PNAS", "id" : "ITEM-1", "issue" : "3", "issued" : { "date-parts" : [ [ "1986" ] ] }, "note" : "Studied 161 nuclear restriction sites in seven species of the Phasianoidea family - chicken, red jungle fowl, turkey, green jungle fowl, guinea fowl, peafowl &amp;amp; chukar.\nLooked at three regions that have been well defined in the chicken genome - globin regions. These have also been studied well in primates (by this stage). Found similar substitution rates in all three regions despite very different Kd rates across the coding regions. Used mainly fossil data to calibrate their tree for calculating divergence, rather than biogeographic knowledge. \nSaw rates of between 0.34 and 0.40% divergence per million years, similar to analysis in primates across the homologous genome regions.\nPrevious suggestions of rates by Sibley &amp;amp; Ahlquist in 1983 and 1984 publications (papers not read) which only used biogeographic data and gave a rate of 0.22% divergence per million years.", "page" : "688-692", "title" : "Rates of nuclear DNA evolution in pheasant-like birds: Evidence from restriction maps", "type" : "article-journal", "volume" : "83" }, "uris" : [ "http://www.mendeley.com/documents/?uuid=a191c6eb-7530-47fa-88f5-559504fdea05" ] } ], "mendeley" : { "formattedCitation" : "(Helm-Bychowski &amp; Wilson 1986)", "plainTextFormattedCitation" : "(Helm-Bychowski &amp; Wilson 1986)", "previouslyFormattedCitation" : "(Helm-Bychowski &amp; Wilson 1986)" }, "properties" : { "noteIndex" : 0 }, "schema" : "https://github.com/citation-style-language/schema/raw/master/csl-citation.json" }</w:instrText>
      </w:r>
      <w:r>
        <w:fldChar w:fldCharType="separate"/>
      </w:r>
      <w:r w:rsidRPr="00F32B70">
        <w:rPr>
          <w:noProof/>
        </w:rPr>
        <w:t>(Helm-Bychowski &amp; Wilson 1986)</w:t>
      </w:r>
      <w:r>
        <w:fldChar w:fldCharType="end"/>
      </w:r>
      <w:r>
        <w:t xml:space="preserve">. The potential impact of selection on element distribution over time was tested by randomly assigning intact element insertion ages 1,000 times, and averaging the proportions for age categories based on LTR identity. </w:t>
      </w:r>
    </w:p>
    <w:p w14:paraId="1B6FA6F2" w14:textId="3E2C8BD1" w:rsidR="00607890" w:rsidRDefault="00607890" w:rsidP="00391005">
      <w:pPr>
        <w:pStyle w:val="ListParagraph"/>
      </w:pPr>
      <w:r>
        <w:t>Average GC content was calculated for the entire genome and per chromosome. Chromosomal GC content was correlated with log</w:t>
      </w:r>
      <w:r>
        <w:rPr>
          <w:vertAlign w:val="subscript"/>
        </w:rPr>
        <w:t>10</w:t>
      </w:r>
      <w:r>
        <w:t xml:space="preserve"> transformed values for chromosome length and g</w:t>
      </w:r>
      <w:r w:rsidR="00D10048">
        <w:t>ene density. GC content was</w:t>
      </w:r>
      <w:r>
        <w:t xml:space="preserve"> calculated for each structurally intact element and compared to the genomic average as a function of their calculated insertion date. </w:t>
      </w:r>
    </w:p>
    <w:p w14:paraId="3EDA5297" w14:textId="77777777" w:rsidR="00600158" w:rsidRPr="00F32B70" w:rsidRDefault="00600158" w:rsidP="00391005">
      <w:pPr>
        <w:pStyle w:val="ListParagraph"/>
      </w:pPr>
    </w:p>
    <w:p w14:paraId="25644B16" w14:textId="5077395D" w:rsidR="00D31DD8" w:rsidRDefault="00D31DD8" w:rsidP="00D31DD8">
      <w:pPr>
        <w:pStyle w:val="Heading3"/>
      </w:pPr>
      <w:bookmarkStart w:id="93" w:name="_Ref468793405"/>
      <w:bookmarkStart w:id="94" w:name="_Toc485721575"/>
      <w:bookmarkStart w:id="95" w:name="_Toc486787155"/>
      <w:bookmarkStart w:id="96" w:name="_Toc486787303"/>
      <w:r>
        <w:t>Genomic distribution of LTR retrotransposon</w:t>
      </w:r>
      <w:r w:rsidR="00576D01">
        <w:t>s</w:t>
      </w:r>
      <w:bookmarkEnd w:id="93"/>
      <w:bookmarkEnd w:id="94"/>
      <w:bookmarkEnd w:id="95"/>
      <w:bookmarkEnd w:id="96"/>
    </w:p>
    <w:p w14:paraId="13A1552D" w14:textId="77777777" w:rsidR="00D31DD8" w:rsidRDefault="004B2485" w:rsidP="004B2485">
      <w:pPr>
        <w:pStyle w:val="Heading4"/>
      </w:pPr>
      <w:r>
        <w:t>LTR retrotransposon density and clustering</w:t>
      </w:r>
    </w:p>
    <w:p w14:paraId="2F4D4C15" w14:textId="03197F9C" w:rsidR="004B2485" w:rsidRDefault="004B2485" w:rsidP="00391005">
      <w:pPr>
        <w:pStyle w:val="ListParagraph"/>
      </w:pPr>
      <w:r>
        <w:t xml:space="preserve">Element density (LTR retrotransposons per Mb) was calculated per chromosome and correlated with chromosome length, gene density and average chromosomal recombination rate </w:t>
      </w:r>
      <w:r>
        <w:fldChar w:fldCharType="begin" w:fldLock="1"/>
      </w:r>
      <w:r w:rsidR="00A01AC3">
        <w:instrText>ADDIN CSL_CITATION { "citationItems" : [ { "id" : "ITEM-1", "itemData" : { "author" : [ { "dropping-particle" : "", "family" : "Elferink", "given" : "MG", "non-dropping-particle" : "", "parse-names" : false, "suffix" : "" }, { "dropping-particle" : "", "family" : "As", "given" : "P", "non-dropping-particle" : "van", "parse-names" : false, "suffix" : "" }, { "dropping-particle" : "", "family" : "Veenendaal", "given" : "T", "non-dropping-particle" : "", "parse-names" : false, "suffix" : "" }, { "dropping-particle" : "", "family" : "Crooijmans", "given" : "RPMA", "non-dropping-particle" : "", "parse-names" : false, "suffix" : "" }, { "dropping-particle" : "", "family" : "Groenen", "given" : "MAM", "non-dropping-particle" : "", "parse-names" : false, "suffix" : "" } ], "container-title" : "BMC Genetics", "id" : "ITEM-1", "issue" : "11", "issued" : { "date-parts" : [ [ "2010" ] ] }, "note" : "Reuben (Sothampton collaborator) has shown there is significant recombination variation between breeds and even between individuals. Use of 1619 individuals to create the combined scores should cover it.\n\n\nAverage rate was 3 cM/Mb.\nRate decreased as chromosome length increased. Macrochromosomes had lower average rate of 2cM/Mb. Microchromosomes were higher, ranging from 3-14cM/Mb. \n\n\nAnalyses were also done separately for each population used, and for each sex within and between populations. I will just use the average data sets.", "title" : "Regional differences in recombination hotspots between two chicken populations", "type" : "article-journal", "volume" : "11" }, "uris" : [ "http://www.mendeley.com/documents/?uuid=f99f5dd9-c1a9-48e7-af64-242657060f67" ] } ], "mendeley" : { "formattedCitation" : "(Elferink et al. 2010)", "plainTextFormattedCitation" : "(Elferink et al. 2010)", "previouslyFormattedCitation" : "(Elferink et al. 2010)" }, "properties" : { "noteIndex" : 0 }, "schema" : "https://github.com/citation-style-language/schema/raw/master/csl-citation.json" }</w:instrText>
      </w:r>
      <w:r>
        <w:fldChar w:fldCharType="separate"/>
      </w:r>
      <w:r w:rsidRPr="004B2485">
        <w:rPr>
          <w:noProof/>
        </w:rPr>
        <w:t>(Elferink et al. 2010)</w:t>
      </w:r>
      <w:r>
        <w:fldChar w:fldCharType="end"/>
      </w:r>
      <w:r>
        <w:t>, all of which were log</w:t>
      </w:r>
      <w:r>
        <w:rPr>
          <w:vertAlign w:val="subscript"/>
        </w:rPr>
        <w:t>10</w:t>
      </w:r>
      <w:r>
        <w:t xml:space="preserve"> transformed to normality. </w:t>
      </w:r>
      <w:r w:rsidR="00B521B3">
        <w:t xml:space="preserve">Pairwise Pearson correlations were performed and a General Linear Model (GLM) fitted using element density as the response variable and chromosome length and recombination rate as covariates. </w:t>
      </w:r>
      <w:r w:rsidR="00697BAE">
        <w:t xml:space="preserve">Data from chromosomes 27 and Z were excluded from the GLM </w:t>
      </w:r>
      <w:r w:rsidR="00A153E2">
        <w:t xml:space="preserve">as outliers </w:t>
      </w:r>
      <w:r w:rsidR="00697BAE">
        <w:t>due to large residuals in the normality plots. Furthermore, data from chromosomes 16, 25</w:t>
      </w:r>
      <w:r w:rsidR="00D10048">
        <w:t>, 32</w:t>
      </w:r>
      <w:r w:rsidR="00697BAE">
        <w:t xml:space="preserve"> and W could not be directly compared to the overall analysis due to substantial known sequence assembly gaps. </w:t>
      </w:r>
    </w:p>
    <w:p w14:paraId="436C85F7" w14:textId="7EDC457B" w:rsidR="00914B88" w:rsidRDefault="00914B88" w:rsidP="00391005">
      <w:pPr>
        <w:pStyle w:val="ListParagraph"/>
      </w:pPr>
      <w:r>
        <w:t xml:space="preserve">Density heterogeneity was considered through identification of structurally intact elements in clusters, with a cluster defined as at least five elements per Mb, compared to a calculated even distribution of one element per Mb. </w:t>
      </w:r>
      <w:r w:rsidR="00F64F6B">
        <w:t>Thi</w:t>
      </w:r>
      <w:r w:rsidR="00722786">
        <w:t>s level was chosen to match the cluster definition</w:t>
      </w:r>
      <w:r w:rsidR="00F64F6B">
        <w:t xml:space="preserve"> used in the previous work by Bolisetty and colleagues (2012)</w:t>
      </w:r>
      <w:r w:rsidR="00722786">
        <w:t xml:space="preserve"> with the Galgal3 genome assembly</w:t>
      </w:r>
      <w:r w:rsidR="00F64F6B">
        <w:t>,</w:t>
      </w:r>
      <w:r w:rsidR="00722786">
        <w:t xml:space="preserve"> even though they identified half the number of structurally intact elemen</w:t>
      </w:r>
      <w:r w:rsidR="00A153E2">
        <w:t>ts compared with the Galgal4 analysis presented in this thesis</w:t>
      </w:r>
      <w:r w:rsidR="00722786">
        <w:t xml:space="preserve">. Tests were completed using a stricter </w:t>
      </w:r>
      <w:r w:rsidR="004A2F4E">
        <w:t xml:space="preserve">cluster </w:t>
      </w:r>
      <w:r w:rsidR="00722786">
        <w:t xml:space="preserve">cut-off of ten elements per Mb, to ensure the identified clusters were biologically representative rather than a statistical result of an </w:t>
      </w:r>
      <w:r w:rsidR="00722786">
        <w:lastRenderedPageBreak/>
        <w:t xml:space="preserve">increased number of identified elements. </w:t>
      </w:r>
      <w:r w:rsidR="004A2F4E">
        <w:t xml:space="preserve">Elements within each cluster were checked for </w:t>
      </w:r>
      <w:r w:rsidR="00A153E2">
        <w:t>their insertion ag</w:t>
      </w:r>
      <w:r w:rsidR="00D10048">
        <w:t>e and LTR retrotransposon family classification</w:t>
      </w:r>
      <w:r w:rsidR="004A2F4E">
        <w:t>.</w:t>
      </w:r>
    </w:p>
    <w:p w14:paraId="355C2162" w14:textId="2F32901D" w:rsidR="004A2F4E" w:rsidRDefault="004A2F4E" w:rsidP="00391005">
      <w:pPr>
        <w:pStyle w:val="ListParagraph"/>
      </w:pPr>
      <w:r>
        <w:t>The probability of clusters arising by chance was assessed by comparing the ob</w:t>
      </w:r>
      <w:r w:rsidR="00D10048">
        <w:t>served number of SIEs</w:t>
      </w:r>
      <w:r>
        <w:t xml:space="preserve"> within clusters to 100,000 random integration distributions using equal numbers of modelled insertion sites. Differences between observed and simulated cluster numbers were quantified </w:t>
      </w:r>
      <w:r w:rsidR="00D10048">
        <w:t>with exact binomial tests. Average r</w:t>
      </w:r>
      <w:r>
        <w:t>ecombination rate</w:t>
      </w:r>
      <w:r w:rsidR="00D10048">
        <w:t>s within clusters were</w:t>
      </w:r>
      <w:r>
        <w:t xml:space="preserve"> obtained from the 500</w:t>
      </w:r>
      <w:r w:rsidR="00614DD6">
        <w:t xml:space="preserve"> </w:t>
      </w:r>
      <w:r>
        <w:t>kb</w:t>
      </w:r>
      <w:r w:rsidR="00D10048">
        <w:t>-average-bin data from Elferink and colleagues</w:t>
      </w:r>
      <w:r>
        <w:t xml:space="preserve"> (2010), following conversion of cluster positions to the Galgal3 assembly (WASHCU2; GenBa</w:t>
      </w:r>
      <w:r w:rsidR="000C2448">
        <w:t>nk: GCF_000002315.2</w:t>
      </w:r>
      <w:r w:rsidR="00054A7A">
        <w:t>) using the ‘</w:t>
      </w:r>
      <w:r>
        <w:t>Map t</w:t>
      </w:r>
      <w:r w:rsidR="00054A7A">
        <w:t>o Reference’</w:t>
      </w:r>
      <w:r>
        <w:t xml:space="preserve"> tool in Geneious v7.0.4 </w:t>
      </w:r>
      <w:r>
        <w:fldChar w:fldCharType="begin" w:fldLock="1"/>
      </w:r>
      <w:r w:rsidR="00F61088">
        <w:instrText>ADDIN CSL_CITATION { "citationItems" : [ { "id" : "ITEM-1", "itemData" : { "author" : [ { "dropping-particle" : "", "family" : "Kearse", "given" : "M", "non-dropping-particle" : "", "parse-names" : false, "suffix" : "" }, { "dropping-particle" : "", "family" : "Moir", "given" : "R", "non-dropping-particle" : "", "parse-names" : false, "suffix" : "" }, { "dropping-particle" : "", "family" : "Wilson", "given" : "A", "non-dropping-particle" : "", "parse-names" : false, "suffix" : "" }, { "dropping-particle" : "", "family" : "Stones-Havas", "given" : "S", "non-dropping-particle" : "", "parse-names" : false, "suffix" : "" }, { "dropping-particle" : "", "family" : "Cheung", "given" : "M", "non-dropping-particle" : "", "parse-names" : false, "suffix" : "" }, { "dropping-particle" : "", "family" : "Sturrock", "given" : "S", "non-dropping-particle" : "", "parse-names" : false, "suffix" : "" }, { "dropping-particle" : "", "family" : "Buxton", "given" : "S", "non-dropping-particle" : "", "parse-names" : false, "suffix" : "" }, { "dropping-particle" : "", "family" : "Cooper", "given" : "A", "non-dropping-particle" : "", "parse-names" : false, "suffix" : "" }, { "dropping-particle" : "", "family" : "Markowitz", "given" : "S", "non-dropping-particle" : "", "parse-names" : false, "suffix" : "" }, { "dropping-particle" : "", "family" : "Duran", "given" : "C", "non-dropping-particle" : "", "parse-names" : false, "suffix" : "" }, { "dropping-particle" : "", "family" : "Thierer", "given" : "T", "non-dropping-particle" : "", "parse-names" : false, "suffix" : "" }, { "dropping-particle" : "", "family" : "Ashton", "given" : "B", "non-dropping-particle" : "", "parse-names" : false, "suffix" : "" }, { "dropping-particle" : "", "family" : "Mentjies", "given" : "P", "non-dropping-particle" : "", "parse-names" : false, "suffix" : "" }, { "dropping-particle" : "", "family" : "Drummond", "given" : "A", "non-dropping-particle" : "", "parse-names" : false, "suffix" : "" } ], "container-title" : "Bioinformatics", "id" : "ITEM-1", "issue" : "12", "issued" : { "date-parts" : [ [ "2012" ] ] }, "page" : "1647-1649", "title" : "Geneious Basic: an integrated and extendable desktop software platform for the organization and analysis of sequence data", "type" : "article-journal", "volume" : "28" }, "uris" : [ "http://www.mendeley.com/documents/?uuid=ff49d444-9bfe-44ad-a64f-4c153dde7e69" ] } ], "mendeley" : { "formattedCitation" : "(Kearse et al. 2012)", "plainTextFormattedCitation" : "(Kearse et al. 2012)", "previouslyFormattedCitation" : "(Kearse et al. 2012)" }, "properties" : { "noteIndex" : 0 }, "schema" : "https://github.com/citation-style-language/schema/raw/master/csl-citation.json" }</w:instrText>
      </w:r>
      <w:r>
        <w:fldChar w:fldCharType="separate"/>
      </w:r>
      <w:r w:rsidRPr="004A2F4E">
        <w:rPr>
          <w:noProof/>
        </w:rPr>
        <w:t>(Kearse et al. 2012)</w:t>
      </w:r>
      <w:r>
        <w:fldChar w:fldCharType="end"/>
      </w:r>
      <w:r>
        <w:t>. Galgal4 centromere locations were also mapped using the Galgal3 annotations</w:t>
      </w:r>
      <w:r w:rsidR="00053E3C">
        <w:t xml:space="preserve"> (</w:t>
      </w:r>
      <w:r w:rsidR="00C15A30" w:rsidRPr="00C15A30">
        <w:fldChar w:fldCharType="begin" w:fldLock="1"/>
      </w:r>
      <w:r w:rsidR="00C15A30" w:rsidRPr="00C15A30">
        <w:instrText xml:space="preserve"> REF _Ref477505800 \h  \* MERGEFORMAT </w:instrText>
      </w:r>
      <w:r w:rsidR="00C15A30" w:rsidRPr="00C15A30">
        <w:fldChar w:fldCharType="separate"/>
      </w:r>
      <w:r w:rsidR="002C549C" w:rsidRPr="00D10048">
        <w:t xml:space="preserve">Table </w:t>
      </w:r>
      <w:r w:rsidR="002C549C">
        <w:rPr>
          <w:noProof/>
        </w:rPr>
        <w:t>2</w:t>
      </w:r>
      <w:r w:rsidR="002C549C" w:rsidRPr="00D10048">
        <w:rPr>
          <w:noProof/>
        </w:rPr>
        <w:t>.</w:t>
      </w:r>
      <w:r w:rsidR="002C549C">
        <w:rPr>
          <w:noProof/>
        </w:rPr>
        <w:t>2</w:t>
      </w:r>
      <w:r w:rsidR="00C15A30" w:rsidRPr="00C15A30">
        <w:fldChar w:fldCharType="end"/>
      </w:r>
      <w:r w:rsidR="00053E3C">
        <w:t>)</w:t>
      </w:r>
      <w:r>
        <w:t>.</w:t>
      </w:r>
    </w:p>
    <w:p w14:paraId="4A047D31" w14:textId="4100BD25" w:rsidR="00053E3C" w:rsidRDefault="00053E3C" w:rsidP="00053E3C">
      <w:pPr>
        <w:pStyle w:val="Caption"/>
      </w:pPr>
      <w:bookmarkStart w:id="97" w:name="_Ref477505800"/>
      <w:bookmarkStart w:id="98" w:name="_Toc486786298"/>
      <w:r w:rsidRPr="00D10048">
        <w:t xml:space="preserve">Table </w:t>
      </w:r>
      <w:fldSimple w:instr=" STYLEREF 1 \s " w:fldLock="1">
        <w:r w:rsidR="002C549C">
          <w:rPr>
            <w:noProof/>
          </w:rPr>
          <w:t>2</w:t>
        </w:r>
      </w:fldSimple>
      <w:r w:rsidR="001167C6" w:rsidRPr="00D10048">
        <w:t>.</w:t>
      </w:r>
      <w:fldSimple w:instr=" SEQ Table \* ARABIC \s 1 " w:fldLock="1">
        <w:r w:rsidR="002C549C">
          <w:rPr>
            <w:noProof/>
          </w:rPr>
          <w:t>2</w:t>
        </w:r>
      </w:fldSimple>
      <w:bookmarkEnd w:id="97"/>
      <w:r w:rsidRPr="00D10048">
        <w:t xml:space="preserve"> </w:t>
      </w:r>
      <w:r>
        <w:t>Galgal4 centromeric locations identif</w:t>
      </w:r>
      <w:r w:rsidR="00C15A30">
        <w:t>ied using the flanking sequence to the 1.5</w:t>
      </w:r>
      <w:r w:rsidR="00614DD6">
        <w:t xml:space="preserve"> </w:t>
      </w:r>
      <w:r w:rsidR="00C15A30">
        <w:t>Mb of ambiguous bases used to mark the centromeres in the Galgal3 WASHCU2 annotation file. Whilst the Galgal4 centromeres often retain some ambiguous bases, their resolution was greatly improved.</w:t>
      </w:r>
      <w:bookmarkEnd w:id="98"/>
    </w:p>
    <w:tbl>
      <w:tblPr>
        <w:tblStyle w:val="TableGrid"/>
        <w:tblW w:w="70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2693"/>
        <w:gridCol w:w="2835"/>
      </w:tblGrid>
      <w:tr w:rsidR="00C15A30" w14:paraId="32CA89C1" w14:textId="77777777" w:rsidTr="00C15A30">
        <w:trPr>
          <w:trHeight w:val="552"/>
          <w:jc w:val="center"/>
        </w:trPr>
        <w:tc>
          <w:tcPr>
            <w:tcW w:w="1560" w:type="dxa"/>
            <w:tcBorders>
              <w:top w:val="single" w:sz="4" w:space="0" w:color="auto"/>
              <w:bottom w:val="single" w:sz="4" w:space="0" w:color="auto"/>
            </w:tcBorders>
            <w:vAlign w:val="center"/>
          </w:tcPr>
          <w:p w14:paraId="61FDD594" w14:textId="170402D1" w:rsidR="00C15A30" w:rsidRDefault="00C15A30" w:rsidP="00C15A30">
            <w:pPr>
              <w:pStyle w:val="Tablecontent"/>
              <w:jc w:val="center"/>
            </w:pPr>
            <w:r>
              <w:t>Chromosome</w:t>
            </w:r>
          </w:p>
        </w:tc>
        <w:tc>
          <w:tcPr>
            <w:tcW w:w="2693" w:type="dxa"/>
            <w:tcBorders>
              <w:top w:val="single" w:sz="4" w:space="0" w:color="auto"/>
              <w:bottom w:val="single" w:sz="4" w:space="0" w:color="auto"/>
            </w:tcBorders>
            <w:vAlign w:val="center"/>
          </w:tcPr>
          <w:p w14:paraId="61F774D1" w14:textId="0C5C47C5" w:rsidR="00C15A30" w:rsidRDefault="00C15A30" w:rsidP="00C15A30">
            <w:pPr>
              <w:pStyle w:val="Tablecontent"/>
              <w:jc w:val="center"/>
            </w:pPr>
            <w:r>
              <w:t>Galgal3</w:t>
            </w:r>
          </w:p>
        </w:tc>
        <w:tc>
          <w:tcPr>
            <w:tcW w:w="2835" w:type="dxa"/>
            <w:tcBorders>
              <w:top w:val="single" w:sz="4" w:space="0" w:color="auto"/>
              <w:bottom w:val="single" w:sz="4" w:space="0" w:color="auto"/>
            </w:tcBorders>
            <w:vAlign w:val="center"/>
          </w:tcPr>
          <w:p w14:paraId="6D495EE6" w14:textId="66DE6E41" w:rsidR="00C15A30" w:rsidRDefault="00C15A30" w:rsidP="00C15A30">
            <w:pPr>
              <w:pStyle w:val="Tablecontent"/>
              <w:jc w:val="center"/>
            </w:pPr>
            <w:r>
              <w:t>Galgal4</w:t>
            </w:r>
          </w:p>
        </w:tc>
      </w:tr>
      <w:tr w:rsidR="00C15A30" w14:paraId="7CB7888E" w14:textId="77777777" w:rsidTr="00C15A30">
        <w:trPr>
          <w:jc w:val="center"/>
        </w:trPr>
        <w:tc>
          <w:tcPr>
            <w:tcW w:w="1560" w:type="dxa"/>
            <w:tcBorders>
              <w:top w:val="single" w:sz="4" w:space="0" w:color="auto"/>
            </w:tcBorders>
            <w:vAlign w:val="center"/>
          </w:tcPr>
          <w:p w14:paraId="1F136FAE" w14:textId="3C6E3BDC" w:rsidR="00C15A30" w:rsidRDefault="00C15A30" w:rsidP="00C15A30">
            <w:pPr>
              <w:pStyle w:val="Tablecontent"/>
              <w:ind w:right="41"/>
              <w:jc w:val="center"/>
            </w:pPr>
            <w:r>
              <w:t>1</w:t>
            </w:r>
          </w:p>
        </w:tc>
        <w:tc>
          <w:tcPr>
            <w:tcW w:w="2693" w:type="dxa"/>
            <w:tcBorders>
              <w:top w:val="single" w:sz="4" w:space="0" w:color="auto"/>
              <w:left w:val="nil"/>
            </w:tcBorders>
            <w:vAlign w:val="center"/>
          </w:tcPr>
          <w:p w14:paraId="47B03363" w14:textId="229B7673" w:rsidR="00C15A30" w:rsidRPr="005A55BD" w:rsidRDefault="00C15A30" w:rsidP="00C15A30">
            <w:pPr>
              <w:pStyle w:val="Tablecontent"/>
              <w:jc w:val="center"/>
            </w:pPr>
            <w:r>
              <w:t>76,857,403 - 78,357,402</w:t>
            </w:r>
          </w:p>
        </w:tc>
        <w:tc>
          <w:tcPr>
            <w:tcW w:w="2835" w:type="dxa"/>
            <w:tcBorders>
              <w:top w:val="single" w:sz="4" w:space="0" w:color="auto"/>
            </w:tcBorders>
            <w:vAlign w:val="center"/>
          </w:tcPr>
          <w:p w14:paraId="4DB03A40" w14:textId="7A2B41B4" w:rsidR="00C15A30" w:rsidRPr="005A55BD" w:rsidRDefault="00C15A30" w:rsidP="00C15A30">
            <w:pPr>
              <w:pStyle w:val="Tablecontent"/>
              <w:jc w:val="center"/>
            </w:pPr>
            <w:r>
              <w:t>74,621,949 - 74,673,419</w:t>
            </w:r>
          </w:p>
        </w:tc>
      </w:tr>
      <w:tr w:rsidR="00C15A30" w14:paraId="30686974" w14:textId="77777777" w:rsidTr="00C15A30">
        <w:trPr>
          <w:jc w:val="center"/>
        </w:trPr>
        <w:tc>
          <w:tcPr>
            <w:tcW w:w="1560" w:type="dxa"/>
            <w:vAlign w:val="center"/>
          </w:tcPr>
          <w:p w14:paraId="27FEB197" w14:textId="09F63E3C" w:rsidR="00C15A30" w:rsidRDefault="00C15A30" w:rsidP="00C15A30">
            <w:pPr>
              <w:pStyle w:val="Tablecontent"/>
              <w:ind w:right="41"/>
              <w:jc w:val="center"/>
            </w:pPr>
            <w:r>
              <w:t>2</w:t>
            </w:r>
          </w:p>
        </w:tc>
        <w:tc>
          <w:tcPr>
            <w:tcW w:w="2693" w:type="dxa"/>
            <w:tcBorders>
              <w:left w:val="nil"/>
            </w:tcBorders>
            <w:vAlign w:val="center"/>
          </w:tcPr>
          <w:p w14:paraId="70EFA706" w14:textId="3A251A81" w:rsidR="00C15A30" w:rsidRDefault="00C15A30" w:rsidP="00C15A30">
            <w:pPr>
              <w:pStyle w:val="Tablecontent"/>
              <w:jc w:val="center"/>
            </w:pPr>
            <w:r>
              <w:t>52,291,242 - 53,791,241</w:t>
            </w:r>
          </w:p>
        </w:tc>
        <w:tc>
          <w:tcPr>
            <w:tcW w:w="2835" w:type="dxa"/>
            <w:vAlign w:val="center"/>
          </w:tcPr>
          <w:p w14:paraId="34E781B9" w14:textId="5508159F" w:rsidR="00C15A30" w:rsidRDefault="00C15A30" w:rsidP="00C15A30">
            <w:pPr>
              <w:pStyle w:val="Tablecontent"/>
              <w:jc w:val="center"/>
            </w:pPr>
            <w:r>
              <w:t>52,740,394 - 52,743,010</w:t>
            </w:r>
          </w:p>
        </w:tc>
      </w:tr>
      <w:tr w:rsidR="00C15A30" w14:paraId="0AE29407" w14:textId="77777777" w:rsidTr="00C15A30">
        <w:trPr>
          <w:jc w:val="center"/>
        </w:trPr>
        <w:tc>
          <w:tcPr>
            <w:tcW w:w="1560" w:type="dxa"/>
            <w:vAlign w:val="center"/>
          </w:tcPr>
          <w:p w14:paraId="30A2596A" w14:textId="508139D3" w:rsidR="00C15A30" w:rsidRDefault="00C15A30" w:rsidP="00C15A30">
            <w:pPr>
              <w:pStyle w:val="Tablecontent"/>
              <w:ind w:right="41"/>
              <w:jc w:val="center"/>
            </w:pPr>
            <w:r>
              <w:t>4</w:t>
            </w:r>
          </w:p>
        </w:tc>
        <w:tc>
          <w:tcPr>
            <w:tcW w:w="2693" w:type="dxa"/>
            <w:tcBorders>
              <w:left w:val="nil"/>
            </w:tcBorders>
            <w:vAlign w:val="center"/>
          </w:tcPr>
          <w:p w14:paraId="5F4CFBEA" w14:textId="3C1C78CE" w:rsidR="00C15A30" w:rsidRDefault="00C15A30" w:rsidP="00C15A30">
            <w:pPr>
              <w:pStyle w:val="Tablecontent"/>
              <w:jc w:val="center"/>
            </w:pPr>
            <w:r>
              <w:t>19,307,569 - 20,807,568</w:t>
            </w:r>
          </w:p>
        </w:tc>
        <w:tc>
          <w:tcPr>
            <w:tcW w:w="2835" w:type="dxa"/>
            <w:vAlign w:val="center"/>
          </w:tcPr>
          <w:p w14:paraId="276939FE" w14:textId="7E19A775" w:rsidR="00C15A30" w:rsidRPr="005A55BD" w:rsidRDefault="00C15A30" w:rsidP="00C15A30">
            <w:pPr>
              <w:pStyle w:val="Tablecontent"/>
              <w:jc w:val="center"/>
            </w:pPr>
            <w:r>
              <w:t>19,201,396 - 19,215,816</w:t>
            </w:r>
          </w:p>
        </w:tc>
      </w:tr>
      <w:tr w:rsidR="00C15A30" w14:paraId="06805DC4" w14:textId="77777777" w:rsidTr="00C15A30">
        <w:trPr>
          <w:jc w:val="center"/>
        </w:trPr>
        <w:tc>
          <w:tcPr>
            <w:tcW w:w="1560" w:type="dxa"/>
            <w:vAlign w:val="center"/>
          </w:tcPr>
          <w:p w14:paraId="31558059" w14:textId="28FECD46" w:rsidR="00C15A30" w:rsidRDefault="00C15A30" w:rsidP="00C15A30">
            <w:pPr>
              <w:pStyle w:val="Tablecontent"/>
              <w:ind w:right="41"/>
              <w:jc w:val="center"/>
            </w:pPr>
            <w:r>
              <w:t>5</w:t>
            </w:r>
          </w:p>
        </w:tc>
        <w:tc>
          <w:tcPr>
            <w:tcW w:w="2693" w:type="dxa"/>
            <w:tcBorders>
              <w:left w:val="nil"/>
            </w:tcBorders>
            <w:vAlign w:val="center"/>
          </w:tcPr>
          <w:p w14:paraId="3829ABD3" w14:textId="133B6B10" w:rsidR="00C15A30" w:rsidRPr="005A55BD" w:rsidRDefault="00C15A30" w:rsidP="00C15A30">
            <w:pPr>
              <w:pStyle w:val="Tablecontent"/>
              <w:jc w:val="center"/>
            </w:pPr>
            <w:r>
              <w:t>6,508,834 - 8,008,833</w:t>
            </w:r>
          </w:p>
        </w:tc>
        <w:tc>
          <w:tcPr>
            <w:tcW w:w="2835" w:type="dxa"/>
            <w:vAlign w:val="center"/>
          </w:tcPr>
          <w:p w14:paraId="31B1A129" w14:textId="0DC165EB" w:rsidR="00C15A30" w:rsidRPr="005A55BD" w:rsidRDefault="00C15A30" w:rsidP="00C15A30">
            <w:pPr>
              <w:pStyle w:val="Tablecontent"/>
              <w:jc w:val="center"/>
            </w:pPr>
            <w:r>
              <w:t>5,826,741 - 5,827,880</w:t>
            </w:r>
          </w:p>
        </w:tc>
      </w:tr>
      <w:tr w:rsidR="00C15A30" w14:paraId="3B317396" w14:textId="77777777" w:rsidTr="00C15A30">
        <w:trPr>
          <w:jc w:val="center"/>
        </w:trPr>
        <w:tc>
          <w:tcPr>
            <w:tcW w:w="1560" w:type="dxa"/>
            <w:vAlign w:val="center"/>
          </w:tcPr>
          <w:p w14:paraId="0599E0B4" w14:textId="5C8FA63C" w:rsidR="00C15A30" w:rsidRDefault="00C15A30" w:rsidP="00C15A30">
            <w:pPr>
              <w:pStyle w:val="Tablecontent"/>
              <w:ind w:right="41"/>
              <w:jc w:val="center"/>
            </w:pPr>
            <w:r>
              <w:t>8</w:t>
            </w:r>
          </w:p>
        </w:tc>
        <w:tc>
          <w:tcPr>
            <w:tcW w:w="2693" w:type="dxa"/>
            <w:tcBorders>
              <w:left w:val="nil"/>
            </w:tcBorders>
            <w:vAlign w:val="center"/>
          </w:tcPr>
          <w:p w14:paraId="7B4E0B37" w14:textId="5F3ED3A1" w:rsidR="00C15A30" w:rsidRPr="005A55BD" w:rsidRDefault="00C15A30" w:rsidP="00C15A30">
            <w:pPr>
              <w:pStyle w:val="Tablecontent"/>
              <w:jc w:val="center"/>
            </w:pPr>
            <w:r>
              <w:t>10,229,801 - 11,729,800</w:t>
            </w:r>
          </w:p>
        </w:tc>
        <w:tc>
          <w:tcPr>
            <w:tcW w:w="2835" w:type="dxa"/>
            <w:vAlign w:val="center"/>
          </w:tcPr>
          <w:p w14:paraId="7C113529" w14:textId="3827408F" w:rsidR="00C15A30" w:rsidRPr="005A55BD" w:rsidRDefault="00C15A30" w:rsidP="00C15A30">
            <w:pPr>
              <w:pStyle w:val="Tablecontent"/>
              <w:jc w:val="center"/>
            </w:pPr>
            <w:r>
              <w:t>9,981,100 - 9,992,722</w:t>
            </w:r>
          </w:p>
        </w:tc>
      </w:tr>
      <w:tr w:rsidR="00C15A30" w14:paraId="27C6368C" w14:textId="77777777" w:rsidTr="00C15A30">
        <w:trPr>
          <w:jc w:val="center"/>
        </w:trPr>
        <w:tc>
          <w:tcPr>
            <w:tcW w:w="1560" w:type="dxa"/>
            <w:tcBorders>
              <w:bottom w:val="single" w:sz="4" w:space="0" w:color="auto"/>
            </w:tcBorders>
            <w:vAlign w:val="center"/>
          </w:tcPr>
          <w:p w14:paraId="732C078C" w14:textId="55C08FCA" w:rsidR="00C15A30" w:rsidRDefault="00C15A30" w:rsidP="00C15A30">
            <w:pPr>
              <w:pStyle w:val="Tablecontent"/>
              <w:ind w:right="41"/>
              <w:jc w:val="center"/>
            </w:pPr>
            <w:r>
              <w:t>Z</w:t>
            </w:r>
          </w:p>
        </w:tc>
        <w:tc>
          <w:tcPr>
            <w:tcW w:w="2693" w:type="dxa"/>
            <w:tcBorders>
              <w:left w:val="nil"/>
              <w:bottom w:val="single" w:sz="4" w:space="0" w:color="auto"/>
            </w:tcBorders>
            <w:vAlign w:val="center"/>
          </w:tcPr>
          <w:p w14:paraId="7B2A7FB1" w14:textId="0B2DD79F" w:rsidR="00C15A30" w:rsidRDefault="00C15A30" w:rsidP="00C15A30">
            <w:pPr>
              <w:pStyle w:val="Tablecontent"/>
              <w:jc w:val="center"/>
            </w:pPr>
            <w:r>
              <w:t>24,138,915 - 25,638,914</w:t>
            </w:r>
          </w:p>
        </w:tc>
        <w:tc>
          <w:tcPr>
            <w:tcW w:w="2835" w:type="dxa"/>
            <w:tcBorders>
              <w:bottom w:val="single" w:sz="4" w:space="0" w:color="auto"/>
            </w:tcBorders>
            <w:vAlign w:val="center"/>
          </w:tcPr>
          <w:p w14:paraId="287190A1" w14:textId="6CA3F9F8" w:rsidR="00C15A30" w:rsidRDefault="00C15A30" w:rsidP="00C15A30">
            <w:pPr>
              <w:pStyle w:val="Tablecontent"/>
              <w:jc w:val="center"/>
            </w:pPr>
            <w:r>
              <w:t>24,533,502 - 24,641,581</w:t>
            </w:r>
          </w:p>
        </w:tc>
      </w:tr>
    </w:tbl>
    <w:p w14:paraId="0346EE47" w14:textId="77777777" w:rsidR="00053E3C" w:rsidRDefault="00053E3C" w:rsidP="00391005">
      <w:pPr>
        <w:pStyle w:val="ListParagraph"/>
      </w:pPr>
    </w:p>
    <w:p w14:paraId="2A797F79" w14:textId="77777777" w:rsidR="00CA0F9A" w:rsidRDefault="00CA0F9A" w:rsidP="00CA0F9A">
      <w:pPr>
        <w:pStyle w:val="Heading4"/>
      </w:pPr>
      <w:r>
        <w:t>Analysis of LTR retrotransposon distribution on chromosomes 27 and Z</w:t>
      </w:r>
    </w:p>
    <w:p w14:paraId="121C1AC1" w14:textId="77777777" w:rsidR="00CA0F9A" w:rsidRDefault="0016527F" w:rsidP="00391005">
      <w:pPr>
        <w:pStyle w:val="ListParagraph"/>
      </w:pPr>
      <w:r>
        <w:t>Chromosomes 27 and Z were identified as GLM outliers in terms of their LTR retrotransposon density. Density heterogeneity was inspected across each of these chromosomes individual</w:t>
      </w:r>
      <w:r w:rsidR="00645BC7">
        <w:t>ly</w:t>
      </w:r>
      <w:r>
        <w:t>, with particular regard to the recombination rate.</w:t>
      </w:r>
    </w:p>
    <w:p w14:paraId="5B3B10C3" w14:textId="54F52601" w:rsidR="0016527F" w:rsidRPr="0008127E" w:rsidRDefault="0008127E" w:rsidP="00391005">
      <w:pPr>
        <w:pStyle w:val="ListParagraph"/>
      </w:pPr>
      <w:r>
        <w:t>Chromosome 27 recombination rate and LTR retrotran</w:t>
      </w:r>
      <w:r w:rsidR="00D10048">
        <w:t>sposon density heterogeneity were</w:t>
      </w:r>
      <w:r>
        <w:t xml:space="preserve"> c</w:t>
      </w:r>
      <w:r w:rsidR="00D10048">
        <w:t>orrelated using the</w:t>
      </w:r>
      <w:r>
        <w:t xml:space="preserve"> 500</w:t>
      </w:r>
      <w:r w:rsidR="00614DD6">
        <w:t xml:space="preserve"> </w:t>
      </w:r>
      <w:r>
        <w:t>kb-average-bin data</w:t>
      </w:r>
      <w:r w:rsidR="00D10048">
        <w:t xml:space="preserve"> from Elferink and colleagues (2010)</w:t>
      </w:r>
      <w:r>
        <w:t xml:space="preserve">. </w:t>
      </w:r>
      <w:r>
        <w:lastRenderedPageBreak/>
        <w:t>These densities were inspected manually through Ensem</w:t>
      </w:r>
      <w:r w:rsidR="00D10048">
        <w:t>bl to enable</w:t>
      </w:r>
      <w:r w:rsidR="00A153E2">
        <w:t xml:space="preserve"> direct comparison with</w:t>
      </w:r>
      <w:r>
        <w:t xml:space="preserve"> gene distribution. The Ensembl annotation file was used to calculate average gene exon number across the chromosome</w:t>
      </w:r>
      <w:r w:rsidR="00A63DF8">
        <w:t>. In addition, the Ensembl Comparative Genomics Synteny tool was used to check chromosome 27 synteny with the genomes of the zebra finch (</w:t>
      </w:r>
      <w:r w:rsidR="00A63DF8">
        <w:rPr>
          <w:i/>
        </w:rPr>
        <w:t>Taeniopygia guttata</w:t>
      </w:r>
      <w:r w:rsidR="00A63DF8">
        <w:t>) and turkey (</w:t>
      </w:r>
      <w:r w:rsidR="00A63DF8" w:rsidRPr="00A63DF8">
        <w:rPr>
          <w:i/>
        </w:rPr>
        <w:t>Meleagris gallopavo</w:t>
      </w:r>
      <w:r w:rsidR="00A63DF8">
        <w:t xml:space="preserve">), as well as annotated gene paralogues also found on chromosome 27. </w:t>
      </w:r>
    </w:p>
    <w:p w14:paraId="03FF00F4" w14:textId="0A31D18B" w:rsidR="002B3FFC" w:rsidRDefault="00EC423B" w:rsidP="00391005">
      <w:pPr>
        <w:pStyle w:val="ListParagraph"/>
      </w:pPr>
      <w:r>
        <w:t>Element density in the high</w:t>
      </w:r>
      <w:r w:rsidR="00D10048">
        <w:t>ly</w:t>
      </w:r>
      <w:r w:rsidR="001F5411">
        <w:t xml:space="preserve"> recombining</w:t>
      </w:r>
      <w:r w:rsidR="0016527F">
        <w:t xml:space="preserve"> Z chromosome</w:t>
      </w:r>
      <w:r w:rsidR="001F5411">
        <w:t xml:space="preserve"> </w:t>
      </w:r>
      <w:r w:rsidR="0016527F">
        <w:t xml:space="preserve">pseudoautosomal region (PAR; </w:t>
      </w:r>
      <w:r w:rsidR="001F5411">
        <w:t>the 5’ 630</w:t>
      </w:r>
      <w:r w:rsidR="00614DD6">
        <w:t xml:space="preserve"> </w:t>
      </w:r>
      <w:r w:rsidR="001F5411">
        <w:t>kb of the chromosome</w:t>
      </w:r>
      <w:r w:rsidR="0016527F">
        <w:t>;</w:t>
      </w:r>
      <w:r w:rsidR="001F5411">
        <w:t xml:space="preserve"> </w:t>
      </w:r>
      <w:r w:rsidR="001F5411">
        <w:fldChar w:fldCharType="begin" w:fldLock="1"/>
      </w:r>
      <w:r w:rsidR="0016527F">
        <w:instrText>ADDIN CSL_CITATION { "citationItems" : [ { "id" : "ITEM-1", "itemData" : { "DOI" : "10.1038/ncomms6448", "ISSN" : "2041-1723", "PMID" : "25378102", "abstract" : "The molecular characteristics of the pseudoautosomal region (PAR) of sex chromosomes remain elusive. Despite significant genome-sequencing efforts, the PAR of highly differentiated avian sex chromosomes remains to be identified. Here we use linkage analysis together with whole-genome re-sequencing to uncover the 630-kb PAR of an ecological model species, the collared flycatcher. The PAR contains 22 protein-coding genes and is GC rich. The genetic length is 64\u2009cM in female meiosis, consistent with an obligate crossing-over event. Recombination is concentrated to a hotspot region, with an extreme rate of &gt;700\u2009cM/Mb in a 67-kb segment. We find no signatures of sexual antagonism and propose that sexual antagonism may have limited influence on PAR sequences when sex chromosomes are nearly fully differentiated and when a recombination hotspot region is located close to the PAR boundary. Our results demonstrate that a very small PAR suffices to ensure homologous recombination and proper segregation of sex chromosomes during meiosis.", "author" : [ { "dropping-particle" : "", "family" : "Smeds", "given" : "Linn\u00e9a", "non-dropping-particle" : "", "parse-names" : false, "suffix" : "" }, { "dropping-particle" : "", "family" : "Kawakami", "given" : "Takeshi", "non-dropping-particle" : "", "parse-names" : false, "suffix" : "" }, { "dropping-particle" : "", "family" : "Burri", "given" : "Reto", "non-dropping-particle" : "", "parse-names" : false, "suffix" : "" }, { "dropping-particle" : "", "family" : "Bolivar", "given" : "Paulina", "non-dropping-particle" : "", "parse-names" : false, "suffix" : "" }, { "dropping-particle" : "", "family" : "Husby", "given" : "Arild", "non-dropping-particle" : "", "parse-names" : false, "suffix" : "" }, { "dropping-particle" : "", "family" : "Qvarnstr\u00f6m", "given" : "Anna", "non-dropping-particle" : "", "parse-names" : false, "suffix" : "" }, { "dropping-particle" : "", "family" : "Uebbing", "given" : "Severin", "non-dropping-particle" : "", "parse-names" : false, "suffix" : "" }, { "dropping-particle" : "", "family" : "Ellegren", "given" : "Hans", "non-dropping-particle" : "", "parse-names" : false, "suffix" : "" } ], "container-title" : "Nature communications", "id" : "ITEM-1", "issued" : { "date-parts" : [ [ "2014", "1" ] ] }, "note" : "First 630kb of the Z (galGal4) is the pseudoautosomal region (PAR)", "page" : "5448", "title" : "Genomic identification and characterization of the pseudoautosomal region in highly differentiated avian sex chromosomes.", "type" : "article-journal", "volume" : "5" }, "uris" : [ "http://www.mendeley.com/documents/?uuid=706c56c4-643d-4fd8-9f4d-01dfc48dc9f7" ] } ], "mendeley" : { "formattedCitation" : "(Smeds et al. 2014)", "manualFormatting" : "Smeds et al. 2014)", "plainTextFormattedCitation" : "(Smeds et al. 2014)", "previouslyFormattedCitation" : "(Smeds et al. 2014)" }, "properties" : { "noteIndex" : 0 }, "schema" : "https://github.com/citation-style-language/schema/raw/master/csl-citation.json" }</w:instrText>
      </w:r>
      <w:r w:rsidR="001F5411">
        <w:fldChar w:fldCharType="separate"/>
      </w:r>
      <w:r w:rsidR="001F5411" w:rsidRPr="001F5411">
        <w:rPr>
          <w:noProof/>
        </w:rPr>
        <w:t>Smeds et al. 2014)</w:t>
      </w:r>
      <w:r w:rsidR="001F5411">
        <w:fldChar w:fldCharType="end"/>
      </w:r>
      <w:r w:rsidR="00A153E2">
        <w:t xml:space="preserve"> was compared with</w:t>
      </w:r>
      <w:r w:rsidR="001F5411">
        <w:t xml:space="preserve"> the chromosomal average. In addition, the log</w:t>
      </w:r>
      <w:r w:rsidR="001F5411">
        <w:rPr>
          <w:vertAlign w:val="subscript"/>
        </w:rPr>
        <w:t>10</w:t>
      </w:r>
      <w:r w:rsidR="001F5411">
        <w:t xml:space="preserve"> element density vs log</w:t>
      </w:r>
      <w:r w:rsidR="001F5411">
        <w:rPr>
          <w:vertAlign w:val="subscript"/>
        </w:rPr>
        <w:t>10</w:t>
      </w:r>
      <w:r w:rsidR="001F5411">
        <w:t xml:space="preserve"> chromosome length correlation straight line equation was used to predict the </w:t>
      </w:r>
      <w:r w:rsidR="0008127E">
        <w:t>expected</w:t>
      </w:r>
      <w:r w:rsidR="0016527F">
        <w:t xml:space="preserve"> </w:t>
      </w:r>
      <w:r w:rsidR="001F5411">
        <w:t>LTR retrotransposon density of the Z</w:t>
      </w:r>
      <w:r w:rsidR="0008127E">
        <w:t>, given its length</w:t>
      </w:r>
      <w:r w:rsidR="001F5411">
        <w:t>. The observed density was compare</w:t>
      </w:r>
      <w:r w:rsidR="00A153E2">
        <w:t>d to this expected value using the</w:t>
      </w:r>
      <w:r w:rsidR="0016527F">
        <w:t xml:space="preserve"> exact</w:t>
      </w:r>
      <w:r w:rsidR="001F5411">
        <w:t xml:space="preserve"> binomial test.</w:t>
      </w:r>
    </w:p>
    <w:p w14:paraId="4FA83122" w14:textId="77777777" w:rsidR="00600158" w:rsidRPr="001F5411" w:rsidRDefault="00600158" w:rsidP="00391005">
      <w:pPr>
        <w:pStyle w:val="ListParagraph"/>
      </w:pPr>
    </w:p>
    <w:p w14:paraId="68D44AA2" w14:textId="77777777" w:rsidR="004B2485" w:rsidRDefault="004B2485" w:rsidP="004B2485">
      <w:pPr>
        <w:pStyle w:val="Heading4"/>
      </w:pPr>
      <w:r>
        <w:t>Distribution of LTR retrotransposons relative to known gene annotations</w:t>
      </w:r>
    </w:p>
    <w:p w14:paraId="33401952" w14:textId="0641E4C5" w:rsidR="000504E0" w:rsidRDefault="00F61088" w:rsidP="00391005">
      <w:pPr>
        <w:pStyle w:val="ListParagraph"/>
      </w:pPr>
      <w:r>
        <w:t xml:space="preserve">Structurally intact element locations were compared to the Ensembl Galgal4 version 79 annotation file using the BEDTools v2.23.0 intersectBed tool </w:t>
      </w:r>
      <w:r>
        <w:fldChar w:fldCharType="begin" w:fldLock="1"/>
      </w:r>
      <w:r w:rsidR="001F5411">
        <w:instrText>ADDIN CSL_CITATION { "citationItems" : [ { "id" : "ITEM-1", "itemData" : { "DOI" : "10.1093/bioinformatics/btq033", "ISSN" : "1367-4811", "PMID" : "20110278", "abstract" : "MOTIVATION: Testing for correlations between different sets of genomic features is a fundamental task in genomics research. However, searching for overlaps between features with existing web-based methods is complicated by the massive datasets that are routinely produced with current sequencing technologies. Fast and flexible tools are therefore required to ask complex questions of these data in an efficient manner.\n\nRESULTS: This article introduces a new software suite for the comparison, manipulation and annotation of genomic features in Browser Extensible Data (BED) and General Feature Format (GFF) format. BEDTools also supports the comparison of sequence alignments in BAM format to both BED and GFF features. The tools are extremely efficient and allow the user to compare large datasets (e.g. next-generation sequencing data) with both public and custom genome annotation tracks. BEDTools can be combined with one another as well as with standard UNIX commands, thus facilitating routine genomics tasks as well as pipelines that can quickly answer intricate questions of large genomic datasets.\n\nAVAILABILITY AND IMPLEMENTATION: BEDTools was written in C++. Source code and a comprehensive user manual are freely available at http://code.google.com/p/bedtools\n\nCONTACT: aaronquinlan@gmail.com; imh4y@virginia.edu\n\nSUPPLEMENTARY INFORMATION: Supplementary data are available at Bioinformatics online.", "author" : [ { "dropping-particle" : "", "family" : "Quinlan", "given" : "Aaron R", "non-dropping-particle" : "", "parse-names" : false, "suffix" : "" }, { "dropping-particle" : "", "family" : "Hall", "given" : "Ira M", "non-dropping-particle" : "", "parse-names" : false, "suffix" : "" } ], "container-title" : "Bioinformatics (Oxford, England)", "id" : "ITEM-1", "issue" : "6", "issued" : { "date-parts" : [ [ "2010", "3", "15" ] ] }, "note" : "BEDTools represents a software package of related algorithms which allow genomic data to be compared to existing track information, such as exon position etc.\nThis may be useful for identifying whether putative ERVs are within/nearby genes (exons/introns) etc.\n\n        \nSoftware freely available and accessible from the UNIX command line", "page" : "841-2", "title" : "BEDTools: a flexible suite of utilities for comparing genomic features.", "type" : "article-journal", "volume" : "26" }, "uris" : [ "http://www.mendeley.com/documents/?uuid=06d14a60-8c50-4f49-9d1e-d28407b5f3b2" ] } ], "mendeley" : { "formattedCitation" : "(Quinlan &amp; Hall 2010)", "plainTextFormattedCitation" : "(Quinlan &amp; Hall 2010)", "previouslyFormattedCitation" : "(Quinlan &amp; Hall 2010)" }, "properties" : { "noteIndex" : 0 }, "schema" : "https://github.com/citation-style-language/schema/raw/master/csl-citation.json" }</w:instrText>
      </w:r>
      <w:r>
        <w:fldChar w:fldCharType="separate"/>
      </w:r>
      <w:r w:rsidRPr="00F61088">
        <w:rPr>
          <w:noProof/>
        </w:rPr>
        <w:t>(Quinlan &amp; Hall 2010)</w:t>
      </w:r>
      <w:r>
        <w:fldChar w:fldCharType="end"/>
      </w:r>
      <w:r>
        <w:t>. Elements overlapping with ‘transcriptional units’ (TU; regions including exons, introns, UTRs, and 5</w:t>
      </w:r>
      <w:r w:rsidR="00614DD6">
        <w:t xml:space="preserve"> </w:t>
      </w:r>
      <w:r>
        <w:t>kb up- and downstream regions, for protein and RNA genes) were annotated for strand and TU domain overlap. The shortest distance from each non-overlapping element to a TU was calculated and distances were binned in 10</w:t>
      </w:r>
      <w:r w:rsidR="00614DD6">
        <w:t xml:space="preserve"> </w:t>
      </w:r>
      <w:r>
        <w:t>kb ranges up to 100</w:t>
      </w:r>
      <w:r w:rsidR="00614DD6">
        <w:t xml:space="preserve"> </w:t>
      </w:r>
      <w:r>
        <w:t xml:space="preserve">kb. </w:t>
      </w:r>
    </w:p>
    <w:p w14:paraId="3D182AEB" w14:textId="6E8C526B" w:rsidR="000504E0" w:rsidRDefault="00F61088" w:rsidP="00391005">
      <w:pPr>
        <w:pStyle w:val="ListParagraph"/>
      </w:pPr>
      <w:r>
        <w:t>Genome-wide and per chromosome analyse</w:t>
      </w:r>
      <w:r w:rsidR="00A153E2">
        <w:t>s were completed and compared with</w:t>
      </w:r>
      <w:r>
        <w:t xml:space="preserve"> randomly generated simulations of equal numbers of modelled insertion sites. Simulated insertion sites were modelled using a random number generator and repeated 100,000 times. Deviation of the observed distribution from the modelled data was quantified using individual category exact binomial tests and the Kolmogorov-Smirnov test for the overall distance distributions. </w:t>
      </w:r>
    </w:p>
    <w:p w14:paraId="3F7C6F70" w14:textId="17E333B7" w:rsidR="00600158" w:rsidRDefault="00F61088" w:rsidP="00391005">
      <w:pPr>
        <w:pStyle w:val="ListParagraph"/>
      </w:pPr>
      <w:r>
        <w:t xml:space="preserve">Similar distribution analyses were conducted relative to constrained genomic locations using two multiple sequence alignments from Ensembl; one consisting of twenty-three amniotes and another of seven sauropsids. </w:t>
      </w:r>
    </w:p>
    <w:p w14:paraId="40712E4B" w14:textId="3B0428AD" w:rsidR="00D31DD8" w:rsidRDefault="00D31DD8" w:rsidP="00D31DD8">
      <w:pPr>
        <w:pStyle w:val="Heading3"/>
      </w:pPr>
      <w:bookmarkStart w:id="99" w:name="_Toc485721576"/>
      <w:bookmarkStart w:id="100" w:name="_Toc486787156"/>
      <w:bookmarkStart w:id="101" w:name="_Toc486787304"/>
      <w:r>
        <w:lastRenderedPageBreak/>
        <w:t>Analysis of the expression of structurally intact LTR retrotransposons</w:t>
      </w:r>
      <w:bookmarkEnd w:id="99"/>
      <w:bookmarkEnd w:id="100"/>
      <w:bookmarkEnd w:id="101"/>
    </w:p>
    <w:p w14:paraId="5109C9A3" w14:textId="77777777" w:rsidR="00D31DD8" w:rsidRDefault="00497F93" w:rsidP="00497F93">
      <w:pPr>
        <w:pStyle w:val="Heading4"/>
      </w:pPr>
      <w:r>
        <w:t>Available RNAseq data for quantification of expression</w:t>
      </w:r>
    </w:p>
    <w:p w14:paraId="7F895C9C" w14:textId="4EDC2D5F" w:rsidR="00497F93" w:rsidRDefault="00497F93" w:rsidP="00391005">
      <w:pPr>
        <w:pStyle w:val="ListParagraph"/>
      </w:pPr>
      <w:r>
        <w:t xml:space="preserve">Twenty-three diverse chicken RNAseq datasets were used to provide evidence for any LTR retrotransposon expression. Of these, twenty were </w:t>
      </w:r>
      <w:r w:rsidR="00CC16E6">
        <w:t>adult</w:t>
      </w:r>
      <w:r>
        <w:t xml:space="preserve"> tissues</w:t>
      </w:r>
      <w:r w:rsidR="0047272B">
        <w:t xml:space="preserve"> (</w:t>
      </w:r>
      <w:r w:rsidR="0047272B" w:rsidRPr="0047272B">
        <w:t>breast muscle, bursa, cerebellum, duodenum, gizzard fat, Harderian gland, heart muscle, ileum, kidney, left optic lobe, liver, lung, ovary, pancreas, proventriculus, skin, spleen, thymus, thyroid and trachea</w:t>
      </w:r>
      <w:r w:rsidR="0047272B">
        <w:t>)</w:t>
      </w:r>
      <w:r w:rsidR="008B29DC">
        <w:t xml:space="preserve"> from the Roslin Institute J-Line</w:t>
      </w:r>
      <w:r>
        <w:t xml:space="preserve"> (</w:t>
      </w:r>
      <w:r w:rsidR="0047272B">
        <w:t>EBI ENA: PRJEB12891</w:t>
      </w:r>
      <w:r>
        <w:t>)</w:t>
      </w:r>
      <w:r w:rsidR="008B29DC">
        <w:t>, and three were</w:t>
      </w:r>
      <w:r w:rsidR="0047272B">
        <w:t xml:space="preserve"> White Leghorn embryonic stages </w:t>
      </w:r>
      <w:r w:rsidR="0047272B" w:rsidRPr="0047272B">
        <w:t>HH4-5 (GenBank:</w:t>
      </w:r>
      <w:r w:rsidR="0047272B">
        <w:t xml:space="preserve"> </w:t>
      </w:r>
      <w:r w:rsidR="0047272B" w:rsidRPr="0047272B">
        <w:t>SRX893876), HH14-15 (GenBank:</w:t>
      </w:r>
      <w:r w:rsidR="0047272B">
        <w:t xml:space="preserve"> </w:t>
      </w:r>
      <w:r w:rsidR="0047272B" w:rsidRPr="0047272B">
        <w:t>SRX893868) and HH25-26 (GenBank:</w:t>
      </w:r>
      <w:r w:rsidR="0047272B">
        <w:t xml:space="preserve"> </w:t>
      </w:r>
      <w:r w:rsidR="0047272B" w:rsidRPr="0047272B">
        <w:t>SRX893873)</w:t>
      </w:r>
      <w:r w:rsidR="0047272B">
        <w:t xml:space="preserve">. </w:t>
      </w:r>
    </w:p>
    <w:p w14:paraId="53B2CA2D" w14:textId="1AE2AA5D" w:rsidR="0047272B" w:rsidRDefault="0047272B" w:rsidP="00391005">
      <w:pPr>
        <w:pStyle w:val="ListParagraph"/>
      </w:pPr>
      <w:r>
        <w:t xml:space="preserve">All twenty-three datasets were quality checked with FASTQC v0.11.2 </w:t>
      </w:r>
      <w:r>
        <w:fldChar w:fldCharType="begin" w:fldLock="1"/>
      </w:r>
      <w:r>
        <w:instrText>ADDIN CSL_CITATION { "citationItems" : [ { "id" : "ITEM-1", "itemData" : { "author" : [ { "dropping-particle" : "", "family" : "Andrews", "given" : "S", "non-dropping-particle" : "", "parse-names" : false, "suffix" : "" } ], "id" : "ITEM-1", "issued" : { "date-parts" : [ [ "2012" ] ] }, "title" : "FastQC. \"A quality control tool for high throughput sequence data\"", "type" : "article" }, "uris" : [ "http://www.mendeley.com/documents/?uuid=9238df86-0c7e-438b-919d-fd3e8486f738" ] } ], "mendeley" : { "formattedCitation" : "(Andrews 2012)", "plainTextFormattedCitation" : "(Andrews 2012)", "previouslyFormattedCitation" : "(Andrews 2012)" }, "properties" : { "noteIndex" : 0 }, "schema" : "https://github.com/citation-style-language/schema/raw/master/csl-citation.json" }</w:instrText>
      </w:r>
      <w:r>
        <w:fldChar w:fldCharType="separate"/>
      </w:r>
      <w:r w:rsidRPr="0047272B">
        <w:rPr>
          <w:noProof/>
        </w:rPr>
        <w:t>(Andrews 2012)</w:t>
      </w:r>
      <w:r>
        <w:fldChar w:fldCharType="end"/>
      </w:r>
      <w:r w:rsidR="008B29DC">
        <w:t>. Whereas</w:t>
      </w:r>
      <w:r>
        <w:t xml:space="preserve"> the J-Line data were </w:t>
      </w:r>
      <w:r w:rsidR="00814069">
        <w:t>all</w:t>
      </w:r>
      <w:r>
        <w:t xml:space="preserve"> high quality, the embryonic data exhibited low quality read ends and overrepresentation of adapter sequences. These were removed with Trim Galore v0.4.0 </w:t>
      </w:r>
      <w:r>
        <w:fldChar w:fldCharType="begin" w:fldLock="1"/>
      </w:r>
      <w:r w:rsidR="005A3466">
        <w:instrText>ADDIN CSL_CITATION { "citationItems" : [ { "id" : "ITEM-1", "itemData" : { "author" : [ { "dropping-particle" : "", "family" : "Krueger", "given" : "F", "non-dropping-particle" : "", "parse-names" : false, "suffix" : "" } ], "id" : "ITEM-1", "issued" : { "date-parts" : [ [ "2013" ] ] }, "title" : "Trim Galore. \"A wrapper tool around Cutadapt and FastQC to consistently apply quality and adapter trimming to FastQ files, with some extra functionality for MspI-digested RRBS-type (Reduced Representation Buisulfite-Seq) libraries", "type" : "article" }, "uris" : [ "http://www.mendeley.com/documents/?uuid=c58e9eb3-2792-4a5a-b77b-7c3eeb9dfc5a" ] } ], "mendeley" : { "formattedCitation" : "(Krueger 2013)", "plainTextFormattedCitation" : "(Krueger 2013)", "previouslyFormattedCitation" : "(Krueger 2013)" }, "properties" : { "noteIndex" : 0 }, "schema" : "https://github.com/citation-style-language/schema/raw/master/csl-citation.json" }</w:instrText>
      </w:r>
      <w:r>
        <w:fldChar w:fldCharType="separate"/>
      </w:r>
      <w:r w:rsidRPr="0047272B">
        <w:rPr>
          <w:noProof/>
        </w:rPr>
        <w:t>(Krueger 2013)</w:t>
      </w:r>
      <w:r>
        <w:fldChar w:fldCharType="end"/>
      </w:r>
      <w:r>
        <w:t xml:space="preserve"> using Cutadapt v1.4 </w:t>
      </w:r>
      <w:r>
        <w:fldChar w:fldCharType="begin" w:fldLock="1"/>
      </w:r>
      <w:r>
        <w:instrText>ADDIN CSL_CITATION { "citationItems" : [ { "id" : "ITEM-1", "itemData" : { "author" : [ { "dropping-particle" : "", "family" : "Martin", "given" : "M", "non-dropping-particle" : "", "parse-names" : false, "suffix" : "" } ], "id" : "ITEM-1", "issued" : { "date-parts" : [ [ "2011" ] ] }, "title" : "Cutadapt removes adapter sequences from high-throughput sequencing reads", "type" : "article" }, "uris" : [ "http://www.mendeley.com/documents/?uuid=57d5bb50-ceb6-4813-9990-ebe62b33f07a" ] } ], "mendeley" : { "formattedCitation" : "(Martin 2011)", "plainTextFormattedCitation" : "(Martin 2011)", "previouslyFormattedCitation" : "(Martin 2011)" }, "properties" : { "noteIndex" : 0 }, "schema" : "https://github.com/citation-style-language/schema/raw/master/csl-citation.json" }</w:instrText>
      </w:r>
      <w:r>
        <w:fldChar w:fldCharType="separate"/>
      </w:r>
      <w:r w:rsidRPr="0047272B">
        <w:rPr>
          <w:noProof/>
        </w:rPr>
        <w:t>(Martin 2011)</w:t>
      </w:r>
      <w:r>
        <w:fldChar w:fldCharType="end"/>
      </w:r>
      <w:r>
        <w:t>.</w:t>
      </w:r>
    </w:p>
    <w:p w14:paraId="135C0A94" w14:textId="77777777" w:rsidR="00600158" w:rsidRDefault="00600158" w:rsidP="00391005">
      <w:pPr>
        <w:pStyle w:val="ListParagraph"/>
      </w:pPr>
    </w:p>
    <w:p w14:paraId="0D0303C8" w14:textId="77777777" w:rsidR="00497F93" w:rsidRDefault="00497F93" w:rsidP="00497F93">
      <w:pPr>
        <w:pStyle w:val="Heading4"/>
      </w:pPr>
      <w:r>
        <w:t>Mapping of RNAseq data and assessment of putative expression</w:t>
      </w:r>
    </w:p>
    <w:p w14:paraId="47B4C48E" w14:textId="77777777" w:rsidR="00844AC9" w:rsidRDefault="005A3466" w:rsidP="00391005">
      <w:pPr>
        <w:pStyle w:val="ListParagraph"/>
      </w:pPr>
      <w:r>
        <w:t xml:space="preserve">Reads from each tissue dataset were mapped independently to the Galgal4 assembly using Bowtie2 v2.2.5 </w:t>
      </w:r>
      <w:r>
        <w:fldChar w:fldCharType="begin" w:fldLock="1"/>
      </w:r>
      <w:r>
        <w:instrText>ADDIN CSL_CITATION { "citationItems" : [ { "id" : "ITEM-1", "itemData" : { "DOI" : "10.1038/nmeth.1923", "ISSN" : "1548-7105", "PMID" : "22388286", "abstract" : "As the rate of sequencing increases, greater throughput is demanded from read aligners. The full-text minute index is often used to make alignment very fast and memory-efficient, but the approach is ill-suited to finding longer, gapped alignments. Bowtie 2 combines the strengths of the full-text minute index with the flexibility and speed of hardware-accelerated dynamic programming algorithms to achieve a combination of high speed, sensitivity and accuracy.", "author" : [ { "dropping-particle" : "", "family" : "Langmead", "given" : "Ben", "non-dropping-particle" : "", "parse-names" : false, "suffix" : "" }, { "dropping-particle" : "", "family" : "Salzberg", "given" : "Steven L", "non-dropping-particle" : "", "parse-names" : false, "suffix" : "" } ], "container-title" : "Nature methods", "id" : "ITEM-1", "issue" : "4", "issued" : { "date-parts" : [ [ "2012", "4" ] ] }, "page" : "357-9", "title" : "Fast gapped-read alignment with Bowtie 2.", "type" : "article-journal", "volume" : "9" }, "uris" : [ "http://www.mendeley.com/documents/?uuid=7524c235-a7cc-40f0-9d15-d398384fae0b" ] } ], "mendeley" : { "formattedCitation" : "(Langmead &amp; Salzberg 2012)", "plainTextFormattedCitation" : "(Langmead &amp; Salzberg 2012)", "previouslyFormattedCitation" : "(Langmead &amp; Salzberg 2012)" }, "properties" : { "noteIndex" : 0 }, "schema" : "https://github.com/citation-style-language/schema/raw/master/csl-citation.json" }</w:instrText>
      </w:r>
      <w:r>
        <w:fldChar w:fldCharType="separate"/>
      </w:r>
      <w:r w:rsidRPr="005A3466">
        <w:rPr>
          <w:noProof/>
        </w:rPr>
        <w:t>(Langmead &amp; Salzberg 2012)</w:t>
      </w:r>
      <w:r>
        <w:fldChar w:fldCharType="end"/>
      </w:r>
      <w:r>
        <w:t xml:space="preserve"> and TopHat2 v2.0.14 </w:t>
      </w:r>
      <w:r>
        <w:fldChar w:fldCharType="begin" w:fldLock="1"/>
      </w:r>
      <w:r>
        <w:instrText>ADDIN CSL_CITATION { "citationItems" : [ { "id" : "ITEM-1", "itemData" : { "DOI" : "10.1186/gb-2013-14-4-r36", "ISSN" : "1465-6914", "PMID" : "23618408", "abstract" : "TopHat is a popular spliced aligner for RNA-sequence (RNA-seq) experiments. In this paper, we describe TopHat2, which incorporates many significant enhancements to TopHat. TopHat2 can align reads of various lengths produced by the latest sequencing technologies, while allowing for variable-length indels with respect to the reference genome. In addition to de novo spliced alignment, TopHat2 can align reads across fusion breaks, which can occur after genomic translocations. TopHat2 combines the ability to identify novel splice sites with direct mapping to known transcripts, producing sensitive and accurate alignments, even for highly repetitive genomes or in the presence of pseudogenes. TopHat2 is available at http://ccb.jhu.edu/software/tophat.", "author" : [ { "dropping-particle" : "", "family" : "Kim", "given" : "Daehwan", "non-dropping-particle" : "", "parse-names" : false, "suffix" : "" }, { "dropping-particle" : "", "family" : "Pertea", "given" : "Geo", "non-dropping-particle" : "", "parse-names" : false, "suffix" : "" }, { "dropping-particle" : "", "family" : "Trapnell", "given" : "Cole", "non-dropping-particle" : "", "parse-names" : false, "suffix" : "" }, { "dropping-particle" : "", "family" : "Pimentel", "given" : "Harold", "non-dropping-particle" : "", "parse-names" : false, "suffix" : "" }, { "dropping-particle" : "", "family" : "Kelley", "given" : "Ryan", "non-dropping-particle" : "", "parse-names" : false, "suffix" : "" }, { "dropping-particle" : "", "family" : "Salzberg", "given" : "Steven L", "non-dropping-particle" : "", "parse-names" : false, "suffix" : "" } ], "container-title" : "Genome biology", "id" : "ITEM-1", "issue" : "4", "issued" : { "date-parts" : [ [ "2013", "4", "25" ] ] }, "page" : "R36", "publisher" : "BioMed Central Ltd", "title" : "TopHat2: accurate alignment of transcriptomes in the presence of insertions, deletions and gene fusions.", "type" : "article-journal", "volume" : "14" }, "uris" : [ "http://www.mendeley.com/documents/?uuid=83b0d51b-273a-47ce-a204-8e59013ac7ed" ] } ], "mendeley" : { "formattedCitation" : "(Kim et al. 2013)", "plainTextFormattedCitation" : "(Kim et al. 2013)", "previouslyFormattedCitation" : "(Kim et al. 2013)" }, "properties" : { "noteIndex" : 0 }, "schema" : "https://github.com/citation-style-language/schema/raw/master/csl-citation.json" }</w:instrText>
      </w:r>
      <w:r>
        <w:fldChar w:fldCharType="separate"/>
      </w:r>
      <w:r w:rsidRPr="005A3466">
        <w:rPr>
          <w:noProof/>
        </w:rPr>
        <w:t>(Kim et al. 2013)</w:t>
      </w:r>
      <w:r>
        <w:fldChar w:fldCharType="end"/>
      </w:r>
      <w:r>
        <w:t xml:space="preserve">. Inner insert size and strand orientation </w:t>
      </w:r>
      <w:r w:rsidR="00A63742">
        <w:t>was identified</w:t>
      </w:r>
      <w:r>
        <w:t xml:space="preserve"> during mapping, and transcripts assembled</w:t>
      </w:r>
      <w:r w:rsidR="00A63742">
        <w:t xml:space="preserve"> </w:t>
      </w:r>
      <w:r>
        <w:t xml:space="preserve">using Cufflinks v2.2.1 </w:t>
      </w:r>
      <w:r>
        <w:fldChar w:fldCharType="begin" w:fldLock="1"/>
      </w:r>
      <w:r w:rsidR="00145F3D">
        <w:instrText>ADDIN CSL_CITATION { "citationItems" : [ { "id" : "ITEM-1", "itemData" : { "DOI" : "10.1038/nbt.1621", "ISSN" : "1546-1696", "PMID" : "20436464", "abstract" : "High-throughput mRNA sequencing (RNA-Seq) promises simultaneous transcript discovery and abundance estimation. However, this would require algorithms that are not restricted by prior gene annotations and that account for alternative transcription and splicing. Here we introduce such algorithms in an open-source software program called Cufflinks. To test Cufflinks, we sequenced and analyzed &gt;430 million paired 75-bp RNA-Seq reads from a mouse myoblast cell line over a differentiation time series. We detected 13,692 known transcripts and 3,724 previously unannotated ones, 62% of which are supported by independent expression data or by homologous genes in other species. Over the time series, 330 genes showed complete switches in the dominant transcription start site (TSS) or splice isoform, and we observed more subtle shifts in 1,304 other genes. These results suggest that Cufflinks can illuminate the substantial regulatory flexibility and complexity in even this well-studied model of muscle development and that it can improve transcriptome-based genome annotation.", "author" : [ { "dropping-particle" : "", "family" : "Trapnell", "given" : "Cole", "non-dropping-particle" : "", "parse-names" : false, "suffix" : "" }, { "dropping-particle" : "", "family" : "Williams", "given" : "Brian a", "non-dropping-particle" : "", "parse-names" : false, "suffix" : "" }, { "dropping-particle" : "", "family" : "Pertea", "given" : "Geo", "non-dropping-particle" : "", "parse-names" : false, "suffix" : "" }, { "dropping-particle" : "", "family" : "Mortazavi", "given" : "Ali", "non-dropping-particle" : "", "parse-names" : false, "suffix" : "" }, { "dropping-particle" : "", "family" : "Kwan", "given" : "Gordon", "non-dropping-particle" : "", "parse-names" : false, "suffix" : "" }, { "dropping-particle" : "", "family" : "Baren", "given" : "Marijke J", "non-dropping-particle" : "van", "parse-names" : false, "suffix" : "" }, { "dropping-particle" : "", "family" : "Salzberg", "given" : "Steven L", "non-dropping-particle" : "", "parse-names" : false, "suffix" : "" }, { "dropping-particle" : "", "family" : "Wold", "given" : "Barbara J", "non-dropping-particle" : "", "parse-names" : false, "suffix" : "" }, { "dropping-particle" : "", "family" : "Pachter", "given" : "Lior", "non-dropping-particle" : "", "parse-names" : false, "suffix" : "" } ], "container-title" : "Nature biotechnology", "id" : "ITEM-1", "issue" : "5", "issued" : { "date-parts" : [ [ "2010", "5" ] ] }, "page" : "511-5", "publisher" : "Nature Publishing Group", "title" : "Transcript assembly and quantification by RNA-Seq reveals unannotated transcripts and isoform switching during cell differentiation.", "type" : "article-journal", "volume" : "28" }, "uris" : [ "http://www.mendeley.com/documents/?uuid=7d878417-c3a2-4a72-941c-9ecaae418e73" ] } ], "mendeley" : { "formattedCitation" : "(Trapnell et al. 2010)", "plainTextFormattedCitation" : "(Trapnell et al. 2010)", "previouslyFormattedCitation" : "(Trapnell et al. 2010)" }, "properties" : { "noteIndex" : 0 }, "schema" : "https://github.com/citation-style-language/schema/raw/master/csl-citation.json" }</w:instrText>
      </w:r>
      <w:r>
        <w:fldChar w:fldCharType="separate"/>
      </w:r>
      <w:r w:rsidRPr="005A3466">
        <w:rPr>
          <w:noProof/>
        </w:rPr>
        <w:t>(Trapnell et al. 2010)</w:t>
      </w:r>
      <w:r>
        <w:fldChar w:fldCharType="end"/>
      </w:r>
      <w:r>
        <w:t xml:space="preserve"> without a reference annotation. </w:t>
      </w:r>
    </w:p>
    <w:p w14:paraId="7CE55E90" w14:textId="38D35D5D" w:rsidR="00497F93" w:rsidRDefault="00844AC9" w:rsidP="00391005">
      <w:pPr>
        <w:pStyle w:val="ListParagraph"/>
      </w:pPr>
      <w:r>
        <w:t xml:space="preserve">Locations for assembled transcripts were overlapped with the locations of structurally intact LTR retrotransposons using BEDTools intersectBED, requiring matched strand orientation. Overlaps were viewed using the Ensembl genome browser and Geneious, and the extent of expression for each LTR retrotransposon was assessed. In cases where expression appeared partial across the intact LTR retrotransposon, the relevant sequence was used as a BLASTn and BLASTx query against the NCBI non-redundant database to identify whether it matched intact domains or genes. </w:t>
      </w:r>
      <w:r w:rsidR="00145F3D">
        <w:t>All full-length or doma</w:t>
      </w:r>
      <w:r w:rsidR="008B29DC">
        <w:t>in-matched transcripts were</w:t>
      </w:r>
      <w:r w:rsidR="00145F3D">
        <w:t xml:space="preserve"> translated into the three forward reading frames and the number of stop codons assessed. Predicted proteins without a high frequency of in</w:t>
      </w:r>
      <w:r w:rsidR="008B29DC">
        <w:t>terspersed stop codons were</w:t>
      </w:r>
      <w:r w:rsidR="00145F3D">
        <w:t xml:space="preserve"> used as BLASTp </w:t>
      </w:r>
      <w:r w:rsidR="00145F3D">
        <w:fldChar w:fldCharType="begin" w:fldLock="1"/>
      </w:r>
      <w:r w:rsidR="00145F3D">
        <w:instrText>ADDIN CSL_CITATION { "citationItems" : [ { "id" : "ITEM-1", "itemData" : { "author" : [ { "dropping-particle" : "", "family" : "Altschul", "given" : "SF", "non-dropping-particle" : "", "parse-names" : false, "suffix" : "" }, { "dropping-particle" : "", "family" : "Madden", "given" : "TL", "non-dropping-particle" : "", "parse-names" : false, "suffix" : "" } ], "container-title" : "Nucleic acids \u2026", "id" : "ITEM-1", "issue" : "17", "issued" : { "date-parts" : [ [ "1997" ] ] }, "page" : "3389-3402", "title" : "Gapped BLAST and PSI-BLAST: a new generation of protein database search programs", "type" : "article-journal", "volume" : "25" }, "uris" : [ "http://www.mendeley.com/documents/?uuid=9e88d1e9-a0c1-47a8-a789-85ca885ff1e3" ] } ], "mendeley" : { "formattedCitation" : "(Altschul &amp; Madden 1997)", "plainTextFormattedCitation" : "(Altschul &amp; Madden 1997)", "previouslyFormattedCitation" : "(Altschul &amp; Madden 1997)" }, "properties" : { "noteIndex" : 0 }, "schema" : "https://github.com/citation-style-language/schema/raw/master/csl-citation.json" }</w:instrText>
      </w:r>
      <w:r w:rsidR="00145F3D">
        <w:fldChar w:fldCharType="separate"/>
      </w:r>
      <w:r w:rsidR="00145F3D" w:rsidRPr="00145F3D">
        <w:rPr>
          <w:noProof/>
        </w:rPr>
        <w:t>(Altschul &amp; Madden 1997)</w:t>
      </w:r>
      <w:r w:rsidR="00145F3D">
        <w:fldChar w:fldCharType="end"/>
      </w:r>
      <w:r w:rsidR="00145F3D">
        <w:t xml:space="preserve"> queries </w:t>
      </w:r>
      <w:r w:rsidR="00145F3D">
        <w:lastRenderedPageBreak/>
        <w:t xml:space="preserve">against the NCBI non-redundant database and homologous results were aligned with MUSCLE and individually assessed. Putative conserved domains were identified using InterPro </w:t>
      </w:r>
      <w:r w:rsidR="00145F3D">
        <w:fldChar w:fldCharType="begin" w:fldLock="1"/>
      </w:r>
      <w:r w:rsidR="00145F3D">
        <w:instrText>ADDIN CSL_CITATION { "citationItems" : [ { "id" : "ITEM-1", "itemData" : { "DOI" : "10.1093/nar/gku1243", "ISSN" : "0305-1048", "author" : [ { "dropping-particle" : "", "family" : "Mitchell", "given" : "A.", "non-dropping-particle" : "", "parse-names" : false, "suffix" : "" }, { "dropping-particle" : "", "family" : "Chang", "given" : "H.-Y.", "non-dropping-particle" : "", "parse-names" : false, "suffix" : "" }, { "dropping-particle" : "", "family" : "Daugherty", "given" : "L.", "non-dropping-particle" : "", "parse-names" : false, "suffix" : "" }, { "dropping-particle" : "", "family" : "Fraser", "given" : "M.", "non-dropping-particle" : "", "parse-names" : false, "suffix" : "" }, { "dropping-particle" : "", "family" : "Hunter", "given" : "S.", "non-dropping-particle" : "", "parse-names" : false, "suffix" : "" }, { "dropping-particle" : "", "family" : "Lopez", "given" : "R.", "non-dropping-particle" : "", "parse-names" : false, "suffix" : "" }, { "dropping-particle" : "", "family" : "McAnulla", "given" : "C.", "non-dropping-particle" : "", "parse-names" : false, "suffix" : "" }, { "dropping-particle" : "", "family" : "McMenamin", "given" : "C.", "non-dropping-particle" : "", "parse-names" : false, "suffix" : "" }, { "dropping-particle" : "", "family" : "Nuka", "given" : "G.", "non-dropping-particle" : "", "parse-names" : false, "suffix" : "" }, { "dropping-particle" : "", "family" : "Pesseat", "given" : "S.", "non-dropping-particle" : "", "parse-names" : false, "suffix" : "" }, { "dropping-particle" : "", "family" : "Sangrador-Vegas", "given" : "A.", "non-dropping-particle" : "", "parse-names" : false, "suffix" : "" }, { "dropping-particle" : "", "family" : "Scheremetjew", "given" : "M.", "non-dropping-particle" : "", "parse-names" : false, "suffix" : "" }, { "dropping-particle" : "", "family" : "Rato", "given" : "C.", "non-dropping-particle" : "", "parse-names" : false, "suffix" : "" }, { "dropping-particle" : "", "family" : "Yong", "given" : "S.-Y.", "non-dropping-particle" : "", "parse-names" : false, "suffix" : "" }, { "dropping-particle" : "", "family" : "Bateman", "given" : "A.", "non-dropping-particle" : "", "parse-names" : false, "suffix" : "" }, { "dropping-particle" : "", "family" : "Punta", "given" : "M.", "non-dropping-particle" : "", "parse-names" : false, "suffix" : "" }, { "dropping-particle" : "", "family" : "Attwood", "given" : "T. K.", "non-dropping-particle" : "", "parse-names" : false, "suffix" : "" }, { "dropping-particle" : "", "family" : "Sigrist", "given" : "C. J. A.", "non-dropping-particle" : "", "parse-names" : false, "suffix" : "" }, { "dropping-particle" : "", "family" : "Redaschi", "given" : "N.", "non-dropping-particle" : "", "parse-names" : false, "suffix" : "" }, { "dropping-particle" : "", "family" : "Rivoire", "given" : "C.", "non-dropping-particle" : "", "parse-names" : false, "suffix" : "" }, { "dropping-particle" : "", "family" : "Xenarios", "given" : "I.", "non-dropping-particle" : "", "parse-names" : false, "suffix" : "" }, { "dropping-particle" : "", "family" : "Kahn", "given" : "D.", "non-dropping-particle" : "", "parse-names" : false, "suffix" : "" }, { "dropping-particle" : "", "family" : "Guyot", "given" : "D.", "non-dropping-particle" : "", "parse-names" : false, "suffix" : "" }, { "dropping-particle" : "", "family" : "Bork", "given" : "P.", "non-dropping-particle" : "", "parse-names" : false, "suffix" : "" }, { "dropping-particle" : "", "family" : "Letunic", "given" : "I.", "non-dropping-particle" : "", "parse-names" : false, "suffix" : "" }, { "dropping-particle" : "", "family" : "Gough", "given" : "J.", "non-dropping-particle" : "", "parse-names" : false, "suffix" : "" }, { "dropping-particle" : "", "family" : "Oates", "given" : "M.", "non-dropping-particle" : "", "parse-names" : false, "suffix" : "" }, { "dropping-particle" : "", "family" : "Haft", "given" : "D.", "non-dropping-particle" : "", "parse-names" : false, "suffix" : "" }, { "dropping-particle" : "", "family" : "Huang", "given" : "H.", "non-dropping-particle" : "", "parse-names" : false, "suffix" : "" }, { "dropping-particle" : "", "family" : "Natale", "given" : "D. A.", "non-dropping-particle" : "", "parse-names" : false, "suffix" : "" }, { "dropping-particle" : "", "family" : "Wu", "given" : "C. H.", "non-dropping-particle" : "", "parse-names" : false, "suffix" : "" }, { "dropping-particle" : "", "family" : "Orengo", "given" : "C.", "non-dropping-particle" : "", "parse-names" : false, "suffix" : "" }, { "dropping-particle" : "", "family" : "Sillitoe", "given" : "I.", "non-dropping-particle" : "", "parse-names" : false, "suffix" : "" }, { "dropping-particle" : "", "family" : "Mi", "given" : "H.", "non-dropping-particle" : "", "parse-names" : false, "suffix" : "" }, { "dropping-particle" : "", "family" : "Thomas", "given" : "P. D.", "non-dropping-particle" : "", "parse-names" : false, "suffix" : "" }, { "dropping-particle" : "", "family" : "Finn", "given" : "R. D.", "non-dropping-particle" : "", "parse-names" : false, "suffix" : "" } ], "container-title" : "Nucleic Acids Research", "id" : "ITEM-1", "issue" : "D1", "issued" : { "date-parts" : [ [ "2015" ] ] }, "page" : "D213-D221", "title" : "The InterPro protein families database: the classification resource after 15 years", "type" : "article-journal", "volume" : "43" }, "uris" : [ "http://www.mendeley.com/documents/?uuid=5f168d17-86ab-4d45-8865-1c866967bbbc" ] } ], "mendeley" : { "formattedCitation" : "(Mitchell et al. 2015)", "plainTextFormattedCitation" : "(Mitchell et al. 2015)", "previouslyFormattedCitation" : "(Mitchell et al. 2015)" }, "properties" : { "noteIndex" : 0 }, "schema" : "https://github.com/citation-style-language/schema/raw/master/csl-citation.json" }</w:instrText>
      </w:r>
      <w:r w:rsidR="00145F3D">
        <w:fldChar w:fldCharType="separate"/>
      </w:r>
      <w:r w:rsidR="00145F3D" w:rsidRPr="00145F3D">
        <w:rPr>
          <w:noProof/>
        </w:rPr>
        <w:t>(Mitchell et al. 2015)</w:t>
      </w:r>
      <w:r w:rsidR="00145F3D">
        <w:fldChar w:fldCharType="end"/>
      </w:r>
      <w:r w:rsidR="00145F3D">
        <w:t xml:space="preserve"> and tra</w:t>
      </w:r>
      <w:r w:rsidR="008B29DC">
        <w:t xml:space="preserve">nsmembrane topologies predicted </w:t>
      </w:r>
      <w:r w:rsidR="00145F3D">
        <w:t xml:space="preserve">using Phobius </w:t>
      </w:r>
      <w:r w:rsidR="00145F3D">
        <w:fldChar w:fldCharType="begin" w:fldLock="1"/>
      </w:r>
      <w:r w:rsidR="0037040A">
        <w:instrText>ADDIN CSL_CITATION { "citationItems" : [ { "id" : "ITEM-1", "itemData" : { "DOI" : "10.1016/j.jmb.2004.03.016", "ISSN" : "00222836", "author" : [ { "dropping-particle" : "", "family" : "K\u00e4ll", "given" : "Lukas", "non-dropping-particle" : "", "parse-names" : false, "suffix" : "" }, { "dropping-particle" : "", "family" : "Krogh", "given" : "Anders", "non-dropping-particle" : "", "parse-names" : false, "suffix" : "" }, { "dropping-particle" : "", "family" : "Sonnhammer", "given" : "Erik L.L", "non-dropping-particle" : "", "parse-names" : false, "suffix" : "" } ], "container-title" : "Journal of Molecular Biology", "id" : "ITEM-1", "issue" : "5", "issued" : { "date-parts" : [ [ "2004" ] ] }, "page" : "1027-1036", "title" : "A Combined Transmembrane Topology and Signal Peptide Prediction Method", "type" : "article-journal", "volume" : "338" }, "uris" : [ "http://www.mendeley.com/documents/?uuid=d1e1d7ff-b4ed-46ac-9016-138bfb3b1eda" ] } ], "mendeley" : { "formattedCitation" : "(K\u00e4ll et al. 2004)", "plainTextFormattedCitation" : "(K\u00e4ll et al. 2004)", "previouslyFormattedCitation" : "(K\u00e4ll et al. 2004)" }, "properties" : { "noteIndex" : 0 }, "schema" : "https://github.com/citation-style-language/schema/raw/master/csl-citation.json" }</w:instrText>
      </w:r>
      <w:r w:rsidR="00145F3D">
        <w:fldChar w:fldCharType="separate"/>
      </w:r>
      <w:r w:rsidR="00145F3D" w:rsidRPr="00145F3D">
        <w:rPr>
          <w:noProof/>
        </w:rPr>
        <w:t>(Käll et al. 2004)</w:t>
      </w:r>
      <w:r w:rsidR="00145F3D">
        <w:fldChar w:fldCharType="end"/>
      </w:r>
      <w:r w:rsidR="00145F3D">
        <w:t>.</w:t>
      </w:r>
    </w:p>
    <w:p w14:paraId="3F6D5C92" w14:textId="77777777" w:rsidR="00600158" w:rsidRDefault="00600158" w:rsidP="00391005">
      <w:pPr>
        <w:pStyle w:val="ListParagraph"/>
      </w:pPr>
    </w:p>
    <w:p w14:paraId="0669B87F" w14:textId="77777777" w:rsidR="00497F93" w:rsidRPr="00497F93" w:rsidRDefault="00497F93" w:rsidP="00497F93">
      <w:pPr>
        <w:pStyle w:val="Heading4"/>
      </w:pPr>
      <w:r>
        <w:t>Further characterisation of Ovex1: a co-opted, gammaretrovirus-derived gene</w:t>
      </w:r>
    </w:p>
    <w:p w14:paraId="20D78F1E" w14:textId="5278F329" w:rsidR="00D31DD8" w:rsidRDefault="00A153E2" w:rsidP="00391005">
      <w:pPr>
        <w:pStyle w:val="ListParagraph"/>
      </w:pPr>
      <w:r>
        <w:rPr>
          <w:i/>
        </w:rPr>
        <w:t xml:space="preserve">Ovex1 </w:t>
      </w:r>
      <w:r>
        <w:t>is a chicken gene which had been previously characterised as a co-opted endogenous gammaretrovirus with exp</w:t>
      </w:r>
      <w:r w:rsidR="008B29DC">
        <w:t xml:space="preserve">ression limited to the ovaries </w:t>
      </w:r>
      <w:r w:rsidR="008B29DC">
        <w:fldChar w:fldCharType="begin" w:fldLock="1"/>
      </w:r>
      <w:r w:rsidR="008B29DC">
        <w:instrText>ADDIN CSL_CITATION { "citationItems" : [ { "id" : "ITEM-1",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"ITEM-1", "issued" : { "date-parts" : [ [ "2009", "1" ] ] }, "page" : "59", "title" : "OVEX1, a novel chicken endogenous retrovirus with sex-specific and left-right asymmetrical expression in gonads.", "type" : "article-journal", "volume" : "6" }, "uris" : [ "http://www.mendeley.com/documents/?uuid=3d9a038e-2cd6-43ab-9514-6e34db462e92" ] } ], "mendeley" : { "formattedCitation" : "(Carr\u00e9-Eus\u00e8be et al. 2009)", "plainTextFormattedCitation" : "(Carr\u00e9-Eus\u00e8be et al. 2009)", "previouslyFormattedCitation" : "(Carr\u00e9-Eus\u00e8be et al. 2009)" }, "properties" : { "noteIndex" : 0 }, "schema" : "https://github.com/citation-style-language/schema/raw/master/csl-citation.json" }</w:instrText>
      </w:r>
      <w:r w:rsidR="008B29DC">
        <w:fldChar w:fldCharType="separate"/>
      </w:r>
      <w:r w:rsidR="008B29DC" w:rsidRPr="008B29DC">
        <w:rPr>
          <w:noProof/>
        </w:rPr>
        <w:t>(Carré-Eusèbe et al. 2009)</w:t>
      </w:r>
      <w:r w:rsidR="008B29DC">
        <w:fldChar w:fldCharType="end"/>
      </w:r>
      <w:r>
        <w:t xml:space="preserve">. However, RNAseq mapping in this project identified that </w:t>
      </w:r>
      <w:r>
        <w:rPr>
          <w:i/>
        </w:rPr>
        <w:t>Ovex1</w:t>
      </w:r>
      <w:r>
        <w:t xml:space="preserve"> expression was more ubiquitous. E</w:t>
      </w:r>
      <w:r w:rsidR="006634C3">
        <w:t xml:space="preserve">xpression was quantified in all tissue datasets, </w:t>
      </w:r>
      <w:r w:rsidR="0025366B">
        <w:t>including those where cufflinks failed to construct transcript models</w:t>
      </w:r>
      <w:r w:rsidR="006634C3">
        <w:t xml:space="preserve">. Reads were extracted from the RNAseq BAM files for the </w:t>
      </w:r>
      <w:r w:rsidR="006634C3">
        <w:rPr>
          <w:i/>
        </w:rPr>
        <w:t>Ovex1</w:t>
      </w:r>
      <w:r w:rsidR="006634C3">
        <w:t xml:space="preserve"> exon and whole gene</w:t>
      </w:r>
      <w:r w:rsidR="00CC5289">
        <w:t xml:space="preserve"> region,</w:t>
      </w:r>
      <w:r w:rsidR="006634C3">
        <w:t xml:space="preserve"> and viewed in Geneious. </w:t>
      </w:r>
    </w:p>
    <w:p w14:paraId="089A4778" w14:textId="2441B7F8" w:rsidR="00D44D67" w:rsidRDefault="00CC5289" w:rsidP="00391005">
      <w:pPr>
        <w:pStyle w:val="ListParagraph"/>
      </w:pPr>
      <w:r>
        <w:t xml:space="preserve">InterPro and Phobius results for the </w:t>
      </w:r>
      <w:r>
        <w:rPr>
          <w:i/>
        </w:rPr>
        <w:t>Ovex1</w:t>
      </w:r>
      <w:r>
        <w:t xml:space="preserve"> protein</w:t>
      </w:r>
      <w:r w:rsidR="00D44D67">
        <w:t xml:space="preserve"> (GenBank: NP001159385.1)</w:t>
      </w:r>
      <w:r>
        <w:t xml:space="preserve"> were compared to similar analysis of </w:t>
      </w:r>
      <w:r>
        <w:rPr>
          <w:i/>
        </w:rPr>
        <w:t>envelope</w:t>
      </w:r>
      <w:r>
        <w:t xml:space="preserve"> proteins from bovine leukaemia virus (BLV; deltaretrovirus; GenBank: AF033818.1), feline foamy virus (FFV; spumavirus; GenBank: NP056915.1), </w:t>
      </w:r>
      <w:r>
        <w:rPr>
          <w:i/>
        </w:rPr>
        <w:t>Mus dunni</w:t>
      </w:r>
      <w:r>
        <w:t xml:space="preserve"> endogenous virus (MdEV; gammaretrovirus; GenBank: AAC318061.1), mouse mammary tumour virus (MMTV; betaretrovirus; GenBank: AAC82558.1), Rous sarcoma virus (RSV; alpharetrovirus; GenBank: BAD98245.1) and Walleye dermal sarcoma virus (WdSV; epsilonretrovirus; GenBank: AAC82608.1).</w:t>
      </w:r>
      <w:r w:rsidR="00D44D67">
        <w:t xml:space="preserve"> Each of these retroviral, </w:t>
      </w:r>
      <w:r w:rsidR="008B29DC">
        <w:rPr>
          <w:i/>
        </w:rPr>
        <w:t>envelope</w:t>
      </w:r>
      <w:r w:rsidR="00D44D67">
        <w:t xml:space="preserve"> proteins was also a</w:t>
      </w:r>
      <w:r w:rsidR="00F43562">
        <w:t xml:space="preserve">nnotated for protein </w:t>
      </w:r>
      <w:r w:rsidR="008B29DC">
        <w:t xml:space="preserve">domain </w:t>
      </w:r>
      <w:r w:rsidR="00D44D67">
        <w:t xml:space="preserve">families </w:t>
      </w:r>
      <w:r w:rsidR="00F43562">
        <w:t xml:space="preserve">and motifs </w:t>
      </w:r>
      <w:r w:rsidR="00D44D67">
        <w:t xml:space="preserve">using NCBI. </w:t>
      </w:r>
    </w:p>
    <w:p w14:paraId="21B48AB5" w14:textId="2D064D1C" w:rsidR="00B806B4" w:rsidRDefault="008B29DC" w:rsidP="00391005">
      <w:pPr>
        <w:pStyle w:val="ListParagraph"/>
      </w:pPr>
      <w:r>
        <w:rPr>
          <w:i/>
        </w:rPr>
        <w:t xml:space="preserve">Ovex1 </w:t>
      </w:r>
      <w:r>
        <w:t>sauropsid homologues were</w:t>
      </w:r>
      <w:r w:rsidR="00D44D67">
        <w:t xml:space="preserve"> identified using the chicken </w:t>
      </w:r>
      <w:r w:rsidR="00D44D67">
        <w:rPr>
          <w:i/>
        </w:rPr>
        <w:t>Ovex1</w:t>
      </w:r>
      <w:r w:rsidR="00D44D67">
        <w:t xml:space="preserve"> protein sequence</w:t>
      </w:r>
      <w:r>
        <w:t xml:space="preserve"> as a BLASTp query against the NCBI non-redundant database</w:t>
      </w:r>
      <w:r w:rsidR="00D44D67">
        <w:t xml:space="preserve">. These were MUSCLE aligned along with forty-seven GyDB retroviral </w:t>
      </w:r>
      <w:r w:rsidR="00D44D67">
        <w:rPr>
          <w:i/>
        </w:rPr>
        <w:t>envelope</w:t>
      </w:r>
      <w:r w:rsidR="00D44D67">
        <w:t xml:space="preserve"> protein sequences</w:t>
      </w:r>
      <w:r w:rsidR="005321C7">
        <w:t>, the alignment was trimmed</w:t>
      </w:r>
      <w:r w:rsidR="0037040A">
        <w:t>,</w:t>
      </w:r>
      <w:r w:rsidR="00D44D67">
        <w:t xml:space="preserve"> and a phylogenetic tree constructed using RAxML v8.1.15 </w:t>
      </w:r>
      <w:r w:rsidR="0037040A">
        <w:fldChar w:fldCharType="begin" w:fldLock="1"/>
      </w:r>
      <w:r w:rsidR="0037040A">
        <w:instrText>ADDIN CSL_CITATION { "citationItems" : [ { "id" : "ITEM-1", "itemData" : { "DOI" : "10.1093/bioinformatics/btu033", "ISBN" : "1367-4811", "ISSN" : "14602059", "PMID" : "24451623", "abstract" : "MOTIVATION: Phylogenies are increasingly used in all fields of medical and biological research. Moreover, because of the next-generation sequencing revolution, datasets used for conducting phylogenetic analyses grow at an unprecedented pace. RAxML (Randomized Axelerated Maximum Likelihood) is a popular program for phylogenetic analyses of large datasets under maximum likelihood. Since the last RAxML paper in 2006, it has been continuously maintained and extended to accommodate the increasingly growing input datasets and to serve the needs of the user community.\\n\\nRESULTS: I present some of the most notable new features and extensions of RAxML, such as a substantial extension of substitution models and supported data types, the introduction of SSE3, AVX and AVX2 vector intrinsics, techniques for reducing the memory requirements of the code and a plethora of operations for conducting post-analyses on sets of trees. In addition, an up-to-date 50-page user manual covering all new RAxML options is available.", "author" : [ { "dropping-particle" : "", "family" : "Stamatakis", "given" : "Alexandros", "non-dropping-particle" : "", "parse-names" : false, "suffix" : "" } ], "container-title" : "Bioinformatics", "id" : "ITEM-1", "issue" : "9", "issued" : { "date-parts" : [ [ "2014" ] ] }, "page" : "1312-1313", "title" : "RAxML version 8: A tool for phylogenetic analysis and post-analysis of large phylogenies", "type" : "article-journal", "volume" : "30" }, "uris" : [ "http://www.mendeley.com/documents/?uuid=00c2d204-fcef-4e74-923c-b5a60f6bf51c" ] } ], "mendeley" : { "formattedCitation" : "(Stamatakis 2014)", "plainTextFormattedCitation" : "(Stamatakis 2014)", "previouslyFormattedCitation" : "(Stamatakis 2014)" }, "properties" : { "noteIndex" : 0 }, "schema" : "https://github.com/citation-style-language/schema/raw/master/csl-citation.json" }</w:instrText>
      </w:r>
      <w:r w:rsidR="0037040A">
        <w:fldChar w:fldCharType="separate"/>
      </w:r>
      <w:r w:rsidR="0037040A" w:rsidRPr="0037040A">
        <w:rPr>
          <w:noProof/>
        </w:rPr>
        <w:t>(Stamatakis 2014)</w:t>
      </w:r>
      <w:r w:rsidR="0037040A">
        <w:fldChar w:fldCharType="end"/>
      </w:r>
      <w:r w:rsidR="0037040A">
        <w:t xml:space="preserve"> </w:t>
      </w:r>
      <w:r w:rsidR="00D44D67">
        <w:t xml:space="preserve">with the PROT-GAMMA-I-WAG protein evolutionary model and one hundred bootstraps. </w:t>
      </w:r>
      <w:r w:rsidR="0037040A">
        <w:t>Patterns of selection in the</w:t>
      </w:r>
      <w:r w:rsidR="00F43562">
        <w:t xml:space="preserve"> sauropsid</w:t>
      </w:r>
      <w:r w:rsidR="0037040A">
        <w:t xml:space="preserve"> </w:t>
      </w:r>
      <w:r w:rsidR="0037040A">
        <w:rPr>
          <w:i/>
        </w:rPr>
        <w:t>Ovex1</w:t>
      </w:r>
      <w:r w:rsidR="0037040A">
        <w:t xml:space="preserve"> protein</w:t>
      </w:r>
      <w:r w:rsidR="00F43562">
        <w:t xml:space="preserve"> homologue</w:t>
      </w:r>
      <w:r w:rsidR="0037040A">
        <w:t xml:space="preserve"> alignment were analysed using the DataMonkey </w:t>
      </w:r>
      <w:r w:rsidR="0037040A">
        <w:fldChar w:fldCharType="begin" w:fldLock="1"/>
      </w:r>
      <w:r w:rsidR="004B2485">
        <w:instrText>ADDIN CSL_CITATION { "citationItems" : [ { "id" : "ITEM-1", "itemData" : { "DOI" : "10.1093/bioinformatics/bti320", "ISSN" : "1367-4803", "author" : [ { "dropping-particle" : "", "family" : "Pond", "given" : "S. L. K.", "non-dropping-particle" : "", "parse-names" : false, "suffix" : "" }, { "dropping-particle" : "", "family" : "Frost", "given" : "S. D. W.", "non-dropping-particle" : "", "parse-names" : false, "suffix" : "" } ], "container-title" : "Bioinformatics", "id" : "ITEM-1", "issue" : "10", "issued" : { "date-parts" : [ [ "2005" ] ] }, "page" : "2531-2533", "title" : "Datamonkey: rapid detection of selective pressure on individual sites of codon alignments", "type" : "article-journal", "volume" : "21" }, "uris" : [ "http://www.mendeley.com/documents/?uuid=20844704-26b5-4e65-8996-9983a66d3aaf" ] } ], "mendeley" : { "formattedCitation" : "(Pond &amp; Frost 2005)", "plainTextFormattedCitation" : "(Pond &amp; Frost 2005)", "previouslyFormattedCitation" : "(Pond &amp; Frost 2005)" }, "properties" : { "noteIndex" : 0 }, "schema" : "https://github.com/citation-style-language/schema/raw/master/csl-citation.json" }</w:instrText>
      </w:r>
      <w:r w:rsidR="0037040A">
        <w:fldChar w:fldCharType="separate"/>
      </w:r>
      <w:r w:rsidR="0037040A" w:rsidRPr="0037040A">
        <w:rPr>
          <w:noProof/>
        </w:rPr>
        <w:t>(Pond &amp; Frost 2005)</w:t>
      </w:r>
      <w:r w:rsidR="0037040A">
        <w:fldChar w:fldCharType="end"/>
      </w:r>
      <w:r w:rsidR="0037040A">
        <w:t xml:space="preserve"> hosted DEPS (Directional Evolution in Protein Sequences) program </w:t>
      </w:r>
      <w:r w:rsidR="0037040A">
        <w:fldChar w:fldCharType="begin" w:fldLock="1"/>
      </w:r>
      <w:r w:rsidR="0037040A">
        <w:instrText>ADDIN CSL_CITATION { "citationItems" : [ { "id" : "ITEM-1", "itemData" : { "DOI" : "10.1093/molbev/msn123", "ISBN" : "1537-1719 (Electronic) 0737-4038 (Linking)", "ISSN" : "0737-4038", "PMID" : "18511426", "abstract" : "Abstract We develop a model-based phylogenetic maximum likelihood test for evidence of preferential substitution toward a given residue at individual positions of a protein alignment\u2014 directional evolution of protein sequences (DEPS). DEPS can identify both the target ... \\n", "author" : [ { "dropping-particle" : "", "family" : "Pond", "given" : "S. L. K.", "non-dropping-particle" : "", "parse-names" : false, "suffix" : "" }, { "dropping-particle" : "", "family" : "Poon", "given" : "A F Y", "non-dropping-particle" : "", "parse-names" : false, "suffix" : "" }, { "dropping-particle" : "", "family" : "Leigh Brown", "given" : "A J", "non-dropping-particle" : "", "parse-names" : false, "suffix" : "" }, { "dropping-particle" : "", "family" : "Frost", "given" : "S D W", "non-dropping-particle" : "", "parse-names" : false, "suffix" : "" } ], "container-title" : "Molecular biology and evolution", "id" : "ITEM-1", "issue" : "9", "issued" : { "date-parts" : [ [ "2008" ] ] }, "page" : "1809-1824", "title" : "A Maximum Likelihood Method for Detecting Directional Evolution in Protein Sequences and Its Application to Influenza A Virus", "type" : "article-journal", "volume" : "25" }, "uris" : [ "http://www.mendeley.com/documents/?uuid=af6ce8e5-65fe-41b9-a074-b3170e6b5dca" ] } ], "mendeley" : { "formattedCitation" : "(Pond et al. 2008)", "plainTextFormattedCitation" : "(Pond et al. 2008)", "previouslyFormattedCitation" : "(Pond et al. 2008)" }, "properties" : { "noteIndex" : 0 }, "schema" : "https://github.com/citation-style-language/schema/raw/master/csl-citation.json" }</w:instrText>
      </w:r>
      <w:r w:rsidR="0037040A">
        <w:fldChar w:fldCharType="separate"/>
      </w:r>
      <w:r w:rsidR="0037040A" w:rsidRPr="0037040A">
        <w:rPr>
          <w:noProof/>
        </w:rPr>
        <w:t>(Pond et al. 2008)</w:t>
      </w:r>
      <w:r w:rsidR="0037040A">
        <w:fldChar w:fldCharType="end"/>
      </w:r>
      <w:r w:rsidR="0037040A">
        <w:t>.</w:t>
      </w:r>
    </w:p>
    <w:p w14:paraId="2639F981" w14:textId="77777777" w:rsidR="0045617B" w:rsidRDefault="0045617B" w:rsidP="00391005">
      <w:pPr>
        <w:pStyle w:val="ListParagraph"/>
      </w:pPr>
    </w:p>
    <w:p w14:paraId="192582BD" w14:textId="1EDB7411" w:rsidR="00C46774" w:rsidRDefault="00B806B4" w:rsidP="00D4225A">
      <w:pPr>
        <w:pStyle w:val="Heading2"/>
      </w:pPr>
      <w:bookmarkStart w:id="102" w:name="_Toc485721577"/>
      <w:bookmarkStart w:id="103" w:name="_Toc486787157"/>
      <w:bookmarkStart w:id="104" w:name="_Toc486787305"/>
      <w:r>
        <w:lastRenderedPageBreak/>
        <w:t>Comparative analyses of the LTR retrotransposon content of the Galgal4 and Galgal5 chicken genome assemblies</w:t>
      </w:r>
      <w:bookmarkEnd w:id="102"/>
      <w:bookmarkEnd w:id="103"/>
      <w:bookmarkEnd w:id="104"/>
    </w:p>
    <w:p w14:paraId="4F153AF7" w14:textId="2FCDB7AD" w:rsidR="00C46774" w:rsidRDefault="00C46774" w:rsidP="00C46774">
      <w:pPr>
        <w:pStyle w:val="Heading3"/>
      </w:pPr>
      <w:bookmarkStart w:id="105" w:name="_Toc485721578"/>
      <w:bookmarkStart w:id="106" w:name="_Toc486787158"/>
      <w:bookmarkStart w:id="107" w:name="_Toc486787306"/>
      <w:r>
        <w:t>Analysis of the Galgal5 assembly with LocaTR</w:t>
      </w:r>
      <w:bookmarkEnd w:id="105"/>
      <w:bookmarkEnd w:id="106"/>
      <w:bookmarkEnd w:id="107"/>
    </w:p>
    <w:p w14:paraId="1B223240" w14:textId="5BC4AC3D" w:rsidR="00600158" w:rsidRDefault="00CF605A" w:rsidP="00391005">
      <w:pPr>
        <w:pStyle w:val="ListParagraph"/>
      </w:pPr>
      <w:r>
        <w:t xml:space="preserve">LTR retrotransposons were identified in the Galgal5 genome assembly </w:t>
      </w:r>
      <w:r w:rsidR="0054096A">
        <w:t xml:space="preserve">(GenBank: GCF_000002315.4) </w:t>
      </w:r>
      <w:r>
        <w:t xml:space="preserve">using the LocaTR identification pipeline with default settings. </w:t>
      </w:r>
      <w:r w:rsidR="00164FCB">
        <w:t>The assembly statistics of Galgal4 and Galgal5 are compared in</w:t>
      </w:r>
      <w:r w:rsidR="008B220A">
        <w:t xml:space="preserve"> </w:t>
      </w:r>
      <w:r w:rsidR="008B220A" w:rsidRPr="00614DD6">
        <w:fldChar w:fldCharType="begin" w:fldLock="1"/>
      </w:r>
      <w:r w:rsidR="008B220A" w:rsidRPr="00614DD6">
        <w:instrText xml:space="preserve"> REF _Ref477422867 \h </w:instrText>
      </w:r>
      <w:r w:rsidR="00614DD6" w:rsidRPr="00614DD6">
        <w:instrText xml:space="preserve"> \* MERGEFORMAT </w:instrText>
      </w:r>
      <w:r w:rsidR="008B220A" w:rsidRPr="00614DD6">
        <w:fldChar w:fldCharType="separate"/>
      </w:r>
      <w:r w:rsidR="002C549C" w:rsidRPr="008B29DC">
        <w:t xml:space="preserve">Table </w:t>
      </w:r>
      <w:r w:rsidR="002C549C">
        <w:rPr>
          <w:noProof/>
        </w:rPr>
        <w:t>2</w:t>
      </w:r>
      <w:r w:rsidR="002C549C" w:rsidRPr="008B29DC">
        <w:rPr>
          <w:noProof/>
        </w:rPr>
        <w:t>.</w:t>
      </w:r>
      <w:r w:rsidR="002C549C">
        <w:rPr>
          <w:noProof/>
        </w:rPr>
        <w:t>3</w:t>
      </w:r>
      <w:r w:rsidR="008B220A" w:rsidRPr="00614DD6">
        <w:fldChar w:fldCharType="end"/>
      </w:r>
      <w:r w:rsidR="003C479E">
        <w:t>.</w:t>
      </w:r>
      <w:r w:rsidR="00164FCB">
        <w:t xml:space="preserve"> </w:t>
      </w:r>
    </w:p>
    <w:p w14:paraId="640B50D2" w14:textId="165D0EFD" w:rsidR="003C479E" w:rsidRDefault="003C479E" w:rsidP="003C479E">
      <w:pPr>
        <w:pStyle w:val="Caption"/>
      </w:pPr>
      <w:bookmarkStart w:id="108" w:name="_Ref477422867"/>
      <w:bookmarkStart w:id="109" w:name="_Toc486786299"/>
      <w:r w:rsidRPr="008B29DC">
        <w:t xml:space="preserve">Table </w:t>
      </w:r>
      <w:fldSimple w:instr=" STYLEREF 1 \s " w:fldLock="1">
        <w:r w:rsidR="002C549C">
          <w:rPr>
            <w:noProof/>
          </w:rPr>
          <w:t>2</w:t>
        </w:r>
      </w:fldSimple>
      <w:r w:rsidR="001167C6" w:rsidRPr="008B29DC">
        <w:t>.</w:t>
      </w:r>
      <w:fldSimple w:instr=" SEQ Table \* ARABIC \s 1 " w:fldLock="1">
        <w:r w:rsidR="002C549C">
          <w:rPr>
            <w:noProof/>
          </w:rPr>
          <w:t>3</w:t>
        </w:r>
      </w:fldSimple>
      <w:bookmarkEnd w:id="108"/>
      <w:r>
        <w:t xml:space="preserve"> Comparison of the Galgal4 and Galgal5 chicken genome assemblies.</w:t>
      </w:r>
      <w:bookmarkEnd w:id="109"/>
    </w:p>
    <w:tbl>
      <w:tblPr>
        <w:tblStyle w:val="TableGrid"/>
        <w:tblW w:w="6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2126"/>
        <w:gridCol w:w="2126"/>
      </w:tblGrid>
      <w:tr w:rsidR="003C479E" w14:paraId="11FD658E" w14:textId="77777777" w:rsidTr="003C479E">
        <w:trPr>
          <w:trHeight w:val="552"/>
          <w:jc w:val="center"/>
        </w:trPr>
        <w:tc>
          <w:tcPr>
            <w:tcW w:w="2694" w:type="dxa"/>
            <w:tcBorders>
              <w:top w:val="single" w:sz="4" w:space="0" w:color="auto"/>
              <w:bottom w:val="single" w:sz="4" w:space="0" w:color="auto"/>
            </w:tcBorders>
            <w:vAlign w:val="center"/>
          </w:tcPr>
          <w:p w14:paraId="17C83B32" w14:textId="3E180A95" w:rsidR="003C479E" w:rsidRDefault="006C523D" w:rsidP="00F51742">
            <w:pPr>
              <w:pStyle w:val="Tablecontent"/>
            </w:pPr>
            <w:r>
              <w:t>Assembly features</w:t>
            </w:r>
          </w:p>
        </w:tc>
        <w:tc>
          <w:tcPr>
            <w:tcW w:w="2126" w:type="dxa"/>
            <w:tcBorders>
              <w:top w:val="single" w:sz="4" w:space="0" w:color="auto"/>
              <w:bottom w:val="single" w:sz="4" w:space="0" w:color="auto"/>
            </w:tcBorders>
            <w:vAlign w:val="center"/>
          </w:tcPr>
          <w:p w14:paraId="77AE6C6B" w14:textId="3955B53A" w:rsidR="003C479E" w:rsidRDefault="003C479E" w:rsidP="00F51742">
            <w:pPr>
              <w:pStyle w:val="Tablecontent"/>
              <w:jc w:val="center"/>
            </w:pPr>
            <w:r>
              <w:t>Galgal4</w:t>
            </w:r>
          </w:p>
        </w:tc>
        <w:tc>
          <w:tcPr>
            <w:tcW w:w="2126" w:type="dxa"/>
            <w:tcBorders>
              <w:top w:val="single" w:sz="4" w:space="0" w:color="auto"/>
              <w:bottom w:val="single" w:sz="4" w:space="0" w:color="auto"/>
            </w:tcBorders>
            <w:vAlign w:val="center"/>
          </w:tcPr>
          <w:p w14:paraId="79822CCB" w14:textId="0C799DC1" w:rsidR="003C479E" w:rsidRDefault="003C479E" w:rsidP="00F51742">
            <w:pPr>
              <w:pStyle w:val="Tablecontent"/>
              <w:jc w:val="center"/>
            </w:pPr>
            <w:r>
              <w:t>Galgal5</w:t>
            </w:r>
          </w:p>
        </w:tc>
      </w:tr>
      <w:tr w:rsidR="003C479E" w14:paraId="714E1F54" w14:textId="77777777" w:rsidTr="003C479E">
        <w:trPr>
          <w:jc w:val="center"/>
        </w:trPr>
        <w:tc>
          <w:tcPr>
            <w:tcW w:w="2694" w:type="dxa"/>
            <w:tcBorders>
              <w:top w:val="single" w:sz="4" w:space="0" w:color="auto"/>
              <w:right w:val="single" w:sz="4" w:space="0" w:color="auto"/>
            </w:tcBorders>
            <w:vAlign w:val="center"/>
          </w:tcPr>
          <w:p w14:paraId="412DAB2A" w14:textId="12D05CF0" w:rsidR="003C479E" w:rsidRDefault="006C523D" w:rsidP="006C523D">
            <w:pPr>
              <w:pStyle w:val="Tablecontent"/>
              <w:ind w:right="41"/>
            </w:pPr>
            <w:r>
              <w:t>Assembled</w:t>
            </w:r>
            <w:r w:rsidR="003C479E">
              <w:t xml:space="preserve"> length (bp)</w:t>
            </w:r>
          </w:p>
        </w:tc>
        <w:tc>
          <w:tcPr>
            <w:tcW w:w="2126" w:type="dxa"/>
            <w:tcBorders>
              <w:top w:val="single" w:sz="4" w:space="0" w:color="auto"/>
            </w:tcBorders>
            <w:vAlign w:val="center"/>
          </w:tcPr>
          <w:p w14:paraId="3F5B7EC0" w14:textId="77777777" w:rsidR="003C479E" w:rsidRPr="005A55BD" w:rsidRDefault="003C479E" w:rsidP="00F51742">
            <w:pPr>
              <w:pStyle w:val="Tablecontent"/>
              <w:jc w:val="center"/>
            </w:pPr>
            <w:r>
              <w:t>1,046,932,099</w:t>
            </w:r>
          </w:p>
        </w:tc>
        <w:tc>
          <w:tcPr>
            <w:tcW w:w="2126" w:type="dxa"/>
            <w:tcBorders>
              <w:top w:val="single" w:sz="4" w:space="0" w:color="auto"/>
            </w:tcBorders>
            <w:vAlign w:val="center"/>
          </w:tcPr>
          <w:p w14:paraId="341A557B" w14:textId="7BAC9253" w:rsidR="003C479E" w:rsidRPr="005A55BD" w:rsidRDefault="000C2448" w:rsidP="00F51742">
            <w:pPr>
              <w:pStyle w:val="Tablecontent"/>
              <w:jc w:val="center"/>
            </w:pPr>
            <w:r>
              <w:t>1,230,258,557</w:t>
            </w:r>
          </w:p>
        </w:tc>
      </w:tr>
      <w:tr w:rsidR="000C2448" w14:paraId="004933A3" w14:textId="77777777" w:rsidTr="003C479E">
        <w:trPr>
          <w:jc w:val="center"/>
        </w:trPr>
        <w:tc>
          <w:tcPr>
            <w:tcW w:w="2694" w:type="dxa"/>
            <w:tcBorders>
              <w:right w:val="single" w:sz="4" w:space="0" w:color="auto"/>
            </w:tcBorders>
            <w:vAlign w:val="center"/>
          </w:tcPr>
          <w:p w14:paraId="3FA565B7" w14:textId="03D93EDC" w:rsidR="000C2448" w:rsidRDefault="000C2448" w:rsidP="006C523D">
            <w:pPr>
              <w:pStyle w:val="Tablecontent"/>
              <w:ind w:right="41"/>
            </w:pPr>
            <w:r>
              <w:t>Assembled chromosomes</w:t>
            </w:r>
          </w:p>
        </w:tc>
        <w:tc>
          <w:tcPr>
            <w:tcW w:w="2126" w:type="dxa"/>
            <w:vAlign w:val="center"/>
          </w:tcPr>
          <w:p w14:paraId="473BF91E" w14:textId="46E1FA98" w:rsidR="000C2448" w:rsidRDefault="000C2448" w:rsidP="00F51742">
            <w:pPr>
              <w:pStyle w:val="Tablecontent"/>
              <w:jc w:val="center"/>
            </w:pPr>
            <w:r>
              <w:t xml:space="preserve">1-28, </w:t>
            </w:r>
            <w:r w:rsidR="000C4C16">
              <w:t xml:space="preserve">32, </w:t>
            </w:r>
            <w:r>
              <w:t>W, Z</w:t>
            </w:r>
          </w:p>
        </w:tc>
        <w:tc>
          <w:tcPr>
            <w:tcW w:w="2126" w:type="dxa"/>
            <w:vAlign w:val="center"/>
          </w:tcPr>
          <w:p w14:paraId="62D0D35B" w14:textId="28390697" w:rsidR="000C2448" w:rsidRDefault="000C2448" w:rsidP="00F51742">
            <w:pPr>
              <w:pStyle w:val="Tablecontent"/>
              <w:jc w:val="center"/>
            </w:pPr>
            <w:r>
              <w:t>1-28, 30-33, W, Z</w:t>
            </w:r>
          </w:p>
        </w:tc>
      </w:tr>
      <w:tr w:rsidR="003C479E" w14:paraId="2D2EB6B6" w14:textId="77777777" w:rsidTr="003C479E">
        <w:trPr>
          <w:jc w:val="center"/>
        </w:trPr>
        <w:tc>
          <w:tcPr>
            <w:tcW w:w="2694" w:type="dxa"/>
            <w:tcBorders>
              <w:right w:val="single" w:sz="4" w:space="0" w:color="auto"/>
            </w:tcBorders>
            <w:vAlign w:val="center"/>
          </w:tcPr>
          <w:p w14:paraId="6220D6C8" w14:textId="182DEBDA" w:rsidR="003C479E" w:rsidRDefault="000C2448" w:rsidP="006C523D">
            <w:pPr>
              <w:pStyle w:val="Tablecontent"/>
              <w:ind w:right="41"/>
            </w:pPr>
            <w:r>
              <w:t>Total contigs</w:t>
            </w:r>
          </w:p>
        </w:tc>
        <w:tc>
          <w:tcPr>
            <w:tcW w:w="2126" w:type="dxa"/>
            <w:vAlign w:val="center"/>
          </w:tcPr>
          <w:p w14:paraId="20DCA866" w14:textId="5C0388A4" w:rsidR="003C479E" w:rsidRDefault="000C2448" w:rsidP="00F51742">
            <w:pPr>
              <w:pStyle w:val="Tablecontent"/>
              <w:jc w:val="center"/>
            </w:pPr>
            <w:r>
              <w:t>27,041</w:t>
            </w:r>
          </w:p>
        </w:tc>
        <w:tc>
          <w:tcPr>
            <w:tcW w:w="2126" w:type="dxa"/>
            <w:vAlign w:val="center"/>
          </w:tcPr>
          <w:p w14:paraId="4C35208E" w14:textId="3E613789" w:rsidR="003C479E" w:rsidRPr="005A55BD" w:rsidRDefault="000C2448" w:rsidP="00F51742">
            <w:pPr>
              <w:pStyle w:val="Tablecontent"/>
              <w:jc w:val="center"/>
            </w:pPr>
            <w:r>
              <w:t>24,693</w:t>
            </w:r>
          </w:p>
        </w:tc>
      </w:tr>
      <w:tr w:rsidR="003C479E" w14:paraId="788FE330" w14:textId="77777777" w:rsidTr="003C479E">
        <w:trPr>
          <w:jc w:val="center"/>
        </w:trPr>
        <w:tc>
          <w:tcPr>
            <w:tcW w:w="2694" w:type="dxa"/>
            <w:tcBorders>
              <w:right w:val="single" w:sz="4" w:space="0" w:color="auto"/>
            </w:tcBorders>
            <w:vAlign w:val="center"/>
          </w:tcPr>
          <w:p w14:paraId="5D14DCF0" w14:textId="6B6DAA47" w:rsidR="003C479E" w:rsidRDefault="000C2448" w:rsidP="006C523D">
            <w:pPr>
              <w:pStyle w:val="Tablecontent"/>
              <w:ind w:right="41"/>
            </w:pPr>
            <w:r>
              <w:t>Contig</w:t>
            </w:r>
            <w:r w:rsidR="003C479E">
              <w:t xml:space="preserve"> N50 (bp)</w:t>
            </w:r>
          </w:p>
        </w:tc>
        <w:tc>
          <w:tcPr>
            <w:tcW w:w="2126" w:type="dxa"/>
            <w:vAlign w:val="center"/>
          </w:tcPr>
          <w:p w14:paraId="5E11DF62" w14:textId="58D42676" w:rsidR="003C479E" w:rsidRPr="005A55BD" w:rsidRDefault="000C2448" w:rsidP="00F51742">
            <w:pPr>
              <w:pStyle w:val="Tablecontent"/>
              <w:jc w:val="center"/>
            </w:pPr>
            <w:r>
              <w:t>279,750</w:t>
            </w:r>
          </w:p>
        </w:tc>
        <w:tc>
          <w:tcPr>
            <w:tcW w:w="2126" w:type="dxa"/>
            <w:vAlign w:val="center"/>
          </w:tcPr>
          <w:p w14:paraId="6EB388B1" w14:textId="7136CFCC" w:rsidR="003C479E" w:rsidRPr="005A55BD" w:rsidRDefault="000C2448" w:rsidP="00F51742">
            <w:pPr>
              <w:pStyle w:val="Tablecontent"/>
              <w:jc w:val="center"/>
            </w:pPr>
            <w:r>
              <w:t>2,894,815</w:t>
            </w:r>
          </w:p>
        </w:tc>
      </w:tr>
      <w:tr w:rsidR="003C479E" w14:paraId="596B57C2" w14:textId="77777777" w:rsidTr="003C479E">
        <w:trPr>
          <w:jc w:val="center"/>
        </w:trPr>
        <w:tc>
          <w:tcPr>
            <w:tcW w:w="2694" w:type="dxa"/>
            <w:tcBorders>
              <w:right w:val="single" w:sz="4" w:space="0" w:color="auto"/>
            </w:tcBorders>
            <w:vAlign w:val="center"/>
          </w:tcPr>
          <w:p w14:paraId="430B9010" w14:textId="35E70E34" w:rsidR="003C479E" w:rsidRDefault="000C2448" w:rsidP="006C523D">
            <w:pPr>
              <w:pStyle w:val="Tablecontent"/>
              <w:ind w:right="41"/>
            </w:pPr>
            <w:r>
              <w:t>Placed contigs (bp)</w:t>
            </w:r>
          </w:p>
        </w:tc>
        <w:tc>
          <w:tcPr>
            <w:tcW w:w="2126" w:type="dxa"/>
            <w:vAlign w:val="center"/>
          </w:tcPr>
          <w:p w14:paraId="51A43D5F" w14:textId="037C30E7" w:rsidR="003C479E" w:rsidRPr="005A55BD" w:rsidRDefault="000C2448" w:rsidP="00F51742">
            <w:pPr>
              <w:pStyle w:val="Tablecontent"/>
              <w:jc w:val="center"/>
            </w:pPr>
            <w:r>
              <w:t>1,014,655,963</w:t>
            </w:r>
          </w:p>
        </w:tc>
        <w:tc>
          <w:tcPr>
            <w:tcW w:w="2126" w:type="dxa"/>
            <w:vAlign w:val="center"/>
          </w:tcPr>
          <w:p w14:paraId="24D34E30" w14:textId="21C2C888" w:rsidR="003C479E" w:rsidRPr="005A55BD" w:rsidRDefault="000C2448" w:rsidP="00F51742">
            <w:pPr>
              <w:pStyle w:val="Tablecontent"/>
              <w:jc w:val="center"/>
            </w:pPr>
            <w:r>
              <w:t>1,091,712,069</w:t>
            </w:r>
          </w:p>
        </w:tc>
      </w:tr>
      <w:tr w:rsidR="000C2448" w14:paraId="029FB175" w14:textId="77777777" w:rsidTr="003C479E">
        <w:trPr>
          <w:jc w:val="center"/>
        </w:trPr>
        <w:tc>
          <w:tcPr>
            <w:tcW w:w="2694" w:type="dxa"/>
            <w:tcBorders>
              <w:right w:val="single" w:sz="4" w:space="0" w:color="auto"/>
            </w:tcBorders>
            <w:vAlign w:val="center"/>
          </w:tcPr>
          <w:p w14:paraId="3784AA74" w14:textId="1E39D725" w:rsidR="000C2448" w:rsidRDefault="000C2448" w:rsidP="006C523D">
            <w:pPr>
              <w:pStyle w:val="Tablecontent"/>
              <w:ind w:right="41"/>
            </w:pPr>
            <w:r>
              <w:t>Unplaced contigs (bp)</w:t>
            </w:r>
          </w:p>
        </w:tc>
        <w:tc>
          <w:tcPr>
            <w:tcW w:w="2126" w:type="dxa"/>
            <w:vAlign w:val="center"/>
          </w:tcPr>
          <w:p w14:paraId="778BF03F" w14:textId="5C9D23B2" w:rsidR="000C2448" w:rsidRDefault="000C2448" w:rsidP="00F51742">
            <w:pPr>
              <w:pStyle w:val="Tablecontent"/>
              <w:jc w:val="center"/>
            </w:pPr>
            <w:r>
              <w:t>32,120,124</w:t>
            </w:r>
          </w:p>
        </w:tc>
        <w:tc>
          <w:tcPr>
            <w:tcW w:w="2126" w:type="dxa"/>
            <w:vAlign w:val="center"/>
          </w:tcPr>
          <w:p w14:paraId="4E8C9793" w14:textId="5AE53280" w:rsidR="000C2448" w:rsidRDefault="000C2448" w:rsidP="00F51742">
            <w:pPr>
              <w:pStyle w:val="Tablecontent"/>
              <w:jc w:val="center"/>
            </w:pPr>
            <w:r>
              <w:t>138,199,872</w:t>
            </w:r>
          </w:p>
        </w:tc>
      </w:tr>
      <w:tr w:rsidR="000C2448" w14:paraId="7C625A2E" w14:textId="77777777" w:rsidTr="000C2448">
        <w:trPr>
          <w:jc w:val="center"/>
        </w:trPr>
        <w:tc>
          <w:tcPr>
            <w:tcW w:w="2694" w:type="dxa"/>
            <w:tcBorders>
              <w:right w:val="single" w:sz="4" w:space="0" w:color="auto"/>
            </w:tcBorders>
            <w:vAlign w:val="center"/>
          </w:tcPr>
          <w:p w14:paraId="7CB5D1E7" w14:textId="7777E255" w:rsidR="000C2448" w:rsidRDefault="000C2448" w:rsidP="006C523D">
            <w:pPr>
              <w:pStyle w:val="Tablecontent"/>
              <w:ind w:right="41"/>
            </w:pPr>
            <w:r>
              <w:t>Total scaffolds</w:t>
            </w:r>
          </w:p>
        </w:tc>
        <w:tc>
          <w:tcPr>
            <w:tcW w:w="2126" w:type="dxa"/>
            <w:vAlign w:val="center"/>
          </w:tcPr>
          <w:p w14:paraId="664293F6" w14:textId="4B7269AE" w:rsidR="000C2448" w:rsidRDefault="000C2448" w:rsidP="00F51742">
            <w:pPr>
              <w:pStyle w:val="Tablecontent"/>
              <w:jc w:val="center"/>
            </w:pPr>
            <w:r>
              <w:t>16,847</w:t>
            </w:r>
          </w:p>
        </w:tc>
        <w:tc>
          <w:tcPr>
            <w:tcW w:w="2126" w:type="dxa"/>
            <w:vAlign w:val="center"/>
          </w:tcPr>
          <w:p w14:paraId="233326C0" w14:textId="7165A4E9" w:rsidR="000C2448" w:rsidRPr="005A55BD" w:rsidRDefault="000C2448" w:rsidP="00F51742">
            <w:pPr>
              <w:pStyle w:val="Tablecontent"/>
              <w:jc w:val="center"/>
            </w:pPr>
            <w:r>
              <w:t>23,870</w:t>
            </w:r>
          </w:p>
        </w:tc>
      </w:tr>
      <w:tr w:rsidR="000C2448" w14:paraId="6093100B" w14:textId="77777777" w:rsidTr="000C2448">
        <w:trPr>
          <w:jc w:val="center"/>
        </w:trPr>
        <w:tc>
          <w:tcPr>
            <w:tcW w:w="2694" w:type="dxa"/>
            <w:tcBorders>
              <w:bottom w:val="single" w:sz="4" w:space="0" w:color="auto"/>
              <w:right w:val="single" w:sz="4" w:space="0" w:color="auto"/>
            </w:tcBorders>
            <w:vAlign w:val="center"/>
          </w:tcPr>
          <w:p w14:paraId="0292E57B" w14:textId="6AC68374" w:rsidR="000C2448" w:rsidRDefault="000C2448" w:rsidP="006C523D">
            <w:pPr>
              <w:pStyle w:val="Tablecontent"/>
              <w:ind w:right="41"/>
            </w:pPr>
            <w:r>
              <w:t>Scaffold N50 (bp)</w:t>
            </w:r>
          </w:p>
        </w:tc>
        <w:tc>
          <w:tcPr>
            <w:tcW w:w="2126" w:type="dxa"/>
            <w:tcBorders>
              <w:bottom w:val="single" w:sz="4" w:space="0" w:color="auto"/>
            </w:tcBorders>
            <w:vAlign w:val="center"/>
          </w:tcPr>
          <w:p w14:paraId="587A4419" w14:textId="2552C38A" w:rsidR="000C2448" w:rsidRDefault="000C2448" w:rsidP="00F51742">
            <w:pPr>
              <w:pStyle w:val="Tablecontent"/>
              <w:jc w:val="center"/>
            </w:pPr>
            <w:r>
              <w:t>12,877,381</w:t>
            </w:r>
          </w:p>
        </w:tc>
        <w:tc>
          <w:tcPr>
            <w:tcW w:w="2126" w:type="dxa"/>
            <w:tcBorders>
              <w:bottom w:val="single" w:sz="4" w:space="0" w:color="auto"/>
            </w:tcBorders>
            <w:vAlign w:val="center"/>
          </w:tcPr>
          <w:p w14:paraId="65935790" w14:textId="1680D2C9" w:rsidR="000C2448" w:rsidRPr="005A55BD" w:rsidRDefault="000C2448" w:rsidP="00F51742">
            <w:pPr>
              <w:pStyle w:val="Tablecontent"/>
              <w:jc w:val="center"/>
            </w:pPr>
            <w:r>
              <w:t>6,379,610</w:t>
            </w:r>
          </w:p>
        </w:tc>
      </w:tr>
    </w:tbl>
    <w:p w14:paraId="4822E050" w14:textId="77777777" w:rsidR="003C479E" w:rsidRPr="00A455F2" w:rsidRDefault="003C479E" w:rsidP="00391005">
      <w:pPr>
        <w:pStyle w:val="ListParagraph"/>
      </w:pPr>
    </w:p>
    <w:p w14:paraId="6E0034E5" w14:textId="3024BAD7" w:rsidR="00C46774" w:rsidRDefault="00C46774" w:rsidP="00C46774">
      <w:pPr>
        <w:pStyle w:val="Heading3"/>
      </w:pPr>
      <w:bookmarkStart w:id="110" w:name="_Ref482452056"/>
      <w:bookmarkStart w:id="111" w:name="_Toc485721579"/>
      <w:bookmarkStart w:id="112" w:name="_Toc486787159"/>
      <w:bookmarkStart w:id="113" w:name="_Toc486787307"/>
      <w:r>
        <w:t>Analysis of the LTR retrotransposons of the Galgal5 genome assembly</w:t>
      </w:r>
      <w:bookmarkEnd w:id="110"/>
      <w:bookmarkEnd w:id="111"/>
      <w:bookmarkEnd w:id="112"/>
      <w:bookmarkEnd w:id="113"/>
    </w:p>
    <w:p w14:paraId="18FA364C" w14:textId="2B56E77B" w:rsidR="006E5E5F" w:rsidRDefault="006E5E5F" w:rsidP="00391005">
      <w:pPr>
        <w:pStyle w:val="ListParagraph"/>
      </w:pPr>
      <w:r>
        <w:t xml:space="preserve">The distribution and location of LTR retrotransposons in the new, Galgal5 assembly was analysed in much </w:t>
      </w:r>
      <w:r w:rsidR="008B29DC">
        <w:t>the same manner as with</w:t>
      </w:r>
      <w:r>
        <w:t xml:space="preserve"> Galgal4, described above (Section </w:t>
      </w:r>
      <w:r>
        <w:fldChar w:fldCharType="begin" w:fldLock="1"/>
      </w:r>
      <w:r>
        <w:instrText xml:space="preserve"> REF _Ref468793405 \r \h </w:instrText>
      </w:r>
      <w:r>
        <w:fldChar w:fldCharType="separate"/>
      </w:r>
      <w:r w:rsidR="002C549C">
        <w:t>2.2.2</w:t>
      </w:r>
      <w:r>
        <w:fldChar w:fldCharType="end"/>
      </w:r>
      <w:r>
        <w:t xml:space="preserve">). </w:t>
      </w:r>
    </w:p>
    <w:p w14:paraId="5201B3E3" w14:textId="0B792C69" w:rsidR="00EA415C" w:rsidRDefault="006E5E5F" w:rsidP="00391005">
      <w:pPr>
        <w:pStyle w:val="ListParagraph"/>
      </w:pPr>
      <w:r>
        <w:t>Correlations were made between element density, chromosomal recombination rate, and gene density, now using the updated Ensembl Galga</w:t>
      </w:r>
      <w:r w:rsidR="000060F1">
        <w:t xml:space="preserve">l5 v86 feature annotation file. </w:t>
      </w:r>
      <w:r w:rsidR="00141863">
        <w:t>Data for chromosomes 27 and Z were</w:t>
      </w:r>
      <w:r>
        <w:t xml:space="preserve"> excluded due to</w:t>
      </w:r>
      <w:r w:rsidR="00141863">
        <w:t xml:space="preserve"> their far higher than expected density, which resulted in non-normal plots after</w:t>
      </w:r>
      <w:r>
        <w:t xml:space="preserve"> log</w:t>
      </w:r>
      <w:r>
        <w:rPr>
          <w:vertAlign w:val="subscript"/>
        </w:rPr>
        <w:t>10</w:t>
      </w:r>
      <w:r>
        <w:rPr>
          <w:vertAlign w:val="subscript"/>
        </w:rPr>
        <w:softHyphen/>
        <w:t xml:space="preserve"> </w:t>
      </w:r>
      <w:r w:rsidR="00141863">
        <w:t>transformation. Whilst improvements have been made to chromosomes 16 and W they remain poor assemblies compared to their known lengths, so were again</w:t>
      </w:r>
      <w:r w:rsidR="008B29DC">
        <w:t xml:space="preserve"> not considered in this analysis </w:t>
      </w:r>
      <w:r w:rsidR="008B29DC">
        <w:fldChar w:fldCharType="begin" w:fldLock="1"/>
      </w:r>
      <w:r w:rsidR="00F2444A">
        <w:instrText>ADDIN CSL_CITATION { "citationItems" : [ { "id" : "ITEM-1", "itemData" : { "DOI" : "10.1534/g3.116.035923", "ISSN" : "2160-1836", "PMID" : "27852011", "abstract" : "The importance of the Gallus gallus (chicken) as a model organism and agricultural animal merits a continuation of sequence assembly improvement efforts. We present a new version of the chicken genome assembly (Gallus_gallus-5.0; GCA_000002315.3) built from combined long single molecule sequencing technology, finished BACs, and improved physical maps. In overall assembled bases, we see a gain of 183 Mb including 16.4 Mb in placed chromosomes with a corresponding gain in the percentage of intact repeat elements characterized. Of the 1.21 Gb genome, we include three previously missing autosomes, GGA30, 31 and 33 and improve sequence contig length 10-fold over the previous Gallus_gallus-4.0. Despite the significant base representation improvements made, 138 Mb of sequence is not yet located to chromosomes. Gallus_gallus-5.0 when annotated for gene content shows an increase of 4,679 annotated genes, 2,768 non-coding and 1,911 protein-coding, over those in Gallus_gallus-4.0. We also revisited the question of what genes are missing in the avian lineage, as assessed by the highest quality avian genome assembly to date, and found that a large fraction of the original set of missing genes are still absent in sequenced bird species. Finally, our new data support a detailed map of MHC-B encompassing two segments; one with a highly stable gene copy number and another in which the gene copy number is highly variable. The chicken model has been a critical resource for many other fields of study, and this new reference assembly will substantially further these efforts.", "author" : [ { "dropping-particle" : "", "family" : "Warren", "given" : "Wesley C", "non-dropping-particle" : "", "parse-names" : false, "suffix" : "" }, { "dropping-particle" : "", "family" : "Hillier", "given" : "LaDeana W", "non-dropping-particle" : "", "parse-names" : false, "suffix" : "" }, { "dropping-particle" : "", "family" : "Tomlinson", "given" : "Chad", "non-dropping-particle" : "", "parse-names" : false, "suffix" : "" }, { "dropping-particle" : "", "family" : "Minx", "given" : "Patrick", "non-dropping-particle" : "", "parse-names" : false, "suffix" : "" }, { "dropping-particle" : "", "family" : "Kremitzki", "given" : "Milinn", "non-dropping-particle" : "", "parse-names" : false, "suffix" : "" }, { "dropping-particle" : "", "family" : "Graves", "given" : "Tina", "non-dropping-particle" : "", "parse-names" : false, "suffix" : "" }, { "dropping-particle" : "", "family" : "Markovic", "given" : "Chris", "non-dropping-particle" : "", "parse-names" : false, "suffix" : "" }, { "dropping-particle" : "", "family" : "Bouk", "given" : "Nathan", "non-dropping-particle" : "", "parse-names" : false, "suffix" : "" }, { "dropping-particle" : "", "family" : "Pruitt", "given" : "Kim D",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"Mansour", "given" : "Tamer A", "non-dropping-particle" : "", "parse-names" : false, "suffix" : "" }, { "dropping-particle" : "", "family" : "Brown", "given" : "C Titus", "non-dropping-particle" : "", "parse-names" : false, "suffix" : "" }, { "dropping-particle" : "", "family" : "Zimin", "given" : "Aleksey", "non-dropping-particle" : "", "parse-names" : false, "suffix" : "" }, { "dropping-particle" : "", "family" : "Hawken", "given" : "Rachel", "non-dropping-particle" : "", "parse-names" : false, "suffix" : "" }, { "dropping-particle" : "", "family" : "Abrahamsen", "given" : "Mitch", "non-dropping-particle" : "", "parse-names" : false, "suffix" : "" }, { "dropping-particle" : "", "family" : "Pyrkosz", "given" : "Alexis B", "non-dropping-particle" : "", "parse-names" : false, "suffix" : "" }, { "dropping-particle" : "", "family" : "Morisson", "given" : "Mireille", "non-dropping-particle" : "", "parse-names" : false, "suffix" : "" }, { "dropping-particle" : "", "family" : "Fillon", "given" : "Valerie", "non-dropping-particle" : "", "parse-names" : false, "suffix" : "" }, { "dropping-particle" : "", "family" : "Vignal", "given" : "Alain", "non-dropping-particle" : "", "parse-names" : false, "suffix" : "" }, { "dropping-particle" : "", "family" : "Chow", "given" : "William", "non-dropping-particle" : "", "parse-names" : false, "suffix" : "" }, { "dropping-particle" : "", "family" : "Howe", "given" : "Kerstin", "non-dropping-particle" : "", "parse-names" : false, "suffix" : "" }, { "dropping-particle" : "", "family" : "Fulton", "given" : "Janet E", "non-dropping-particle" : "", "parse-names" : false, "suffix" : "" }, { "dropping-particle" : "", "family" : "Miller", "given" : "Marcia M", "non-dropping-particle" : "", "parse-names" : false, "suffix" : "" }, { "dropping-particle" : "", "family" : "Lovell", "given" : "Peter", "non-dropping-particle" : "", "parse-names" : false, "suffix" : "" }, { "dropping-particle" : "V", "family" : "Mello", "given" : "Claudio", "non-dropping-particle" : "", "parse-names" : false, "suffix" : "" }, { "dropping-particle" : "", "family" : "Wirthlin", "given" : "Morgan", "non-dropping-particle" : "", "parse-names" : false, "suffix" : "" }, { "dropping-particle" : "", "family" : "Mason", "given" : "Andrew S", "non-dropping-particle" : "", "parse-names" : false, "suffix" : "" }, { "dropping-particle" : "", "family" : "Kuo", "given" : "Richard", "non-dropping-particle" : "", "parse-names" : false, "suffix" : "" }, { "dropping-particle" : "", "family" : "Burt", "given" : "David W", "non-dropping-particle" : "", "parse-names" : false, "suffix" : "" }, { "dropping-particle" : "", "family" : "Dodgson", "given" : "Jerry B", "non-dropping-particle" : "", "parse-names" : false, "suffix" : "" }, { "dropping-particle" : "", "family" : "Cheng", "given" : "Hans H", "non-dropping-particle" : "", "parse-names" : false, "suffix" : "" } ], "container-title" : "G3 (Bethesda, Md.)", "id" : "ITEM-1", "issue" : "January", "issued" : { "date-parts" : [ [ "2017" ] ] }, "page" : "g3.116.035923", "title" : "A New Chicken Genome Assembly Provides Insight into Avian Genome Structure.", "type" : "article-journal", "volume" : "7" }, "uris" : [ "http://www.mendeley.com/documents/?uuid=0333b8f9-3b6f-4eee-aa95-22b74aba53b7" ] } ], "mendeley" : { "formattedCitation" : "(Warren et al. 2017)", "plainTextFormattedCitation" : "(Warren et al. 2017)", "previouslyFormattedCitation" : "(Warren et al. 2017)" }, "properties" : { "noteIndex" : 0 }, "schema" : "https://github.com/citation-style-language/schema/raw/master/csl-citation.json" }</w:instrText>
      </w:r>
      <w:r w:rsidR="008B29DC">
        <w:fldChar w:fldCharType="separate"/>
      </w:r>
      <w:r w:rsidR="008B29DC" w:rsidRPr="008B29DC">
        <w:rPr>
          <w:noProof/>
        </w:rPr>
        <w:t>(Warren et al. 2017)</w:t>
      </w:r>
      <w:r w:rsidR="008B29DC">
        <w:fldChar w:fldCharType="end"/>
      </w:r>
      <w:r w:rsidR="00141863">
        <w:t>. Chromosome</w:t>
      </w:r>
      <w:r w:rsidR="008B29DC">
        <w:t>s</w:t>
      </w:r>
      <w:r w:rsidR="00141863">
        <w:t xml:space="preserve"> 30, 31, 32 and 33 were also excluded for this reason. </w:t>
      </w:r>
      <w:r w:rsidR="00131985">
        <w:t xml:space="preserve">Structurally intact element distribution was inspected for evidence of </w:t>
      </w:r>
      <w:r w:rsidR="00131985">
        <w:lastRenderedPageBreak/>
        <w:t>clusters, and the clustered elements</w:t>
      </w:r>
      <w:r w:rsidR="008B29DC">
        <w:t xml:space="preserve"> were</w:t>
      </w:r>
      <w:r w:rsidR="00131985">
        <w:t xml:space="preserve"> checked for insertion date or phylogenetic relatedness.</w:t>
      </w:r>
    </w:p>
    <w:p w14:paraId="265EE0BC" w14:textId="33DAB21B" w:rsidR="00C46774" w:rsidRDefault="00131985" w:rsidP="00391005">
      <w:pPr>
        <w:pStyle w:val="ListParagraph"/>
      </w:pPr>
      <w:r>
        <w:t>Element distribution was compared to the Ensembl annotation file</w:t>
      </w:r>
      <w:r w:rsidR="00C15DCE">
        <w:t xml:space="preserve"> using BEDTools </w:t>
      </w:r>
      <w:r w:rsidR="008B29DC">
        <w:t xml:space="preserve">intersectBED and </w:t>
      </w:r>
      <w:r w:rsidR="00C15DCE">
        <w:t xml:space="preserve">closestBed </w:t>
      </w:r>
      <w:r>
        <w:t>in the</w:t>
      </w:r>
      <w:r w:rsidR="008B29DC">
        <w:t xml:space="preserve"> same manner as </w:t>
      </w:r>
      <w:r>
        <w:t xml:space="preserve">with Galgal4. </w:t>
      </w:r>
      <w:r w:rsidR="000060F1">
        <w:t xml:space="preserve">Random insertion distributions were modelled </w:t>
      </w:r>
      <w:r w:rsidR="00C15DCE">
        <w:t xml:space="preserve">100,000 times </w:t>
      </w:r>
      <w:r w:rsidR="000060F1">
        <w:t>using BEDTools shuffle</w:t>
      </w:r>
      <w:r w:rsidR="00C15DCE">
        <w:t xml:space="preserve"> and compared using individual category exact binomial tests</w:t>
      </w:r>
      <w:r w:rsidR="000060F1">
        <w:t xml:space="preserve">. </w:t>
      </w:r>
      <w:r w:rsidR="00C15DCE">
        <w:t>Structurally intact e</w:t>
      </w:r>
      <w:r>
        <w:t xml:space="preserve">lement locations were </w:t>
      </w:r>
      <w:r w:rsidR="00C15DCE">
        <w:t xml:space="preserve">also </w:t>
      </w:r>
      <w:r w:rsidR="00A455F2">
        <w:t>overlapped with a recently</w:t>
      </w:r>
      <w:r>
        <w:t xml:space="preserve"> updated list of long</w:t>
      </w:r>
      <w:r w:rsidR="00F710ED">
        <w:t xml:space="preserve"> non-coding RNA (lncRNA) genes </w:t>
      </w:r>
      <w:r w:rsidR="00F710ED">
        <w:fldChar w:fldCharType="begin" w:fldLock="1"/>
      </w:r>
      <w:r w:rsidR="00924B35">
        <w:instrText>ADDIN CSL_CITATION { "citationItems" : [ { "id" : "ITEM-1", "itemData" : { "DOI" : "10.1186/s12864-017-3691-9", "ISSN" : "1471-2164", "author" : [ { "dropping-particle" : "", "family" : "Kuo", "given" : "RI", "non-dropping-particle" : "", "parse-names" : false, "suffix" : "" }, { "dropping-particle" : "", "family" : "Tseng", "given" : "E", "non-dropping-particle" : "", "parse-names" : false, "suffix" : "" }, { "dropping-particle" : "", "family" : "Eory", "given" : "L", "non-dropping-particle" : "", "parse-names" : false, "suffix" : "" }, { "dropping-particle" : "", "family" : "Paton", "given" : "IR", "non-dropping-particle" : "", "parse-names" : false, "suffix" : "" }, { "dropping-particle" : "", "family" : "Archibald", "given" : "AL", "non-dropping-particle" : "", "parse-names" : false, "suffix" : "" }, { "dropping-particle" : "", "family" : "Burt", "given" : "DW", "non-dropping-particle" : "", "parse-names" : false, "suffix" : "" } ], "container-title" : "BMC Genomics", "id" : "ITEM-1", "issue" : "323", "issued" : { "date-parts" : [ [ "2017" ] ] }, "page" : "1-19", "publisher" : "BMC Genomics", "title" : "Normalized long-read RNA sequencing in chicken reveals transcriptome complexity similar to human", "type" : "article-journal", "volume" : "18" }, "uris" : [ "http://www.mendeley.com/documents/?uuid=1948590f-a9d1-4ea9-bc2a-52a9154df6c4" ] } ], "mendeley" : { "formattedCitation" : "(Kuo et al. 2017)", "plainTextFormattedCitation" : "(Kuo et al. 2017)", "previouslyFormattedCitation" : "(Kuo et al. 2017)" }, "properties" : { "noteIndex" : 0 }, "schema" : "https://github.com/citation-style-language/schema/raw/master/csl-citation.json" }</w:instrText>
      </w:r>
      <w:r w:rsidR="00F710ED">
        <w:fldChar w:fldCharType="separate"/>
      </w:r>
      <w:r w:rsidR="00F710ED" w:rsidRPr="00F710ED">
        <w:rPr>
          <w:noProof/>
        </w:rPr>
        <w:t>(Kuo et al. 2017)</w:t>
      </w:r>
      <w:r w:rsidR="00F710ED">
        <w:fldChar w:fldCharType="end"/>
      </w:r>
      <w:r w:rsidR="00A455F2">
        <w:t xml:space="preserve"> using </w:t>
      </w:r>
      <w:r w:rsidR="000060F1">
        <w:t>closest</w:t>
      </w:r>
      <w:r>
        <w:t xml:space="preserve">Bed, not requiring matching strand orientation. </w:t>
      </w:r>
    </w:p>
    <w:p w14:paraId="5A0BF1C9" w14:textId="42A98AC8" w:rsidR="00C46774" w:rsidRDefault="000060F1" w:rsidP="00391005">
      <w:pPr>
        <w:pStyle w:val="ListParagraph"/>
      </w:pPr>
      <w:r>
        <w:t>Throughout this annotation comparisons were made between the two assembly results. Genomic locations were converted between the assemblies using the NCBI Genome Remapping Service (</w:t>
      </w:r>
      <w:r w:rsidRPr="000060F1">
        <w:t>www.ncbi.nlm.nih.gov/genome/tools/remap</w:t>
      </w:r>
      <w:r>
        <w:t xml:space="preserve">) where required. </w:t>
      </w:r>
    </w:p>
    <w:p w14:paraId="174789C2" w14:textId="77777777" w:rsidR="00D12630" w:rsidRDefault="00D12630" w:rsidP="00391005">
      <w:pPr>
        <w:pStyle w:val="ListParagraph"/>
      </w:pPr>
    </w:p>
    <w:p w14:paraId="2E7C93DF" w14:textId="2579DE43" w:rsidR="00D12630" w:rsidRDefault="00B806B4" w:rsidP="00D4225A">
      <w:pPr>
        <w:pStyle w:val="Heading2"/>
      </w:pPr>
      <w:bookmarkStart w:id="114" w:name="_Toc485721580"/>
      <w:bookmarkStart w:id="115" w:name="_Toc486787160"/>
      <w:bookmarkStart w:id="116" w:name="_Toc486787308"/>
      <w:r>
        <w:t>Analysis of LTR retrotransposon content across the avian lineage</w:t>
      </w:r>
      <w:bookmarkEnd w:id="114"/>
      <w:bookmarkEnd w:id="115"/>
      <w:bookmarkEnd w:id="116"/>
    </w:p>
    <w:p w14:paraId="7C4194EB" w14:textId="42F09BE7" w:rsidR="00B806B4" w:rsidRDefault="00C46774" w:rsidP="00C46774">
      <w:pPr>
        <w:pStyle w:val="Heading3"/>
      </w:pPr>
      <w:bookmarkStart w:id="117" w:name="_Toc485721581"/>
      <w:bookmarkStart w:id="118" w:name="_Toc486787161"/>
      <w:bookmarkStart w:id="119" w:name="_Toc486787309"/>
      <w:r>
        <w:t>Genomic resources</w:t>
      </w:r>
      <w:bookmarkEnd w:id="117"/>
      <w:bookmarkEnd w:id="118"/>
      <w:bookmarkEnd w:id="119"/>
    </w:p>
    <w:p w14:paraId="5D806FA8" w14:textId="02F860A5" w:rsidR="0071350A" w:rsidRDefault="00164FCB" w:rsidP="00391005">
      <w:pPr>
        <w:pStyle w:val="ListParagraph"/>
      </w:pPr>
      <w:r>
        <w:t xml:space="preserve">Genome </w:t>
      </w:r>
      <w:r w:rsidR="00A455F2">
        <w:t>a</w:t>
      </w:r>
      <w:r>
        <w:t>ssemblies for sixty-seven bird species and six reptilian outgroup species were downloaded from the NCBI GenBank. RefSeq assembly versions were used w</w:t>
      </w:r>
      <w:r w:rsidR="0078093C">
        <w:t>h</w:t>
      </w:r>
      <w:r>
        <w:t xml:space="preserve">ere available </w:t>
      </w:r>
      <w:r w:rsidR="0078093C">
        <w:t>to</w:t>
      </w:r>
      <w:r>
        <w:t xml:space="preserve"> include the assembled mitochondrial chromoso</w:t>
      </w:r>
      <w:r w:rsidR="00A455F2">
        <w:t>me. A</w:t>
      </w:r>
      <w:r>
        <w:t>ssembly statistics and accession numbers for each of the sevent</w:t>
      </w:r>
      <w:r w:rsidR="001E6BFD">
        <w:t xml:space="preserve">y-three species used are shown in </w:t>
      </w:r>
      <w:r w:rsidR="007B66D6" w:rsidRPr="007B66D6">
        <w:fldChar w:fldCharType="begin" w:fldLock="1"/>
      </w:r>
      <w:r w:rsidR="007B66D6" w:rsidRPr="007B66D6">
        <w:instrText xml:space="preserve"> REF _Ref477423054 \h  \* MERGEFORMAT </w:instrText>
      </w:r>
      <w:r w:rsidR="007B66D6" w:rsidRPr="007B66D6">
        <w:fldChar w:fldCharType="separate"/>
      </w:r>
      <w:r w:rsidR="002C549C" w:rsidRPr="008B29DC">
        <w:rPr>
          <w:noProof/>
        </w:rPr>
        <w:t>Table</w:t>
      </w:r>
      <w:r w:rsidR="002C549C" w:rsidRPr="002C549C">
        <w:rPr>
          <w:b/>
        </w:rPr>
        <w:t xml:space="preserve"> </w:t>
      </w:r>
      <w:r w:rsidR="002C549C">
        <w:rPr>
          <w:noProof/>
        </w:rPr>
        <w:t>2</w:t>
      </w:r>
      <w:r w:rsidR="002C549C" w:rsidRPr="008B29DC">
        <w:rPr>
          <w:noProof/>
        </w:rPr>
        <w:t>.</w:t>
      </w:r>
      <w:r w:rsidR="002C549C">
        <w:rPr>
          <w:noProof/>
        </w:rPr>
        <w:t>4</w:t>
      </w:r>
      <w:r w:rsidR="007B66D6" w:rsidRPr="007B66D6">
        <w:fldChar w:fldCharType="end"/>
      </w:r>
      <w:r w:rsidR="007B66D6">
        <w:t>.</w:t>
      </w:r>
    </w:p>
    <w:p w14:paraId="0F6D91A1" w14:textId="77777777" w:rsidR="008B29DC" w:rsidRDefault="008B29DC" w:rsidP="00391005">
      <w:pPr>
        <w:pStyle w:val="ListParagraph"/>
      </w:pPr>
    </w:p>
    <w:p w14:paraId="574A301C" w14:textId="77777777" w:rsidR="008B29DC" w:rsidRDefault="008B29DC" w:rsidP="008B29DC">
      <w:pPr>
        <w:pStyle w:val="Heading3"/>
      </w:pPr>
      <w:bookmarkStart w:id="120" w:name="_Toc485721582"/>
      <w:bookmarkStart w:id="121" w:name="_Toc486787162"/>
      <w:bookmarkStart w:id="122" w:name="_Toc486787310"/>
      <w:r>
        <w:t>Homology approach using updated Galgal4 LTR retrotransposon content</w:t>
      </w:r>
      <w:bookmarkEnd w:id="120"/>
      <w:bookmarkEnd w:id="121"/>
      <w:bookmarkEnd w:id="122"/>
    </w:p>
    <w:p w14:paraId="0FE65C9A" w14:textId="4DF39AC8" w:rsidR="008B29DC" w:rsidRDefault="008B29DC" w:rsidP="00391005">
      <w:pPr>
        <w:pStyle w:val="ListParagraph"/>
      </w:pPr>
      <w:r>
        <w:t xml:space="preserve">Of the seventy-three genomes listed below in </w:t>
      </w:r>
      <w:r>
        <w:fldChar w:fldCharType="begin" w:fldLock="1"/>
      </w:r>
      <w:r>
        <w:instrText xml:space="preserve"> REF _Ref477423054 \h </w:instrText>
      </w:r>
      <w:r>
        <w:fldChar w:fldCharType="separate"/>
      </w:r>
      <w:r w:rsidR="002C549C" w:rsidRPr="008B29DC">
        <w:t xml:space="preserve">Table </w:t>
      </w:r>
      <w:r w:rsidR="002C549C">
        <w:rPr>
          <w:noProof/>
        </w:rPr>
        <w:t>2</w:t>
      </w:r>
      <w:r w:rsidR="002C549C" w:rsidRPr="008B29DC">
        <w:t>.</w:t>
      </w:r>
      <w:r w:rsidR="002C549C">
        <w:rPr>
          <w:noProof/>
        </w:rPr>
        <w:t>4</w:t>
      </w:r>
      <w:r>
        <w:fldChar w:fldCharType="end"/>
      </w:r>
      <w:r>
        <w:t xml:space="preserve">, twenty-one phylogenetically diverse species were initially analysed for their LTR retrotransposon content using a purely homology based approach. These twenty-one genomes, including two reptilian outgroups, have been identified by an asterisk in </w:t>
      </w:r>
      <w:r w:rsidRPr="001E6BFD">
        <w:fldChar w:fldCharType="begin" w:fldLock="1"/>
      </w:r>
      <w:r w:rsidRPr="001E6BFD">
        <w:instrText xml:space="preserve"> REF _Ref477423054 \h  \* MERGEFORMAT </w:instrText>
      </w:r>
      <w:r w:rsidRPr="001E6BFD">
        <w:fldChar w:fldCharType="separate"/>
      </w:r>
      <w:r w:rsidR="002C549C" w:rsidRPr="008B29DC">
        <w:t xml:space="preserve">Table </w:t>
      </w:r>
      <w:r w:rsidR="002C549C">
        <w:rPr>
          <w:noProof/>
        </w:rPr>
        <w:t>2</w:t>
      </w:r>
      <w:r w:rsidR="002C549C" w:rsidRPr="008B29DC">
        <w:rPr>
          <w:noProof/>
        </w:rPr>
        <w:t>.</w:t>
      </w:r>
      <w:r w:rsidR="002C549C">
        <w:rPr>
          <w:noProof/>
        </w:rPr>
        <w:t>4</w:t>
      </w:r>
      <w:r w:rsidRPr="001E6BFD">
        <w:fldChar w:fldCharType="end"/>
      </w:r>
      <w:r>
        <w:t xml:space="preserve">. </w:t>
      </w:r>
    </w:p>
    <w:p w14:paraId="1E359CF2" w14:textId="5D130204" w:rsidR="0071350A" w:rsidRDefault="00A70911" w:rsidP="00710ECE">
      <w:pPr>
        <w:pStyle w:val="Caption"/>
      </w:pPr>
      <w:bookmarkStart w:id="123" w:name="_Ref477423054"/>
      <w:bookmarkStart w:id="124" w:name="_Toc486786300"/>
      <w:r w:rsidRPr="008B29DC">
        <w:t xml:space="preserve">Table </w:t>
      </w:r>
      <w:fldSimple w:instr=" STYLEREF 1 \s " w:fldLock="1">
        <w:r w:rsidR="002C549C">
          <w:rPr>
            <w:noProof/>
          </w:rPr>
          <w:t>2</w:t>
        </w:r>
      </w:fldSimple>
      <w:r w:rsidR="001167C6" w:rsidRPr="008B29DC">
        <w:t>.</w:t>
      </w:r>
      <w:fldSimple w:instr=" SEQ Table \* ARABIC \s 1 " w:fldLock="1">
        <w:r w:rsidR="002C549C">
          <w:rPr>
            <w:noProof/>
          </w:rPr>
          <w:t>4</w:t>
        </w:r>
      </w:fldSimple>
      <w:bookmarkEnd w:id="123"/>
      <w:r>
        <w:t xml:space="preserve"> Genome assembly statistics for the seventy-three species used in this study. Those species which were used in the initial, homology-only LTR retrotransposon identification strateg</w:t>
      </w:r>
      <w:r w:rsidR="006802B5">
        <w:t xml:space="preserve">y </w:t>
      </w:r>
      <w:r w:rsidR="0025366B">
        <w:t>are indicated by an asterisk</w:t>
      </w:r>
      <w:r>
        <w:t>.</w:t>
      </w:r>
      <w:bookmarkEnd w:id="124"/>
    </w:p>
    <w:tbl>
      <w:tblPr>
        <w:tblStyle w:val="TableGrid"/>
        <w:tblW w:w="8505" w:type="dxa"/>
        <w:tblInd w:w="-5" w:type="dxa"/>
        <w:tblBorders>
          <w:top w:val="none" w:sz="0" w:space="0" w:color="auto"/>
          <w:left w:val="none" w:sz="0" w:space="0" w:color="auto"/>
          <w:bottom w:val="none" w:sz="0" w:space="0" w:color="auto"/>
          <w:insideH w:val="none" w:sz="0" w:space="0" w:color="auto"/>
        </w:tblBorders>
        <w:tblLayout w:type="fixed"/>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tblGrid>
      <w:tr w:rsidR="00F51742" w14:paraId="3532EFBF" w14:textId="77777777" w:rsidTr="00B97DB0">
        <w:trPr>
          <w:cantSplit/>
          <w:trHeight w:val="1690"/>
        </w:trPr>
        <w:tc>
          <w:tcPr>
            <w:tcW w:w="567" w:type="dxa"/>
            <w:tcBorders>
              <w:right w:val="double" w:sz="4" w:space="0" w:color="auto"/>
            </w:tcBorders>
            <w:textDirection w:val="btLr"/>
            <w:vAlign w:val="center"/>
          </w:tcPr>
          <w:p w14:paraId="25115EFE" w14:textId="7AD400CC" w:rsidR="00F51742" w:rsidRPr="00B97DB0" w:rsidRDefault="00F51742" w:rsidP="00F51742">
            <w:pPr>
              <w:pStyle w:val="Tablecontent"/>
              <w:ind w:left="113" w:right="41"/>
            </w:pPr>
            <w:r w:rsidRPr="00B97DB0">
              <w:lastRenderedPageBreak/>
              <w:t>Contig N50 (bp)</w:t>
            </w:r>
          </w:p>
        </w:tc>
        <w:tc>
          <w:tcPr>
            <w:tcW w:w="567" w:type="dxa"/>
            <w:tcBorders>
              <w:left w:val="double" w:sz="4" w:space="0" w:color="auto"/>
            </w:tcBorders>
            <w:textDirection w:val="btLr"/>
          </w:tcPr>
          <w:p w14:paraId="6BFEBDBF" w14:textId="1E39E83B" w:rsidR="00F51742" w:rsidRDefault="00F51742" w:rsidP="00F51742">
            <w:pPr>
              <w:pStyle w:val="Tablecontent"/>
              <w:ind w:left="113" w:right="113"/>
              <w:jc w:val="center"/>
            </w:pPr>
            <w:r w:rsidRPr="00960DFE">
              <w:t>20,602</w:t>
            </w:r>
          </w:p>
        </w:tc>
        <w:tc>
          <w:tcPr>
            <w:tcW w:w="567" w:type="dxa"/>
            <w:textDirection w:val="btLr"/>
          </w:tcPr>
          <w:p w14:paraId="15931AA2" w14:textId="2E8EEFC2" w:rsidR="00F51742" w:rsidRDefault="00F51742" w:rsidP="00F51742">
            <w:pPr>
              <w:pStyle w:val="Tablecontent"/>
              <w:ind w:left="113" w:right="113"/>
              <w:jc w:val="center"/>
            </w:pPr>
            <w:r w:rsidRPr="00960DFE">
              <w:t>16,610</w:t>
            </w:r>
          </w:p>
        </w:tc>
        <w:tc>
          <w:tcPr>
            <w:tcW w:w="567" w:type="dxa"/>
            <w:textDirection w:val="btLr"/>
          </w:tcPr>
          <w:p w14:paraId="19146540" w14:textId="3C90B487" w:rsidR="00F51742" w:rsidRDefault="00F51742" w:rsidP="00F51742">
            <w:pPr>
              <w:pStyle w:val="Tablecontent"/>
              <w:ind w:left="113" w:right="113"/>
              <w:jc w:val="center"/>
            </w:pPr>
            <w:r w:rsidRPr="00960DFE">
              <w:t>26,171</w:t>
            </w:r>
          </w:p>
        </w:tc>
        <w:tc>
          <w:tcPr>
            <w:tcW w:w="567" w:type="dxa"/>
            <w:textDirection w:val="btLr"/>
          </w:tcPr>
          <w:p w14:paraId="6CE2717A" w14:textId="166A6AB9" w:rsidR="00F51742" w:rsidRDefault="00F51742" w:rsidP="00F51742">
            <w:pPr>
              <w:pStyle w:val="Tablecontent"/>
              <w:ind w:left="113" w:right="113"/>
              <w:jc w:val="center"/>
            </w:pPr>
            <w:r w:rsidRPr="00960DFE">
              <w:t>6,904</w:t>
            </w:r>
          </w:p>
        </w:tc>
        <w:tc>
          <w:tcPr>
            <w:tcW w:w="567" w:type="dxa"/>
            <w:textDirection w:val="btLr"/>
          </w:tcPr>
          <w:p w14:paraId="3FC2BDAF" w14:textId="0B8D0038" w:rsidR="00F51742" w:rsidRDefault="00F51742" w:rsidP="00F51742">
            <w:pPr>
              <w:pStyle w:val="Tablecontent"/>
              <w:ind w:left="113" w:right="113"/>
              <w:jc w:val="center"/>
            </w:pPr>
            <w:r w:rsidRPr="00960DFE">
              <w:t>26,114</w:t>
            </w:r>
          </w:p>
        </w:tc>
        <w:tc>
          <w:tcPr>
            <w:tcW w:w="567" w:type="dxa"/>
            <w:textDirection w:val="btLr"/>
          </w:tcPr>
          <w:p w14:paraId="75622191" w14:textId="3B4E22FC" w:rsidR="00F51742" w:rsidRDefault="00F51742" w:rsidP="00F51742">
            <w:pPr>
              <w:pStyle w:val="Tablecontent"/>
              <w:ind w:left="113" w:right="113"/>
              <w:jc w:val="center"/>
            </w:pPr>
            <w:r w:rsidRPr="00960DFE">
              <w:t>79,867</w:t>
            </w:r>
          </w:p>
        </w:tc>
        <w:tc>
          <w:tcPr>
            <w:tcW w:w="567" w:type="dxa"/>
            <w:textDirection w:val="btLr"/>
          </w:tcPr>
          <w:p w14:paraId="092945C3" w14:textId="3FA0F1B1" w:rsidR="00F51742" w:rsidRDefault="00F51742" w:rsidP="00F51742">
            <w:pPr>
              <w:pStyle w:val="Tablecontent"/>
              <w:ind w:left="113" w:right="113"/>
              <w:jc w:val="center"/>
            </w:pPr>
            <w:r w:rsidRPr="00960DFE">
              <w:t>27,602</w:t>
            </w:r>
          </w:p>
        </w:tc>
        <w:tc>
          <w:tcPr>
            <w:tcW w:w="567" w:type="dxa"/>
            <w:textDirection w:val="btLr"/>
          </w:tcPr>
          <w:p w14:paraId="62141A7D" w14:textId="1C64EC78" w:rsidR="00F51742" w:rsidRDefault="00F51742" w:rsidP="00F51742">
            <w:pPr>
              <w:pStyle w:val="Tablecontent"/>
              <w:ind w:left="113" w:right="113"/>
              <w:jc w:val="center"/>
            </w:pPr>
            <w:r w:rsidRPr="00960DFE">
              <w:t>22,156</w:t>
            </w:r>
          </w:p>
        </w:tc>
        <w:tc>
          <w:tcPr>
            <w:tcW w:w="567" w:type="dxa"/>
            <w:textDirection w:val="btLr"/>
          </w:tcPr>
          <w:p w14:paraId="09D71791" w14:textId="66D070E9" w:rsidR="00F51742" w:rsidRDefault="00F51742" w:rsidP="00F51742">
            <w:pPr>
              <w:pStyle w:val="Tablecontent"/>
              <w:ind w:left="113" w:right="113"/>
              <w:jc w:val="center"/>
            </w:pPr>
            <w:r w:rsidRPr="00960DFE">
              <w:t>28,882</w:t>
            </w:r>
          </w:p>
        </w:tc>
        <w:tc>
          <w:tcPr>
            <w:tcW w:w="567" w:type="dxa"/>
            <w:textDirection w:val="btLr"/>
          </w:tcPr>
          <w:p w14:paraId="2CC23181" w14:textId="6588991F" w:rsidR="00F51742" w:rsidRDefault="00F51742" w:rsidP="00F51742">
            <w:pPr>
              <w:pStyle w:val="Tablecontent"/>
              <w:ind w:left="113" w:right="113"/>
              <w:jc w:val="center"/>
            </w:pPr>
            <w:r w:rsidRPr="00960DFE">
              <w:t>31,730</w:t>
            </w:r>
          </w:p>
        </w:tc>
        <w:tc>
          <w:tcPr>
            <w:tcW w:w="567" w:type="dxa"/>
            <w:textDirection w:val="btLr"/>
          </w:tcPr>
          <w:p w14:paraId="6D44F98F" w14:textId="44672B7A" w:rsidR="00F51742" w:rsidRDefault="00F51742" w:rsidP="00F51742">
            <w:pPr>
              <w:pStyle w:val="Tablecontent"/>
              <w:ind w:left="113" w:right="113"/>
              <w:jc w:val="center"/>
            </w:pPr>
            <w:r w:rsidRPr="00960DFE">
              <w:t>17,252</w:t>
            </w:r>
          </w:p>
        </w:tc>
        <w:tc>
          <w:tcPr>
            <w:tcW w:w="567" w:type="dxa"/>
            <w:textDirection w:val="btLr"/>
          </w:tcPr>
          <w:p w14:paraId="26FFA830" w14:textId="44FBD2C4" w:rsidR="00F51742" w:rsidRDefault="00F51742" w:rsidP="00F51742">
            <w:pPr>
              <w:pStyle w:val="Tablecontent"/>
              <w:ind w:left="113" w:right="113"/>
              <w:jc w:val="center"/>
            </w:pPr>
            <w:r w:rsidRPr="00960DFE">
              <w:t>172,329</w:t>
            </w:r>
          </w:p>
        </w:tc>
        <w:tc>
          <w:tcPr>
            <w:tcW w:w="567" w:type="dxa"/>
            <w:textDirection w:val="btLr"/>
          </w:tcPr>
          <w:p w14:paraId="3338488E" w14:textId="0BD1952E" w:rsidR="00F51742" w:rsidRDefault="00F51742" w:rsidP="00F51742">
            <w:pPr>
              <w:pStyle w:val="Tablecontent"/>
              <w:ind w:left="113" w:right="113"/>
              <w:jc w:val="center"/>
            </w:pPr>
            <w:r w:rsidRPr="00960DFE">
              <w:t>4,399</w:t>
            </w:r>
          </w:p>
        </w:tc>
        <w:tc>
          <w:tcPr>
            <w:tcW w:w="567" w:type="dxa"/>
            <w:textDirection w:val="btLr"/>
          </w:tcPr>
          <w:p w14:paraId="2676033B" w14:textId="0254AF60" w:rsidR="00F51742" w:rsidRDefault="00F51742" w:rsidP="00F51742">
            <w:pPr>
              <w:pStyle w:val="Tablecontent"/>
              <w:ind w:left="113" w:right="113"/>
              <w:jc w:val="center"/>
            </w:pPr>
            <w:r w:rsidRPr="00960DFE">
              <w:t>23,331</w:t>
            </w:r>
          </w:p>
        </w:tc>
      </w:tr>
      <w:tr w:rsidR="00F51742" w14:paraId="0DBA6DCC" w14:textId="77777777" w:rsidTr="00B97DB0">
        <w:trPr>
          <w:cantSplit/>
          <w:trHeight w:val="1544"/>
        </w:trPr>
        <w:tc>
          <w:tcPr>
            <w:tcW w:w="567" w:type="dxa"/>
            <w:tcBorders>
              <w:right w:val="double" w:sz="4" w:space="0" w:color="auto"/>
            </w:tcBorders>
            <w:textDirection w:val="btLr"/>
            <w:vAlign w:val="center"/>
          </w:tcPr>
          <w:p w14:paraId="09DFD2BB" w14:textId="53489203" w:rsidR="00F51742" w:rsidRPr="00B97DB0" w:rsidRDefault="00F51742" w:rsidP="00F51742">
            <w:pPr>
              <w:pStyle w:val="Tablecontent"/>
              <w:ind w:left="113" w:right="41"/>
            </w:pPr>
            <w:r w:rsidRPr="00B97DB0">
              <w:t>Scaff N50 (bp)</w:t>
            </w:r>
          </w:p>
        </w:tc>
        <w:tc>
          <w:tcPr>
            <w:tcW w:w="567" w:type="dxa"/>
            <w:tcBorders>
              <w:left w:val="double" w:sz="4" w:space="0" w:color="auto"/>
            </w:tcBorders>
            <w:textDirection w:val="btLr"/>
          </w:tcPr>
          <w:p w14:paraId="02BBA4D2" w14:textId="05D8A90E" w:rsidR="00F51742" w:rsidRDefault="00F51742" w:rsidP="00F51742">
            <w:pPr>
              <w:pStyle w:val="Tablecontent"/>
              <w:ind w:left="113" w:right="113"/>
              <w:jc w:val="center"/>
            </w:pPr>
            <w:r w:rsidRPr="00960DFE">
              <w:t>64,469</w:t>
            </w:r>
          </w:p>
        </w:tc>
        <w:tc>
          <w:tcPr>
            <w:tcW w:w="567" w:type="dxa"/>
            <w:textDirection w:val="btLr"/>
          </w:tcPr>
          <w:p w14:paraId="6926F837" w14:textId="63DA33E3" w:rsidR="00F51742" w:rsidRDefault="00F51742" w:rsidP="00F51742">
            <w:pPr>
              <w:pStyle w:val="Tablecontent"/>
              <w:ind w:left="113" w:right="113"/>
              <w:jc w:val="center"/>
            </w:pPr>
            <w:r w:rsidRPr="00960DFE">
              <w:t>-</w:t>
            </w:r>
          </w:p>
        </w:tc>
        <w:tc>
          <w:tcPr>
            <w:tcW w:w="567" w:type="dxa"/>
            <w:textDirection w:val="btLr"/>
          </w:tcPr>
          <w:p w14:paraId="605B2BFE" w14:textId="450565F8" w:rsidR="00F51742" w:rsidRDefault="00F51742" w:rsidP="00F51742">
            <w:pPr>
              <w:pStyle w:val="Tablecontent"/>
              <w:ind w:left="113" w:right="113"/>
              <w:jc w:val="center"/>
            </w:pPr>
            <w:r w:rsidRPr="00960DFE">
              <w:t>-</w:t>
            </w:r>
          </w:p>
        </w:tc>
        <w:tc>
          <w:tcPr>
            <w:tcW w:w="567" w:type="dxa"/>
            <w:textDirection w:val="btLr"/>
          </w:tcPr>
          <w:p w14:paraId="12633E81" w14:textId="7B25B5D4" w:rsidR="00F51742" w:rsidRDefault="00F51742" w:rsidP="00F51742">
            <w:pPr>
              <w:pStyle w:val="Tablecontent"/>
              <w:ind w:left="113" w:right="113"/>
              <w:jc w:val="center"/>
            </w:pPr>
            <w:r w:rsidRPr="00960DFE">
              <w:t>19,239</w:t>
            </w:r>
          </w:p>
        </w:tc>
        <w:tc>
          <w:tcPr>
            <w:tcW w:w="567" w:type="dxa"/>
            <w:textDirection w:val="btLr"/>
          </w:tcPr>
          <w:p w14:paraId="1D1FE53A" w14:textId="70BD84F1" w:rsidR="00F51742" w:rsidRDefault="00F51742" w:rsidP="00F51742">
            <w:pPr>
              <w:pStyle w:val="Tablecontent"/>
              <w:ind w:left="113" w:right="113"/>
              <w:jc w:val="center"/>
            </w:pPr>
            <w:r w:rsidRPr="00960DFE">
              <w:t>1,233,631</w:t>
            </w:r>
          </w:p>
        </w:tc>
        <w:tc>
          <w:tcPr>
            <w:tcW w:w="567" w:type="dxa"/>
            <w:textDirection w:val="btLr"/>
          </w:tcPr>
          <w:p w14:paraId="572AA301" w14:textId="31A2065D" w:rsidR="00F51742" w:rsidRDefault="00F51742" w:rsidP="00F51742">
            <w:pPr>
              <w:pStyle w:val="Tablecontent"/>
              <w:ind w:left="113" w:right="113"/>
              <w:jc w:val="center"/>
            </w:pPr>
            <w:r w:rsidRPr="00960DFE">
              <w:t>4,033,265</w:t>
            </w:r>
          </w:p>
        </w:tc>
        <w:tc>
          <w:tcPr>
            <w:tcW w:w="567" w:type="dxa"/>
            <w:textDirection w:val="btLr"/>
          </w:tcPr>
          <w:p w14:paraId="5799D3C0" w14:textId="2FDAFE85" w:rsidR="00F51742" w:rsidRDefault="00F51742" w:rsidP="00F51742">
            <w:pPr>
              <w:pStyle w:val="Tablecontent"/>
              <w:ind w:left="113" w:right="113"/>
              <w:jc w:val="center"/>
            </w:pPr>
            <w:r w:rsidRPr="00960DFE">
              <w:t>5,202,740</w:t>
            </w:r>
          </w:p>
        </w:tc>
        <w:tc>
          <w:tcPr>
            <w:tcW w:w="567" w:type="dxa"/>
            <w:textDirection w:val="btLr"/>
          </w:tcPr>
          <w:p w14:paraId="662C0276" w14:textId="7F62FAE5" w:rsidR="00F51742" w:rsidRDefault="00F51742" w:rsidP="00F51742">
            <w:pPr>
              <w:pStyle w:val="Tablecontent"/>
              <w:ind w:left="113" w:right="113"/>
              <w:jc w:val="center"/>
            </w:pPr>
            <w:r w:rsidRPr="00960DFE">
              <w:t>46,345</w:t>
            </w:r>
          </w:p>
        </w:tc>
        <w:tc>
          <w:tcPr>
            <w:tcW w:w="567" w:type="dxa"/>
            <w:textDirection w:val="btLr"/>
          </w:tcPr>
          <w:p w14:paraId="4293A587" w14:textId="13402771" w:rsidR="00F51742" w:rsidRDefault="00F51742" w:rsidP="00F51742">
            <w:pPr>
              <w:pStyle w:val="Tablecontent"/>
              <w:ind w:left="113" w:right="113"/>
              <w:jc w:val="center"/>
            </w:pPr>
            <w:r w:rsidRPr="00960DFE">
              <w:t>56,673</w:t>
            </w:r>
          </w:p>
        </w:tc>
        <w:tc>
          <w:tcPr>
            <w:tcW w:w="567" w:type="dxa"/>
            <w:textDirection w:val="btLr"/>
          </w:tcPr>
          <w:p w14:paraId="4B94999E" w14:textId="1F35E475" w:rsidR="00F51742" w:rsidRDefault="00F51742" w:rsidP="00F51742">
            <w:pPr>
              <w:pStyle w:val="Tablecontent"/>
              <w:ind w:left="113" w:right="113"/>
              <w:jc w:val="center"/>
            </w:pPr>
            <w:r w:rsidRPr="00960DFE">
              <w:t>5,071,598</w:t>
            </w:r>
          </w:p>
        </w:tc>
        <w:tc>
          <w:tcPr>
            <w:tcW w:w="567" w:type="dxa"/>
            <w:textDirection w:val="btLr"/>
          </w:tcPr>
          <w:p w14:paraId="0E6CBD5F" w14:textId="718A1E23" w:rsidR="00F51742" w:rsidRDefault="00F51742" w:rsidP="00F51742">
            <w:pPr>
              <w:pStyle w:val="Tablecontent"/>
              <w:ind w:left="113" w:right="113"/>
              <w:jc w:val="center"/>
            </w:pPr>
            <w:r w:rsidRPr="00960DFE">
              <w:t>-</w:t>
            </w:r>
          </w:p>
        </w:tc>
        <w:tc>
          <w:tcPr>
            <w:tcW w:w="567" w:type="dxa"/>
            <w:textDirection w:val="btLr"/>
          </w:tcPr>
          <w:p w14:paraId="1FDE66D0" w14:textId="5AB32969" w:rsidR="00F51742" w:rsidRDefault="00F51742" w:rsidP="00F51742">
            <w:pPr>
              <w:pStyle w:val="Tablecontent"/>
              <w:ind w:left="113" w:right="113"/>
              <w:jc w:val="center"/>
            </w:pPr>
            <w:r w:rsidRPr="00960DFE">
              <w:t>9,230,743</w:t>
            </w:r>
          </w:p>
        </w:tc>
        <w:tc>
          <w:tcPr>
            <w:tcW w:w="567" w:type="dxa"/>
            <w:textDirection w:val="btLr"/>
          </w:tcPr>
          <w:p w14:paraId="7FA2BBBB" w14:textId="2648955C" w:rsidR="00F51742" w:rsidRDefault="00F51742" w:rsidP="00F51742">
            <w:pPr>
              <w:pStyle w:val="Tablecontent"/>
              <w:ind w:left="113" w:right="113"/>
              <w:jc w:val="center"/>
            </w:pPr>
            <w:r w:rsidRPr="00960DFE">
              <w:t>15,974</w:t>
            </w:r>
          </w:p>
        </w:tc>
        <w:tc>
          <w:tcPr>
            <w:tcW w:w="567" w:type="dxa"/>
            <w:textDirection w:val="btLr"/>
          </w:tcPr>
          <w:p w14:paraId="6AA417A3" w14:textId="4996B9B2" w:rsidR="00F51742" w:rsidRDefault="00F51742" w:rsidP="00F51742">
            <w:pPr>
              <w:pStyle w:val="Tablecontent"/>
              <w:ind w:left="113" w:right="113"/>
              <w:jc w:val="center"/>
            </w:pPr>
            <w:r w:rsidRPr="00960DFE">
              <w:t>52,178</w:t>
            </w:r>
          </w:p>
        </w:tc>
      </w:tr>
      <w:tr w:rsidR="00F51742" w14:paraId="1A0C5735" w14:textId="77777777" w:rsidTr="00B97DB0">
        <w:trPr>
          <w:cantSplit/>
          <w:trHeight w:val="1835"/>
        </w:trPr>
        <w:tc>
          <w:tcPr>
            <w:tcW w:w="567" w:type="dxa"/>
            <w:tcBorders>
              <w:right w:val="double" w:sz="4" w:space="0" w:color="auto"/>
            </w:tcBorders>
            <w:textDirection w:val="btLr"/>
            <w:vAlign w:val="center"/>
          </w:tcPr>
          <w:p w14:paraId="4412EB66" w14:textId="59CF8EAD" w:rsidR="00F51742" w:rsidRPr="00B97DB0" w:rsidRDefault="00F51742" w:rsidP="00F51742">
            <w:pPr>
              <w:pStyle w:val="Tablecontent"/>
              <w:ind w:left="113" w:right="41"/>
            </w:pPr>
            <w:r w:rsidRPr="00B97DB0">
              <w:t>Genome size (bp)</w:t>
            </w:r>
          </w:p>
        </w:tc>
        <w:tc>
          <w:tcPr>
            <w:tcW w:w="567" w:type="dxa"/>
            <w:tcBorders>
              <w:left w:val="double" w:sz="4" w:space="0" w:color="auto"/>
            </w:tcBorders>
            <w:textDirection w:val="btLr"/>
          </w:tcPr>
          <w:p w14:paraId="12A92C40" w14:textId="365EC23F" w:rsidR="00F51742" w:rsidRDefault="00F51742" w:rsidP="00F51742">
            <w:pPr>
              <w:pStyle w:val="Tablecontent"/>
              <w:ind w:left="113" w:right="113"/>
              <w:jc w:val="center"/>
            </w:pPr>
            <w:r w:rsidRPr="00960DFE">
              <w:t>1,035,876,403</w:t>
            </w:r>
          </w:p>
        </w:tc>
        <w:tc>
          <w:tcPr>
            <w:tcW w:w="567" w:type="dxa"/>
            <w:textDirection w:val="btLr"/>
          </w:tcPr>
          <w:p w14:paraId="729C7E2E" w14:textId="6C4EC9E5" w:rsidR="00F51742" w:rsidRDefault="00F51742" w:rsidP="00F51742">
            <w:pPr>
              <w:pStyle w:val="Tablecontent"/>
              <w:ind w:left="113" w:right="113"/>
              <w:jc w:val="center"/>
            </w:pPr>
            <w:r w:rsidRPr="00960DFE">
              <w:t>2,156,436,551</w:t>
            </w:r>
          </w:p>
        </w:tc>
        <w:tc>
          <w:tcPr>
            <w:tcW w:w="567" w:type="dxa"/>
            <w:textDirection w:val="btLr"/>
          </w:tcPr>
          <w:p w14:paraId="1A040827" w14:textId="25A43C52" w:rsidR="00F51742" w:rsidRDefault="00F51742" w:rsidP="00F51742">
            <w:pPr>
              <w:pStyle w:val="Tablecontent"/>
              <w:ind w:left="113" w:right="113"/>
              <w:jc w:val="center"/>
            </w:pPr>
            <w:r w:rsidRPr="00960DFE">
              <w:t>1,129,535,839</w:t>
            </w:r>
          </w:p>
        </w:tc>
        <w:tc>
          <w:tcPr>
            <w:tcW w:w="567" w:type="dxa"/>
            <w:textDirection w:val="btLr"/>
          </w:tcPr>
          <w:p w14:paraId="2EDD82EC" w14:textId="28AADF72" w:rsidR="00F51742" w:rsidRDefault="00F51742" w:rsidP="00F51742">
            <w:pPr>
              <w:pStyle w:val="Tablecontent"/>
              <w:ind w:left="113" w:right="113"/>
              <w:jc w:val="center"/>
            </w:pPr>
            <w:r w:rsidRPr="00960DFE">
              <w:t>1,175,404,042</w:t>
            </w:r>
          </w:p>
        </w:tc>
        <w:tc>
          <w:tcPr>
            <w:tcW w:w="567" w:type="dxa"/>
            <w:textDirection w:val="btLr"/>
          </w:tcPr>
          <w:p w14:paraId="64E081C3" w14:textId="3E4AE118" w:rsidR="00F51742" w:rsidRDefault="00F51742" w:rsidP="00F51742">
            <w:pPr>
              <w:pStyle w:val="Tablecontent"/>
              <w:ind w:left="113" w:right="113"/>
              <w:jc w:val="center"/>
            </w:pPr>
            <w:r w:rsidRPr="00960DFE">
              <w:t>1,105,052,351</w:t>
            </w:r>
          </w:p>
        </w:tc>
        <w:tc>
          <w:tcPr>
            <w:tcW w:w="567" w:type="dxa"/>
            <w:textDirection w:val="btLr"/>
          </w:tcPr>
          <w:p w14:paraId="679E1508" w14:textId="59AA36E6" w:rsidR="00F51742" w:rsidRDefault="00F51742" w:rsidP="00F51742">
            <w:pPr>
              <w:pStyle w:val="Tablecontent"/>
              <w:ind w:left="113" w:right="113"/>
              <w:jc w:val="center"/>
            </w:pPr>
            <w:r w:rsidRPr="00960DFE">
              <w:t>1,799,143,587</w:t>
            </w:r>
          </w:p>
        </w:tc>
        <w:tc>
          <w:tcPr>
            <w:tcW w:w="567" w:type="dxa"/>
            <w:textDirection w:val="btLr"/>
          </w:tcPr>
          <w:p w14:paraId="6EAE8667" w14:textId="720905F2" w:rsidR="00F51742" w:rsidRDefault="00F51742" w:rsidP="00F51742">
            <w:pPr>
              <w:pStyle w:val="Tablecontent"/>
              <w:ind w:left="113" w:right="113"/>
              <w:jc w:val="center"/>
            </w:pPr>
            <w:r w:rsidRPr="00960DFE">
              <w:t>1,119,151,626</w:t>
            </w:r>
          </w:p>
        </w:tc>
        <w:tc>
          <w:tcPr>
            <w:tcW w:w="567" w:type="dxa"/>
            <w:textDirection w:val="btLr"/>
          </w:tcPr>
          <w:p w14:paraId="3442AB3A" w14:textId="5F36006F" w:rsidR="00F51742" w:rsidRDefault="00F51742" w:rsidP="00F51742">
            <w:pPr>
              <w:pStyle w:val="Tablecontent"/>
              <w:ind w:left="113" w:right="113"/>
              <w:jc w:val="center"/>
            </w:pPr>
            <w:r w:rsidRPr="00960DFE">
              <w:t>1,119,683,066</w:t>
            </w:r>
          </w:p>
        </w:tc>
        <w:tc>
          <w:tcPr>
            <w:tcW w:w="567" w:type="dxa"/>
            <w:textDirection w:val="btLr"/>
          </w:tcPr>
          <w:p w14:paraId="425E2FF6" w14:textId="35BB9557" w:rsidR="00F51742" w:rsidRDefault="00F51742" w:rsidP="00F51742">
            <w:pPr>
              <w:pStyle w:val="Tablecontent"/>
              <w:ind w:left="113" w:right="113"/>
              <w:jc w:val="center"/>
            </w:pPr>
            <w:r w:rsidRPr="00960DFE">
              <w:t>1,070,836,417</w:t>
            </w:r>
          </w:p>
        </w:tc>
        <w:tc>
          <w:tcPr>
            <w:tcW w:w="567" w:type="dxa"/>
            <w:textDirection w:val="btLr"/>
          </w:tcPr>
          <w:p w14:paraId="182B54A5" w14:textId="785CFD79" w:rsidR="00F51742" w:rsidRDefault="00F51742" w:rsidP="00F51742">
            <w:pPr>
              <w:pStyle w:val="Tablecontent"/>
              <w:ind w:left="113" w:right="113"/>
              <w:jc w:val="center"/>
            </w:pPr>
            <w:r w:rsidRPr="00960DFE">
              <w:t>1,254,347,440</w:t>
            </w:r>
          </w:p>
        </w:tc>
        <w:tc>
          <w:tcPr>
            <w:tcW w:w="567" w:type="dxa"/>
            <w:textDirection w:val="btLr"/>
          </w:tcPr>
          <w:p w14:paraId="103CA0A6" w14:textId="2275071E" w:rsidR="00F51742" w:rsidRDefault="00F51742" w:rsidP="00F51742">
            <w:pPr>
              <w:pStyle w:val="Tablecontent"/>
              <w:ind w:left="113" w:right="113"/>
              <w:jc w:val="center"/>
            </w:pPr>
            <w:r w:rsidRPr="00960DFE">
              <w:t>1,523,972,539</w:t>
            </w:r>
          </w:p>
        </w:tc>
        <w:tc>
          <w:tcPr>
            <w:tcW w:w="567" w:type="dxa"/>
            <w:textDirection w:val="btLr"/>
          </w:tcPr>
          <w:p w14:paraId="515D03C4" w14:textId="7E9EBC9F" w:rsidR="00F51742" w:rsidRDefault="00F51742" w:rsidP="00F51742">
            <w:pPr>
              <w:pStyle w:val="Tablecontent"/>
              <w:ind w:left="113" w:right="113"/>
              <w:jc w:val="center"/>
            </w:pPr>
            <w:r w:rsidRPr="00960DFE">
              <w:t>1,192,743,076</w:t>
            </w:r>
          </w:p>
        </w:tc>
        <w:tc>
          <w:tcPr>
            <w:tcW w:w="567" w:type="dxa"/>
            <w:textDirection w:val="btLr"/>
          </w:tcPr>
          <w:p w14:paraId="6C4FD876" w14:textId="2AB71ED7" w:rsidR="00F51742" w:rsidRDefault="00F51742" w:rsidP="00F51742">
            <w:pPr>
              <w:pStyle w:val="Tablecontent"/>
              <w:ind w:left="113" w:right="113"/>
              <w:jc w:val="center"/>
            </w:pPr>
            <w:r w:rsidRPr="00960DFE">
              <w:t>1,204,700,227</w:t>
            </w:r>
          </w:p>
        </w:tc>
        <w:tc>
          <w:tcPr>
            <w:tcW w:w="567" w:type="dxa"/>
            <w:textDirection w:val="btLr"/>
          </w:tcPr>
          <w:p w14:paraId="24DD7C0D" w14:textId="4E26FA57" w:rsidR="00F51742" w:rsidRDefault="00F51742" w:rsidP="00F51742">
            <w:pPr>
              <w:pStyle w:val="Tablecontent"/>
              <w:ind w:left="113" w:right="113"/>
              <w:jc w:val="center"/>
            </w:pPr>
            <w:r w:rsidRPr="00960DFE">
              <w:t>1,127,622,302</w:t>
            </w:r>
          </w:p>
        </w:tc>
      </w:tr>
      <w:tr w:rsidR="00F51742" w14:paraId="36A53B90" w14:textId="77777777" w:rsidTr="00B97DB0">
        <w:trPr>
          <w:cantSplit/>
          <w:trHeight w:val="2117"/>
        </w:trPr>
        <w:tc>
          <w:tcPr>
            <w:tcW w:w="567" w:type="dxa"/>
            <w:tcBorders>
              <w:right w:val="double" w:sz="4" w:space="0" w:color="auto"/>
            </w:tcBorders>
            <w:textDirection w:val="btLr"/>
            <w:vAlign w:val="center"/>
          </w:tcPr>
          <w:p w14:paraId="667A3D41" w14:textId="1273378B" w:rsidR="00F51742" w:rsidRPr="00B97DB0" w:rsidRDefault="00F51742" w:rsidP="00F51742">
            <w:pPr>
              <w:pStyle w:val="Tablecontent"/>
              <w:ind w:left="113" w:right="41"/>
            </w:pPr>
            <w:r w:rsidRPr="00B97DB0">
              <w:t>GenBank accession</w:t>
            </w:r>
          </w:p>
        </w:tc>
        <w:tc>
          <w:tcPr>
            <w:tcW w:w="567" w:type="dxa"/>
            <w:tcBorders>
              <w:left w:val="double" w:sz="4" w:space="0" w:color="auto"/>
            </w:tcBorders>
            <w:textDirection w:val="btLr"/>
          </w:tcPr>
          <w:p w14:paraId="22FD0EB1" w14:textId="485ECC73" w:rsidR="00F51742" w:rsidRDefault="00F51742" w:rsidP="00F51742">
            <w:pPr>
              <w:pStyle w:val="Tablecontent"/>
              <w:ind w:left="113" w:right="113"/>
              <w:jc w:val="center"/>
            </w:pPr>
            <w:r w:rsidRPr="00960DFE">
              <w:t>GCF_000695815.1</w:t>
            </w:r>
          </w:p>
        </w:tc>
        <w:tc>
          <w:tcPr>
            <w:tcW w:w="567" w:type="dxa"/>
            <w:textDirection w:val="btLr"/>
          </w:tcPr>
          <w:p w14:paraId="69D3CB08" w14:textId="77D62061" w:rsidR="00F51742" w:rsidRDefault="00F51742" w:rsidP="00F51742">
            <w:pPr>
              <w:pStyle w:val="Tablecontent"/>
              <w:ind w:left="113" w:right="113"/>
              <w:jc w:val="center"/>
            </w:pPr>
            <w:r w:rsidRPr="00960DFE">
              <w:t>GCF_000281125.2</w:t>
            </w:r>
          </w:p>
        </w:tc>
        <w:tc>
          <w:tcPr>
            <w:tcW w:w="567" w:type="dxa"/>
            <w:textDirection w:val="btLr"/>
          </w:tcPr>
          <w:p w14:paraId="13BB2E68" w14:textId="6CA529D0" w:rsidR="00F51742" w:rsidRDefault="00F51742" w:rsidP="00F51742">
            <w:pPr>
              <w:pStyle w:val="Tablecontent"/>
              <w:ind w:left="113" w:right="113"/>
              <w:jc w:val="center"/>
            </w:pPr>
            <w:r w:rsidRPr="00960DFE">
              <w:t>GCA_001420675.1</w:t>
            </w:r>
          </w:p>
        </w:tc>
        <w:tc>
          <w:tcPr>
            <w:tcW w:w="567" w:type="dxa"/>
            <w:textDirection w:val="btLr"/>
          </w:tcPr>
          <w:p w14:paraId="7714C1CE" w14:textId="17420514" w:rsidR="00F51742" w:rsidRDefault="00F51742" w:rsidP="00F51742">
            <w:pPr>
              <w:pStyle w:val="Tablecontent"/>
              <w:ind w:left="113" w:right="113"/>
              <w:jc w:val="center"/>
            </w:pPr>
            <w:r w:rsidRPr="00960DFE">
              <w:t>GCA_000332375.1</w:t>
            </w:r>
          </w:p>
        </w:tc>
        <w:tc>
          <w:tcPr>
            <w:tcW w:w="567" w:type="dxa"/>
            <w:textDirection w:val="btLr"/>
          </w:tcPr>
          <w:p w14:paraId="6BD9E9A8" w14:textId="5AC99520" w:rsidR="00F51742" w:rsidRDefault="00F51742" w:rsidP="00F51742">
            <w:pPr>
              <w:pStyle w:val="Tablecontent"/>
              <w:ind w:left="113" w:right="113"/>
              <w:jc w:val="center"/>
            </w:pPr>
            <w:r w:rsidRPr="00960DFE">
              <w:t>GCF_000355885.1</w:t>
            </w:r>
          </w:p>
        </w:tc>
        <w:tc>
          <w:tcPr>
            <w:tcW w:w="567" w:type="dxa"/>
            <w:textDirection w:val="btLr"/>
          </w:tcPr>
          <w:p w14:paraId="426E95C1" w14:textId="026AC3B2" w:rsidR="00F51742" w:rsidRDefault="00F51742" w:rsidP="00F51742">
            <w:pPr>
              <w:pStyle w:val="Tablecontent"/>
              <w:ind w:left="113" w:right="113"/>
              <w:jc w:val="center"/>
            </w:pPr>
            <w:r w:rsidRPr="00960DFE">
              <w:t>GCF_000090745.1</w:t>
            </w:r>
          </w:p>
        </w:tc>
        <w:tc>
          <w:tcPr>
            <w:tcW w:w="567" w:type="dxa"/>
            <w:textDirection w:val="btLr"/>
          </w:tcPr>
          <w:p w14:paraId="62D1DD95" w14:textId="54E239B0" w:rsidR="00F51742" w:rsidRDefault="00F51742" w:rsidP="00F51742">
            <w:pPr>
              <w:pStyle w:val="Tablecontent"/>
              <w:ind w:left="113" w:right="113"/>
              <w:jc w:val="center"/>
            </w:pPr>
            <w:r w:rsidRPr="00960DFE">
              <w:t>GCF_000971095.1</w:t>
            </w:r>
          </w:p>
        </w:tc>
        <w:tc>
          <w:tcPr>
            <w:tcW w:w="567" w:type="dxa"/>
            <w:textDirection w:val="btLr"/>
          </w:tcPr>
          <w:p w14:paraId="75B7F39F" w14:textId="05CBED5C" w:rsidR="00F51742" w:rsidRDefault="00F51742" w:rsidP="00F51742">
            <w:pPr>
              <w:pStyle w:val="Tablecontent"/>
              <w:ind w:left="113" w:right="113"/>
              <w:jc w:val="center"/>
            </w:pPr>
            <w:r w:rsidRPr="00960DFE">
              <w:t>GCF_000700745.1</w:t>
            </w:r>
          </w:p>
        </w:tc>
        <w:tc>
          <w:tcPr>
            <w:tcW w:w="567" w:type="dxa"/>
            <w:textDirection w:val="btLr"/>
          </w:tcPr>
          <w:p w14:paraId="1316A360" w14:textId="7B5D936C" w:rsidR="00F51742" w:rsidRDefault="00F51742" w:rsidP="00F51742">
            <w:pPr>
              <w:pStyle w:val="Tablecontent"/>
              <w:ind w:left="113" w:right="113"/>
              <w:jc w:val="center"/>
            </w:pPr>
            <w:r w:rsidRPr="00960DFE">
              <w:t>GCF_000703405.1</w:t>
            </w:r>
          </w:p>
        </w:tc>
        <w:tc>
          <w:tcPr>
            <w:tcW w:w="567" w:type="dxa"/>
            <w:textDirection w:val="btLr"/>
          </w:tcPr>
          <w:p w14:paraId="291A657A" w14:textId="4FED8E7E" w:rsidR="00F51742" w:rsidRDefault="00F51742" w:rsidP="00F51742">
            <w:pPr>
              <w:pStyle w:val="Tablecontent"/>
              <w:ind w:left="113" w:right="113"/>
              <w:jc w:val="center"/>
            </w:pPr>
            <w:r w:rsidRPr="00960DFE">
              <w:t>GCF_000699145.1</w:t>
            </w:r>
          </w:p>
        </w:tc>
        <w:tc>
          <w:tcPr>
            <w:tcW w:w="567" w:type="dxa"/>
            <w:textDirection w:val="btLr"/>
          </w:tcPr>
          <w:p w14:paraId="6C711BEE" w14:textId="67806624" w:rsidR="00F51742" w:rsidRDefault="00F51742" w:rsidP="00F51742">
            <w:pPr>
              <w:pStyle w:val="Tablecontent"/>
              <w:ind w:left="113" w:right="113"/>
              <w:jc w:val="center"/>
            </w:pPr>
            <w:r w:rsidRPr="00960DFE">
              <w:t>GCF_001039765.1</w:t>
            </w:r>
          </w:p>
        </w:tc>
        <w:tc>
          <w:tcPr>
            <w:tcW w:w="567" w:type="dxa"/>
            <w:textDirection w:val="btLr"/>
          </w:tcPr>
          <w:p w14:paraId="07F70939" w14:textId="43DB6246" w:rsidR="00F51742" w:rsidRDefault="00F51742" w:rsidP="00F51742">
            <w:pPr>
              <w:pStyle w:val="Tablecontent"/>
              <w:ind w:left="113" w:right="113"/>
              <w:jc w:val="center"/>
            </w:pPr>
            <w:r w:rsidRPr="00960DFE">
              <w:t>GCF_000766835.1</w:t>
            </w:r>
          </w:p>
        </w:tc>
        <w:tc>
          <w:tcPr>
            <w:tcW w:w="567" w:type="dxa"/>
            <w:textDirection w:val="btLr"/>
          </w:tcPr>
          <w:p w14:paraId="2688E42F" w14:textId="5255E02F" w:rsidR="00F51742" w:rsidRDefault="00F51742" w:rsidP="00F51742">
            <w:pPr>
              <w:pStyle w:val="Tablecontent"/>
              <w:ind w:left="113" w:right="113"/>
              <w:jc w:val="center"/>
            </w:pPr>
            <w:r w:rsidRPr="00960DFE">
              <w:t>GCA_000400695.1</w:t>
            </w:r>
          </w:p>
        </w:tc>
        <w:tc>
          <w:tcPr>
            <w:tcW w:w="567" w:type="dxa"/>
            <w:textDirection w:val="btLr"/>
          </w:tcPr>
          <w:p w14:paraId="7A8CDEDF" w14:textId="4386533A" w:rsidR="00F51742" w:rsidRPr="005A55BD" w:rsidRDefault="00F51742" w:rsidP="00F51742">
            <w:pPr>
              <w:pStyle w:val="Tablecontent"/>
              <w:ind w:left="113" w:right="113"/>
              <w:jc w:val="center"/>
            </w:pPr>
            <w:r w:rsidRPr="00960DFE">
              <w:t>GCF_000709895.1 </w:t>
            </w:r>
          </w:p>
        </w:tc>
      </w:tr>
      <w:tr w:rsidR="00F51742" w14:paraId="1F1FB23B" w14:textId="77777777" w:rsidTr="00B97DB0">
        <w:trPr>
          <w:cantSplit/>
          <w:trHeight w:val="2843"/>
        </w:trPr>
        <w:tc>
          <w:tcPr>
            <w:tcW w:w="567" w:type="dxa"/>
            <w:tcBorders>
              <w:right w:val="double" w:sz="4" w:space="0" w:color="auto"/>
            </w:tcBorders>
            <w:textDirection w:val="btLr"/>
            <w:vAlign w:val="center"/>
          </w:tcPr>
          <w:p w14:paraId="7BEAD030" w14:textId="1F97700D" w:rsidR="00F51742" w:rsidRPr="00B97DB0" w:rsidRDefault="00F51742" w:rsidP="00F51742">
            <w:pPr>
              <w:pStyle w:val="Tablecontent"/>
              <w:ind w:left="113" w:right="41"/>
            </w:pPr>
            <w:r w:rsidRPr="00B97DB0">
              <w:t>Common name</w:t>
            </w:r>
          </w:p>
        </w:tc>
        <w:tc>
          <w:tcPr>
            <w:tcW w:w="567" w:type="dxa"/>
            <w:tcBorders>
              <w:left w:val="double" w:sz="4" w:space="0" w:color="auto"/>
            </w:tcBorders>
            <w:textDirection w:val="btLr"/>
          </w:tcPr>
          <w:p w14:paraId="0A4AC6EF" w14:textId="13339DFB" w:rsidR="00F51742" w:rsidRDefault="00F51742" w:rsidP="00F51742">
            <w:pPr>
              <w:pStyle w:val="Tablecontent"/>
              <w:ind w:left="113" w:right="113"/>
            </w:pPr>
            <w:r w:rsidRPr="00960DFE">
              <w:t>Rifleman</w:t>
            </w:r>
          </w:p>
        </w:tc>
        <w:tc>
          <w:tcPr>
            <w:tcW w:w="567" w:type="dxa"/>
            <w:textDirection w:val="btLr"/>
          </w:tcPr>
          <w:p w14:paraId="73C6EFE9" w14:textId="3E406BB8" w:rsidR="00F51742" w:rsidRDefault="00F51742" w:rsidP="00F51742">
            <w:pPr>
              <w:pStyle w:val="Tablecontent"/>
              <w:ind w:left="113" w:right="113"/>
            </w:pPr>
            <w:r w:rsidRPr="00960DFE">
              <w:t>American alligator</w:t>
            </w:r>
          </w:p>
        </w:tc>
        <w:tc>
          <w:tcPr>
            <w:tcW w:w="567" w:type="dxa"/>
            <w:textDirection w:val="btLr"/>
          </w:tcPr>
          <w:p w14:paraId="279C1E99" w14:textId="42755B18" w:rsidR="00F51742" w:rsidRDefault="00F51742" w:rsidP="00F51742">
            <w:pPr>
              <w:pStyle w:val="Tablecontent"/>
              <w:ind w:left="113" w:right="113"/>
            </w:pPr>
            <w:r w:rsidRPr="00960DFE">
              <w:t>Blue-fronted amazon</w:t>
            </w:r>
            <w:r w:rsidR="00FF1160">
              <w:t xml:space="preserve"> parrot</w:t>
            </w:r>
          </w:p>
        </w:tc>
        <w:tc>
          <w:tcPr>
            <w:tcW w:w="567" w:type="dxa"/>
            <w:textDirection w:val="btLr"/>
          </w:tcPr>
          <w:p w14:paraId="4AADB93D" w14:textId="3AED6737" w:rsidR="00F51742" w:rsidRDefault="00F51742" w:rsidP="00F51742">
            <w:pPr>
              <w:pStyle w:val="Tablecontent"/>
              <w:ind w:left="113" w:right="113"/>
            </w:pPr>
            <w:r w:rsidRPr="00960DFE">
              <w:t>Puerto Rican parrot</w:t>
            </w:r>
          </w:p>
        </w:tc>
        <w:tc>
          <w:tcPr>
            <w:tcW w:w="567" w:type="dxa"/>
            <w:textDirection w:val="btLr"/>
          </w:tcPr>
          <w:p w14:paraId="03FC5062" w14:textId="409D84C5" w:rsidR="00F51742" w:rsidRDefault="00F51742" w:rsidP="00F51742">
            <w:pPr>
              <w:pStyle w:val="Tablecontent"/>
              <w:ind w:left="113" w:right="113"/>
            </w:pPr>
            <w:r w:rsidRPr="00960DFE">
              <w:t>Mallard</w:t>
            </w:r>
          </w:p>
        </w:tc>
        <w:tc>
          <w:tcPr>
            <w:tcW w:w="567" w:type="dxa"/>
            <w:textDirection w:val="btLr"/>
          </w:tcPr>
          <w:p w14:paraId="2525082B" w14:textId="75FB4098" w:rsidR="00F51742" w:rsidRDefault="00F51742" w:rsidP="00F51742">
            <w:pPr>
              <w:pStyle w:val="Tablecontent"/>
              <w:ind w:left="113" w:right="113"/>
            </w:pPr>
            <w:r w:rsidRPr="00960DFE">
              <w:t>Green anole</w:t>
            </w:r>
          </w:p>
        </w:tc>
        <w:tc>
          <w:tcPr>
            <w:tcW w:w="567" w:type="dxa"/>
            <w:textDirection w:val="btLr"/>
          </w:tcPr>
          <w:p w14:paraId="1B2667CB" w14:textId="42EA0EEA" w:rsidR="00F51742" w:rsidRDefault="00F51742" w:rsidP="00F51742">
            <w:pPr>
              <w:pStyle w:val="Tablecontent"/>
              <w:ind w:left="113" w:right="113"/>
            </w:pPr>
            <w:r w:rsidRPr="00960DFE">
              <w:t>Swan goose</w:t>
            </w:r>
          </w:p>
        </w:tc>
        <w:tc>
          <w:tcPr>
            <w:tcW w:w="567" w:type="dxa"/>
            <w:textDirection w:val="btLr"/>
          </w:tcPr>
          <w:p w14:paraId="76719638" w14:textId="284AFF0D" w:rsidR="00F51742" w:rsidRDefault="00F51742" w:rsidP="00F51742">
            <w:pPr>
              <w:pStyle w:val="Tablecontent"/>
              <w:ind w:left="113" w:right="113"/>
            </w:pPr>
            <w:r w:rsidRPr="00960DFE">
              <w:t>Chuck Will's Widow</w:t>
            </w:r>
          </w:p>
        </w:tc>
        <w:tc>
          <w:tcPr>
            <w:tcW w:w="567" w:type="dxa"/>
            <w:textDirection w:val="btLr"/>
          </w:tcPr>
          <w:p w14:paraId="4D575911" w14:textId="6027599B" w:rsidR="00F51742" w:rsidRDefault="00F51742" w:rsidP="00F51742">
            <w:pPr>
              <w:pStyle w:val="Tablecontent"/>
              <w:ind w:left="113" w:right="113"/>
            </w:pPr>
            <w:r w:rsidRPr="00960DFE">
              <w:t>Bar-tailed trogon</w:t>
            </w:r>
          </w:p>
        </w:tc>
        <w:tc>
          <w:tcPr>
            <w:tcW w:w="567" w:type="dxa"/>
            <w:textDirection w:val="btLr"/>
          </w:tcPr>
          <w:p w14:paraId="2D858DF0" w14:textId="60A57EE0" w:rsidR="00F51742" w:rsidRDefault="00F51742" w:rsidP="00F51742">
            <w:pPr>
              <w:pStyle w:val="Tablecontent"/>
              <w:ind w:left="113" w:right="113"/>
            </w:pPr>
            <w:r w:rsidRPr="00960DFE">
              <w:t>Emperor penguin</w:t>
            </w:r>
          </w:p>
        </w:tc>
        <w:tc>
          <w:tcPr>
            <w:tcW w:w="567" w:type="dxa"/>
            <w:textDirection w:val="btLr"/>
          </w:tcPr>
          <w:p w14:paraId="7EA2597D" w14:textId="480142F9" w:rsidR="00F51742" w:rsidRDefault="00F51742" w:rsidP="00F51742">
            <w:pPr>
              <w:pStyle w:val="Tablecontent"/>
              <w:ind w:left="113" w:right="113"/>
            </w:pPr>
            <w:r w:rsidRPr="00960DFE">
              <w:t>Brown kiwi</w:t>
            </w:r>
          </w:p>
        </w:tc>
        <w:tc>
          <w:tcPr>
            <w:tcW w:w="567" w:type="dxa"/>
            <w:textDirection w:val="btLr"/>
          </w:tcPr>
          <w:p w14:paraId="7438611F" w14:textId="73731E00" w:rsidR="00F51742" w:rsidRDefault="00F51742" w:rsidP="00F51742">
            <w:pPr>
              <w:pStyle w:val="Tablecontent"/>
              <w:ind w:left="113" w:right="113"/>
            </w:pPr>
            <w:r w:rsidRPr="00960DFE">
              <w:t>Golden eagle</w:t>
            </w:r>
          </w:p>
        </w:tc>
        <w:tc>
          <w:tcPr>
            <w:tcW w:w="567" w:type="dxa"/>
            <w:textDirection w:val="btLr"/>
          </w:tcPr>
          <w:p w14:paraId="51087216" w14:textId="2252D426" w:rsidR="00F51742" w:rsidRDefault="00F51742" w:rsidP="00F51742">
            <w:pPr>
              <w:pStyle w:val="Tablecontent"/>
              <w:ind w:left="113" w:right="113"/>
            </w:pPr>
            <w:r w:rsidRPr="00960DFE">
              <w:t>Scarlet macaw</w:t>
            </w:r>
          </w:p>
        </w:tc>
        <w:tc>
          <w:tcPr>
            <w:tcW w:w="567" w:type="dxa"/>
            <w:textDirection w:val="btLr"/>
          </w:tcPr>
          <w:p w14:paraId="7A41A936" w14:textId="5EA169E1" w:rsidR="00F51742" w:rsidRPr="005A55BD" w:rsidRDefault="00F51742" w:rsidP="00F51742">
            <w:pPr>
              <w:pStyle w:val="Tablecontent"/>
              <w:ind w:left="113" w:right="113"/>
            </w:pPr>
            <w:r w:rsidRPr="00960DFE">
              <w:t>East African crowned crane</w:t>
            </w:r>
          </w:p>
        </w:tc>
      </w:tr>
      <w:tr w:rsidR="00F51742" w14:paraId="6662992E" w14:textId="77777777" w:rsidTr="00B97DB0">
        <w:trPr>
          <w:cantSplit/>
          <w:trHeight w:val="3236"/>
        </w:trPr>
        <w:tc>
          <w:tcPr>
            <w:tcW w:w="567" w:type="dxa"/>
            <w:tcBorders>
              <w:right w:val="double" w:sz="4" w:space="0" w:color="auto"/>
            </w:tcBorders>
            <w:textDirection w:val="btLr"/>
            <w:vAlign w:val="center"/>
          </w:tcPr>
          <w:p w14:paraId="1E054B77" w14:textId="593BB53B" w:rsidR="00F51742" w:rsidRPr="00B97DB0" w:rsidRDefault="00F51742" w:rsidP="00F51742">
            <w:pPr>
              <w:pStyle w:val="Tablecontent"/>
              <w:ind w:left="113" w:right="41"/>
            </w:pPr>
            <w:r w:rsidRPr="00B97DB0">
              <w:t>Species name</w:t>
            </w:r>
          </w:p>
        </w:tc>
        <w:tc>
          <w:tcPr>
            <w:tcW w:w="567" w:type="dxa"/>
            <w:tcBorders>
              <w:left w:val="double" w:sz="4" w:space="0" w:color="auto"/>
            </w:tcBorders>
            <w:textDirection w:val="btLr"/>
          </w:tcPr>
          <w:p w14:paraId="304B1BA2" w14:textId="7167BFCA" w:rsidR="00F51742" w:rsidRPr="007F3617" w:rsidRDefault="00F51742" w:rsidP="00F51742">
            <w:pPr>
              <w:pStyle w:val="Tablecontent"/>
              <w:ind w:left="113" w:right="113"/>
              <w:rPr>
                <w:i/>
              </w:rPr>
            </w:pPr>
            <w:r w:rsidRPr="007F3617">
              <w:rPr>
                <w:i/>
              </w:rPr>
              <w:t>Acanthisitta chloris</w:t>
            </w:r>
          </w:p>
        </w:tc>
        <w:tc>
          <w:tcPr>
            <w:tcW w:w="567" w:type="dxa"/>
            <w:textDirection w:val="btLr"/>
          </w:tcPr>
          <w:p w14:paraId="2D4C92B8" w14:textId="3435AD88" w:rsidR="00F51742" w:rsidRPr="007F3617" w:rsidRDefault="00F51742" w:rsidP="00F51742">
            <w:pPr>
              <w:pStyle w:val="Tablecontent"/>
              <w:ind w:left="113" w:right="113"/>
              <w:rPr>
                <w:i/>
              </w:rPr>
            </w:pPr>
            <w:r w:rsidRPr="007F3617">
              <w:rPr>
                <w:i/>
              </w:rPr>
              <w:t>Alligator mississippiensis</w:t>
            </w:r>
          </w:p>
        </w:tc>
        <w:tc>
          <w:tcPr>
            <w:tcW w:w="567" w:type="dxa"/>
            <w:textDirection w:val="btLr"/>
          </w:tcPr>
          <w:p w14:paraId="03F85E91" w14:textId="0A4F0BB5" w:rsidR="00F51742" w:rsidRPr="007F3617" w:rsidRDefault="00F51742" w:rsidP="00F51742">
            <w:pPr>
              <w:pStyle w:val="Tablecontent"/>
              <w:ind w:left="113" w:right="113"/>
              <w:rPr>
                <w:i/>
              </w:rPr>
            </w:pPr>
            <w:r w:rsidRPr="007F3617">
              <w:rPr>
                <w:i/>
              </w:rPr>
              <w:t>Amazona aestiva</w:t>
            </w:r>
          </w:p>
        </w:tc>
        <w:tc>
          <w:tcPr>
            <w:tcW w:w="567" w:type="dxa"/>
            <w:textDirection w:val="btLr"/>
          </w:tcPr>
          <w:p w14:paraId="23E3F434" w14:textId="1580D54E" w:rsidR="00F51742" w:rsidRPr="007F3617" w:rsidRDefault="00F51742" w:rsidP="00F51742">
            <w:pPr>
              <w:pStyle w:val="Tablecontent"/>
              <w:ind w:left="113" w:right="113"/>
              <w:rPr>
                <w:i/>
              </w:rPr>
            </w:pPr>
            <w:r w:rsidRPr="007F3617">
              <w:rPr>
                <w:i/>
              </w:rPr>
              <w:t>Amazona vittata</w:t>
            </w:r>
          </w:p>
        </w:tc>
        <w:tc>
          <w:tcPr>
            <w:tcW w:w="567" w:type="dxa"/>
            <w:textDirection w:val="btLr"/>
          </w:tcPr>
          <w:p w14:paraId="1B3ECAB1" w14:textId="02531F41" w:rsidR="00F51742" w:rsidRPr="00BC30B0" w:rsidRDefault="00F51742" w:rsidP="00F51742">
            <w:pPr>
              <w:pStyle w:val="Tablecontent"/>
              <w:ind w:left="113" w:right="113"/>
            </w:pPr>
            <w:r w:rsidRPr="007F3617">
              <w:rPr>
                <w:i/>
              </w:rPr>
              <w:t>Anas platyrhynchos</w:t>
            </w:r>
            <w:r w:rsidR="00BC30B0">
              <w:t xml:space="preserve"> *</w:t>
            </w:r>
          </w:p>
        </w:tc>
        <w:tc>
          <w:tcPr>
            <w:tcW w:w="567" w:type="dxa"/>
            <w:textDirection w:val="btLr"/>
          </w:tcPr>
          <w:p w14:paraId="42C31B24" w14:textId="59D748C8" w:rsidR="00F51742" w:rsidRPr="00BC30B0" w:rsidRDefault="00F51742" w:rsidP="00F51742">
            <w:pPr>
              <w:pStyle w:val="Tablecontent"/>
              <w:ind w:left="113" w:right="113"/>
            </w:pPr>
            <w:r w:rsidRPr="007F3617">
              <w:rPr>
                <w:i/>
              </w:rPr>
              <w:t>Anolis carolinensis</w:t>
            </w:r>
            <w:r w:rsidR="000235AD">
              <w:rPr>
                <w:i/>
              </w:rPr>
              <w:t xml:space="preserve"> </w:t>
            </w:r>
            <w:r w:rsidR="00BC30B0">
              <w:t>*</w:t>
            </w:r>
          </w:p>
        </w:tc>
        <w:tc>
          <w:tcPr>
            <w:tcW w:w="567" w:type="dxa"/>
            <w:textDirection w:val="btLr"/>
          </w:tcPr>
          <w:p w14:paraId="64DEDAA0" w14:textId="77C94710" w:rsidR="00F51742" w:rsidRPr="007F3617" w:rsidRDefault="00F51742" w:rsidP="00F51742">
            <w:pPr>
              <w:pStyle w:val="Tablecontent"/>
              <w:ind w:left="113" w:right="113"/>
              <w:rPr>
                <w:i/>
              </w:rPr>
            </w:pPr>
            <w:r w:rsidRPr="007F3617">
              <w:rPr>
                <w:i/>
              </w:rPr>
              <w:t>Anser cygnoides domesticus</w:t>
            </w:r>
          </w:p>
        </w:tc>
        <w:tc>
          <w:tcPr>
            <w:tcW w:w="567" w:type="dxa"/>
            <w:textDirection w:val="btLr"/>
          </w:tcPr>
          <w:p w14:paraId="60506D33" w14:textId="7FB82C11" w:rsidR="00F51742" w:rsidRPr="007F3617" w:rsidRDefault="00F51742" w:rsidP="00F51742">
            <w:pPr>
              <w:pStyle w:val="Tablecontent"/>
              <w:ind w:left="113" w:right="113"/>
              <w:rPr>
                <w:i/>
              </w:rPr>
            </w:pPr>
            <w:r w:rsidRPr="007F3617">
              <w:rPr>
                <w:i/>
              </w:rPr>
              <w:t>Antrostomus carolinensis</w:t>
            </w:r>
          </w:p>
        </w:tc>
        <w:tc>
          <w:tcPr>
            <w:tcW w:w="567" w:type="dxa"/>
            <w:textDirection w:val="btLr"/>
          </w:tcPr>
          <w:p w14:paraId="592136F2" w14:textId="2E775A12" w:rsidR="00F51742" w:rsidRPr="00BC30B0" w:rsidRDefault="00F51742" w:rsidP="00F51742">
            <w:pPr>
              <w:pStyle w:val="Tablecontent"/>
              <w:ind w:left="113" w:right="113"/>
            </w:pPr>
            <w:r w:rsidRPr="007F3617">
              <w:rPr>
                <w:i/>
              </w:rPr>
              <w:t>Apaloderma vittatum</w:t>
            </w:r>
            <w:r w:rsidR="00BC30B0">
              <w:t xml:space="preserve"> *</w:t>
            </w:r>
          </w:p>
        </w:tc>
        <w:tc>
          <w:tcPr>
            <w:tcW w:w="567" w:type="dxa"/>
            <w:textDirection w:val="btLr"/>
          </w:tcPr>
          <w:p w14:paraId="3FF63791" w14:textId="7B0BF24E" w:rsidR="00F51742" w:rsidRPr="00BC30B0" w:rsidRDefault="00F51742" w:rsidP="00F51742">
            <w:pPr>
              <w:pStyle w:val="Tablecontent"/>
              <w:ind w:left="113" w:right="113"/>
            </w:pPr>
            <w:r w:rsidRPr="007F3617">
              <w:rPr>
                <w:i/>
              </w:rPr>
              <w:t>Aptenodytes forsteri</w:t>
            </w:r>
            <w:r w:rsidR="00BC30B0">
              <w:t xml:space="preserve"> *</w:t>
            </w:r>
          </w:p>
        </w:tc>
        <w:tc>
          <w:tcPr>
            <w:tcW w:w="567" w:type="dxa"/>
            <w:textDirection w:val="btLr"/>
          </w:tcPr>
          <w:p w14:paraId="5D68F3E2" w14:textId="65F9ED0E" w:rsidR="00F51742" w:rsidRPr="007F3617" w:rsidRDefault="00F51742" w:rsidP="00F51742">
            <w:pPr>
              <w:pStyle w:val="Tablecontent"/>
              <w:ind w:left="113" w:right="113"/>
              <w:rPr>
                <w:i/>
              </w:rPr>
            </w:pPr>
            <w:r w:rsidRPr="007F3617">
              <w:rPr>
                <w:i/>
              </w:rPr>
              <w:t>Apteryx australis mantelli</w:t>
            </w:r>
          </w:p>
        </w:tc>
        <w:tc>
          <w:tcPr>
            <w:tcW w:w="567" w:type="dxa"/>
            <w:textDirection w:val="btLr"/>
          </w:tcPr>
          <w:p w14:paraId="4B23A0CB" w14:textId="400822B4" w:rsidR="00F51742" w:rsidRPr="007F3617" w:rsidRDefault="00F51742" w:rsidP="00F51742">
            <w:pPr>
              <w:pStyle w:val="Tablecontent"/>
              <w:ind w:left="113" w:right="113"/>
              <w:rPr>
                <w:i/>
              </w:rPr>
            </w:pPr>
            <w:r w:rsidRPr="007F3617">
              <w:rPr>
                <w:i/>
              </w:rPr>
              <w:t>Aquila chrysaetos canadensis</w:t>
            </w:r>
          </w:p>
        </w:tc>
        <w:tc>
          <w:tcPr>
            <w:tcW w:w="567" w:type="dxa"/>
            <w:textDirection w:val="btLr"/>
          </w:tcPr>
          <w:p w14:paraId="41D1D357" w14:textId="13282D75" w:rsidR="00F51742" w:rsidRPr="007F3617" w:rsidRDefault="00F51742" w:rsidP="00F51742">
            <w:pPr>
              <w:pStyle w:val="Tablecontent"/>
              <w:ind w:left="113" w:right="113"/>
              <w:rPr>
                <w:i/>
              </w:rPr>
            </w:pPr>
            <w:r w:rsidRPr="007F3617">
              <w:rPr>
                <w:i/>
              </w:rPr>
              <w:t>Ara macao</w:t>
            </w:r>
          </w:p>
        </w:tc>
        <w:tc>
          <w:tcPr>
            <w:tcW w:w="567" w:type="dxa"/>
            <w:textDirection w:val="btLr"/>
          </w:tcPr>
          <w:p w14:paraId="4C2CD964" w14:textId="779242E5" w:rsidR="00F51742" w:rsidRPr="007F3617" w:rsidRDefault="00F51742" w:rsidP="00F51742">
            <w:pPr>
              <w:pStyle w:val="Tablecontent"/>
              <w:ind w:left="113" w:right="113"/>
              <w:rPr>
                <w:i/>
              </w:rPr>
            </w:pPr>
            <w:r w:rsidRPr="007F3617">
              <w:rPr>
                <w:i/>
              </w:rPr>
              <w:t>Balearica</w:t>
            </w:r>
            <w:r w:rsidRPr="000235AD">
              <w:rPr>
                <w:i/>
                <w:sz w:val="18"/>
              </w:rPr>
              <w:t xml:space="preserve"> </w:t>
            </w:r>
            <w:r w:rsidRPr="007F3617">
              <w:rPr>
                <w:i/>
              </w:rPr>
              <w:t>reguloru</w:t>
            </w:r>
            <w:r w:rsidR="000235AD">
              <w:rPr>
                <w:i/>
              </w:rPr>
              <w:t>m</w:t>
            </w:r>
            <w:r w:rsidRPr="000235AD">
              <w:rPr>
                <w:i/>
                <w:sz w:val="20"/>
              </w:rPr>
              <w:t xml:space="preserve"> </w:t>
            </w:r>
            <w:r w:rsidRPr="007F3617">
              <w:rPr>
                <w:i/>
              </w:rPr>
              <w:t>gibbericeps</w:t>
            </w:r>
          </w:p>
        </w:tc>
      </w:tr>
      <w:tr w:rsidR="00F51742" w14:paraId="3437A07C" w14:textId="77777777" w:rsidTr="00B97DB0">
        <w:trPr>
          <w:cantSplit/>
          <w:trHeight w:val="1408"/>
        </w:trPr>
        <w:tc>
          <w:tcPr>
            <w:tcW w:w="567" w:type="dxa"/>
            <w:textDirection w:val="btLr"/>
          </w:tcPr>
          <w:p w14:paraId="22955EAA" w14:textId="2B13A348" w:rsidR="00F51742" w:rsidRDefault="00F51742" w:rsidP="00F51742">
            <w:pPr>
              <w:pStyle w:val="Tablecontent"/>
              <w:ind w:left="113" w:right="113"/>
              <w:jc w:val="center"/>
            </w:pPr>
            <w:r w:rsidRPr="004E2743">
              <w:lastRenderedPageBreak/>
              <w:t>14,587</w:t>
            </w:r>
          </w:p>
        </w:tc>
        <w:tc>
          <w:tcPr>
            <w:tcW w:w="567" w:type="dxa"/>
            <w:textDirection w:val="btLr"/>
          </w:tcPr>
          <w:p w14:paraId="78FB5CA1" w14:textId="2B6BC412" w:rsidR="00F51742" w:rsidRDefault="00F51742" w:rsidP="00F51742">
            <w:pPr>
              <w:pStyle w:val="Tablecontent"/>
              <w:ind w:left="113" w:right="113"/>
              <w:jc w:val="center"/>
            </w:pPr>
            <w:r w:rsidRPr="004E2743">
              <w:t>109,237</w:t>
            </w:r>
          </w:p>
        </w:tc>
        <w:tc>
          <w:tcPr>
            <w:tcW w:w="567" w:type="dxa"/>
            <w:textDirection w:val="btLr"/>
          </w:tcPr>
          <w:p w14:paraId="002B84B9" w14:textId="604DA1E1" w:rsidR="00F51742" w:rsidRDefault="00F51742" w:rsidP="00F51742">
            <w:pPr>
              <w:pStyle w:val="Tablecontent"/>
              <w:ind w:left="113" w:right="113"/>
              <w:jc w:val="center"/>
            </w:pPr>
            <w:r w:rsidRPr="004E2743">
              <w:t>26,738</w:t>
            </w:r>
          </w:p>
        </w:tc>
        <w:tc>
          <w:tcPr>
            <w:tcW w:w="567" w:type="dxa"/>
            <w:textDirection w:val="btLr"/>
          </w:tcPr>
          <w:p w14:paraId="2F7BB769" w14:textId="1D482F8C" w:rsidR="00F51742" w:rsidRDefault="00F51742" w:rsidP="00F51742">
            <w:pPr>
              <w:pStyle w:val="Tablecontent"/>
              <w:ind w:left="113" w:right="113"/>
              <w:jc w:val="center"/>
            </w:pPr>
            <w:r w:rsidRPr="004E2743">
              <w:t>24,645</w:t>
            </w:r>
          </w:p>
        </w:tc>
        <w:tc>
          <w:tcPr>
            <w:tcW w:w="567" w:type="dxa"/>
            <w:textDirection w:val="btLr"/>
          </w:tcPr>
          <w:p w14:paraId="055E93C9" w14:textId="7554DC88" w:rsidR="00F51742" w:rsidRDefault="00F51742" w:rsidP="00F51742">
            <w:pPr>
              <w:pStyle w:val="Tablecontent"/>
              <w:ind w:left="113" w:right="113"/>
              <w:jc w:val="center"/>
            </w:pPr>
            <w:r w:rsidRPr="004E2743">
              <w:t>15,248</w:t>
            </w:r>
          </w:p>
        </w:tc>
        <w:tc>
          <w:tcPr>
            <w:tcW w:w="567" w:type="dxa"/>
            <w:textDirection w:val="btLr"/>
          </w:tcPr>
          <w:p w14:paraId="438DB917" w14:textId="539D42F8" w:rsidR="00F51742" w:rsidRDefault="00F51742" w:rsidP="00F51742">
            <w:pPr>
              <w:pStyle w:val="Tablecontent"/>
              <w:ind w:left="113" w:right="113"/>
              <w:jc w:val="center"/>
            </w:pPr>
            <w:r w:rsidRPr="004E2743">
              <w:t>30,757</w:t>
            </w:r>
          </w:p>
        </w:tc>
        <w:tc>
          <w:tcPr>
            <w:tcW w:w="567" w:type="dxa"/>
            <w:textDirection w:val="btLr"/>
          </w:tcPr>
          <w:p w14:paraId="40466C00" w14:textId="531EFDC8" w:rsidR="00F51742" w:rsidRDefault="00F51742" w:rsidP="00F51742">
            <w:pPr>
              <w:pStyle w:val="Tablecontent"/>
              <w:ind w:left="113" w:right="113"/>
              <w:jc w:val="center"/>
            </w:pPr>
            <w:r w:rsidRPr="004E2743">
              <w:t>39,278</w:t>
            </w:r>
          </w:p>
        </w:tc>
        <w:tc>
          <w:tcPr>
            <w:tcW w:w="567" w:type="dxa"/>
            <w:textDirection w:val="btLr"/>
          </w:tcPr>
          <w:p w14:paraId="53D48C98" w14:textId="66FACBC1" w:rsidR="00F51742" w:rsidRDefault="00F51742" w:rsidP="00F51742">
            <w:pPr>
              <w:pStyle w:val="Tablecontent"/>
              <w:ind w:left="113" w:right="113"/>
              <w:jc w:val="center"/>
            </w:pPr>
            <w:r w:rsidRPr="004E2743">
              <w:t>21,641</w:t>
            </w:r>
          </w:p>
        </w:tc>
        <w:tc>
          <w:tcPr>
            <w:tcW w:w="567" w:type="dxa"/>
            <w:textDirection w:val="btLr"/>
          </w:tcPr>
          <w:p w14:paraId="4F803B94" w14:textId="3E678CBF" w:rsidR="00F51742" w:rsidRDefault="00F51742" w:rsidP="00F51742">
            <w:pPr>
              <w:pStyle w:val="Tablecontent"/>
              <w:ind w:left="113" w:right="113"/>
              <w:jc w:val="center"/>
            </w:pPr>
            <w:r w:rsidRPr="004E2743">
              <w:t>21,349</w:t>
            </w:r>
          </w:p>
        </w:tc>
        <w:tc>
          <w:tcPr>
            <w:tcW w:w="567" w:type="dxa"/>
            <w:textDirection w:val="btLr"/>
          </w:tcPr>
          <w:p w14:paraId="14AD39D5" w14:textId="258F48DD" w:rsidR="00F51742" w:rsidRDefault="00F51742" w:rsidP="00F51742">
            <w:pPr>
              <w:pStyle w:val="Tablecontent"/>
              <w:ind w:left="113" w:right="113"/>
              <w:jc w:val="center"/>
            </w:pPr>
            <w:r w:rsidRPr="004E2743">
              <w:t>6,061</w:t>
            </w:r>
          </w:p>
        </w:tc>
        <w:tc>
          <w:tcPr>
            <w:tcW w:w="567" w:type="dxa"/>
            <w:textDirection w:val="btLr"/>
          </w:tcPr>
          <w:p w14:paraId="20668EB2" w14:textId="04EB1916" w:rsidR="00F51742" w:rsidRDefault="00F51742" w:rsidP="00F51742">
            <w:pPr>
              <w:pStyle w:val="Tablecontent"/>
              <w:ind w:left="113" w:right="113"/>
              <w:jc w:val="center"/>
            </w:pPr>
            <w:r w:rsidRPr="004E2743">
              <w:t>25,860</w:t>
            </w:r>
          </w:p>
        </w:tc>
        <w:tc>
          <w:tcPr>
            <w:tcW w:w="567" w:type="dxa"/>
            <w:textDirection w:val="btLr"/>
          </w:tcPr>
          <w:p w14:paraId="0E1DA751" w14:textId="4A2E0974" w:rsidR="00F51742" w:rsidRDefault="00F51742" w:rsidP="00F51742">
            <w:pPr>
              <w:pStyle w:val="Tablecontent"/>
              <w:ind w:left="113" w:right="113"/>
              <w:jc w:val="center"/>
            </w:pPr>
            <w:r w:rsidRPr="004E2743">
              <w:t>26,579</w:t>
            </w:r>
          </w:p>
        </w:tc>
        <w:tc>
          <w:tcPr>
            <w:tcW w:w="567" w:type="dxa"/>
            <w:textDirection w:val="btLr"/>
          </w:tcPr>
          <w:p w14:paraId="0FDEF7F0" w14:textId="632D8446" w:rsidR="00F51742" w:rsidRDefault="00F51742" w:rsidP="00F51742">
            <w:pPr>
              <w:pStyle w:val="Tablecontent"/>
              <w:ind w:left="113" w:right="113"/>
              <w:jc w:val="center"/>
            </w:pPr>
            <w:r w:rsidRPr="004E2743">
              <w:t>29,093</w:t>
            </w:r>
          </w:p>
        </w:tc>
        <w:tc>
          <w:tcPr>
            <w:tcW w:w="567" w:type="dxa"/>
            <w:textDirection w:val="btLr"/>
          </w:tcPr>
          <w:p w14:paraId="4F8BFFC6" w14:textId="6438692A" w:rsidR="00F51742" w:rsidRDefault="00F51742" w:rsidP="00F51742">
            <w:pPr>
              <w:pStyle w:val="Tablecontent"/>
              <w:ind w:left="113" w:right="113"/>
              <w:jc w:val="center"/>
            </w:pPr>
            <w:r w:rsidRPr="004E2743">
              <w:t>94,375</w:t>
            </w:r>
          </w:p>
        </w:tc>
        <w:tc>
          <w:tcPr>
            <w:tcW w:w="567" w:type="dxa"/>
            <w:textDirection w:val="btLr"/>
          </w:tcPr>
          <w:p w14:paraId="575D5FF8" w14:textId="63275423" w:rsidR="00F51742" w:rsidRDefault="00F51742" w:rsidP="00F51742">
            <w:pPr>
              <w:pStyle w:val="Tablecontent"/>
              <w:ind w:left="113" w:right="113"/>
              <w:jc w:val="center"/>
            </w:pPr>
            <w:r w:rsidRPr="004E2743">
              <w:t>511,217</w:t>
            </w:r>
          </w:p>
        </w:tc>
      </w:tr>
      <w:tr w:rsidR="00F51742" w14:paraId="0C516B6A" w14:textId="77777777" w:rsidTr="00B97DB0">
        <w:trPr>
          <w:cantSplit/>
          <w:trHeight w:val="1555"/>
        </w:trPr>
        <w:tc>
          <w:tcPr>
            <w:tcW w:w="567" w:type="dxa"/>
            <w:textDirection w:val="btLr"/>
          </w:tcPr>
          <w:p w14:paraId="55148465" w14:textId="76D3A16C" w:rsidR="00F51742" w:rsidRDefault="00F51742" w:rsidP="00F51742">
            <w:pPr>
              <w:pStyle w:val="Tablecontent"/>
              <w:ind w:left="113" w:right="113"/>
              <w:jc w:val="center"/>
            </w:pPr>
            <w:r w:rsidRPr="004E2743">
              <w:t>53,203</w:t>
            </w:r>
          </w:p>
        </w:tc>
        <w:tc>
          <w:tcPr>
            <w:tcW w:w="567" w:type="dxa"/>
            <w:textDirection w:val="btLr"/>
          </w:tcPr>
          <w:p w14:paraId="3009E445" w14:textId="2FE49CDA" w:rsidR="00F51742" w:rsidRDefault="00F51742" w:rsidP="00F51742">
            <w:pPr>
              <w:pStyle w:val="Tablecontent"/>
              <w:ind w:left="113" w:right="113"/>
              <w:jc w:val="center"/>
            </w:pPr>
            <w:r w:rsidRPr="004E2743">
              <w:t>10,060,041</w:t>
            </w:r>
          </w:p>
        </w:tc>
        <w:tc>
          <w:tcPr>
            <w:tcW w:w="567" w:type="dxa"/>
            <w:textDirection w:val="btLr"/>
          </w:tcPr>
          <w:p w14:paraId="38D01BFD" w14:textId="70623155" w:rsidR="00F51742" w:rsidRDefault="00F51742" w:rsidP="00F51742">
            <w:pPr>
              <w:pStyle w:val="Tablecontent"/>
              <w:ind w:left="113" w:right="113"/>
              <w:jc w:val="center"/>
            </w:pPr>
            <w:r w:rsidRPr="004E2743">
              <w:t>4,052,191</w:t>
            </w:r>
          </w:p>
        </w:tc>
        <w:tc>
          <w:tcPr>
            <w:tcW w:w="567" w:type="dxa"/>
            <w:textDirection w:val="btLr"/>
          </w:tcPr>
          <w:p w14:paraId="5994695B" w14:textId="020B776E" w:rsidR="00F51742" w:rsidRDefault="00F51742" w:rsidP="00F51742">
            <w:pPr>
              <w:pStyle w:val="Tablecontent"/>
              <w:ind w:left="113" w:right="113"/>
              <w:jc w:val="center"/>
            </w:pPr>
            <w:r w:rsidRPr="004E2743">
              <w:t>55,197</w:t>
            </w:r>
          </w:p>
        </w:tc>
        <w:tc>
          <w:tcPr>
            <w:tcW w:w="567" w:type="dxa"/>
            <w:textDirection w:val="btLr"/>
          </w:tcPr>
          <w:p w14:paraId="0A329F5E" w14:textId="0CF159A8" w:rsidR="00F51742" w:rsidRDefault="00F51742" w:rsidP="00F51742">
            <w:pPr>
              <w:pStyle w:val="Tablecontent"/>
              <w:ind w:left="113" w:right="113"/>
              <w:jc w:val="center"/>
            </w:pPr>
            <w:r w:rsidRPr="004E2743">
              <w:t>36,359</w:t>
            </w:r>
          </w:p>
        </w:tc>
        <w:tc>
          <w:tcPr>
            <w:tcW w:w="567" w:type="dxa"/>
            <w:textDirection w:val="btLr"/>
          </w:tcPr>
          <w:p w14:paraId="1003373E" w14:textId="22093955" w:rsidR="00F51742" w:rsidRDefault="00F51742" w:rsidP="00F51742">
            <w:pPr>
              <w:pStyle w:val="Tablecontent"/>
              <w:ind w:left="113" w:right="113"/>
              <w:jc w:val="center"/>
            </w:pPr>
            <w:r w:rsidRPr="004E2743">
              <w:t>3,841,852</w:t>
            </w:r>
          </w:p>
        </w:tc>
        <w:tc>
          <w:tcPr>
            <w:tcW w:w="567" w:type="dxa"/>
            <w:textDirection w:val="btLr"/>
          </w:tcPr>
          <w:p w14:paraId="6192F993" w14:textId="56E93E4C" w:rsidR="00F51742" w:rsidRDefault="00F51742" w:rsidP="00F51742">
            <w:pPr>
              <w:pStyle w:val="Tablecontent"/>
              <w:ind w:left="113" w:right="113"/>
              <w:jc w:val="center"/>
            </w:pPr>
            <w:r w:rsidRPr="004E2743">
              <w:t>3,657,050</w:t>
            </w:r>
          </w:p>
        </w:tc>
        <w:tc>
          <w:tcPr>
            <w:tcW w:w="567" w:type="dxa"/>
            <w:textDirection w:val="btLr"/>
          </w:tcPr>
          <w:p w14:paraId="71F95C0F" w14:textId="4D07BEB1" w:rsidR="00F51742" w:rsidRDefault="00F51742" w:rsidP="00F51742">
            <w:pPr>
              <w:pStyle w:val="Tablecontent"/>
              <w:ind w:left="113" w:right="113"/>
              <w:jc w:val="center"/>
            </w:pPr>
            <w:r w:rsidRPr="004E2743">
              <w:t>45,221</w:t>
            </w:r>
          </w:p>
        </w:tc>
        <w:tc>
          <w:tcPr>
            <w:tcW w:w="567" w:type="dxa"/>
            <w:textDirection w:val="btLr"/>
          </w:tcPr>
          <w:p w14:paraId="45FCABCA" w14:textId="3D2B5CA0" w:rsidR="00F51742" w:rsidRDefault="00F51742" w:rsidP="00F51742">
            <w:pPr>
              <w:pStyle w:val="Tablecontent"/>
              <w:ind w:left="113" w:right="113"/>
              <w:jc w:val="center"/>
            </w:pPr>
            <w:r w:rsidRPr="004E2743">
              <w:t>6,605,846</w:t>
            </w:r>
          </w:p>
        </w:tc>
        <w:tc>
          <w:tcPr>
            <w:tcW w:w="567" w:type="dxa"/>
            <w:textDirection w:val="btLr"/>
          </w:tcPr>
          <w:p w14:paraId="43BF1E42" w14:textId="438D352D" w:rsidR="00F51742" w:rsidRDefault="00F51742" w:rsidP="00F51742">
            <w:pPr>
              <w:pStyle w:val="Tablecontent"/>
              <w:ind w:left="113" w:right="113"/>
              <w:jc w:val="center"/>
            </w:pPr>
            <w:r w:rsidRPr="004E2743">
              <w:t>-</w:t>
            </w:r>
          </w:p>
        </w:tc>
        <w:tc>
          <w:tcPr>
            <w:tcW w:w="567" w:type="dxa"/>
            <w:textDirection w:val="btLr"/>
          </w:tcPr>
          <w:p w14:paraId="6E0C25EE" w14:textId="1B3DCB07" w:rsidR="00F51742" w:rsidRDefault="00F51742" w:rsidP="00F51742">
            <w:pPr>
              <w:pStyle w:val="Tablecontent"/>
              <w:ind w:left="113" w:right="113"/>
              <w:jc w:val="center"/>
            </w:pPr>
            <w:r w:rsidRPr="004E2743">
              <w:t>46,063</w:t>
            </w:r>
          </w:p>
        </w:tc>
        <w:tc>
          <w:tcPr>
            <w:tcW w:w="567" w:type="dxa"/>
            <w:textDirection w:val="btLr"/>
          </w:tcPr>
          <w:p w14:paraId="34B4B64A" w14:textId="2CA2908E" w:rsidR="00F51742" w:rsidRDefault="00F51742" w:rsidP="00F51742">
            <w:pPr>
              <w:pStyle w:val="Tablecontent"/>
              <w:ind w:left="113" w:right="113"/>
              <w:jc w:val="center"/>
            </w:pPr>
            <w:r w:rsidRPr="004E2743">
              <w:t>3,148,738</w:t>
            </w:r>
          </w:p>
        </w:tc>
        <w:tc>
          <w:tcPr>
            <w:tcW w:w="567" w:type="dxa"/>
            <w:textDirection w:val="btLr"/>
          </w:tcPr>
          <w:p w14:paraId="11C58D8F" w14:textId="73905639" w:rsidR="00F51742" w:rsidRDefault="00F51742" w:rsidP="00F51742">
            <w:pPr>
              <w:pStyle w:val="Tablecontent"/>
              <w:ind w:left="113" w:right="113"/>
              <w:jc w:val="center"/>
            </w:pPr>
            <w:r w:rsidRPr="004E2743">
              <w:t>6,953,989</w:t>
            </w:r>
          </w:p>
        </w:tc>
        <w:tc>
          <w:tcPr>
            <w:tcW w:w="567" w:type="dxa"/>
            <w:textDirection w:val="btLr"/>
          </w:tcPr>
          <w:p w14:paraId="5BFE8E6D" w14:textId="0348C338" w:rsidR="00F51742" w:rsidRDefault="00F51742" w:rsidP="00F51742">
            <w:pPr>
              <w:pStyle w:val="Tablecontent"/>
              <w:ind w:left="113" w:right="113"/>
              <w:jc w:val="center"/>
            </w:pPr>
            <w:r w:rsidRPr="004E2743">
              <w:t>16,358,221</w:t>
            </w:r>
          </w:p>
        </w:tc>
        <w:tc>
          <w:tcPr>
            <w:tcW w:w="567" w:type="dxa"/>
            <w:textDirection w:val="btLr"/>
          </w:tcPr>
          <w:p w14:paraId="0F27FE3F" w14:textId="1975EE39" w:rsidR="00F51742" w:rsidRDefault="00F51742" w:rsidP="00F51742">
            <w:pPr>
              <w:pStyle w:val="Tablecontent"/>
              <w:ind w:left="113" w:right="113"/>
              <w:jc w:val="center"/>
            </w:pPr>
            <w:r w:rsidRPr="004E2743">
              <w:t>2,975,000</w:t>
            </w:r>
          </w:p>
        </w:tc>
      </w:tr>
      <w:tr w:rsidR="00F51742" w14:paraId="63B05A41" w14:textId="77777777" w:rsidTr="00B97DB0">
        <w:trPr>
          <w:cantSplit/>
          <w:trHeight w:val="1961"/>
        </w:trPr>
        <w:tc>
          <w:tcPr>
            <w:tcW w:w="567" w:type="dxa"/>
            <w:textDirection w:val="btLr"/>
          </w:tcPr>
          <w:p w14:paraId="2A9281A6" w14:textId="5C40C0FF" w:rsidR="00F51742" w:rsidRDefault="00F51742" w:rsidP="00F51742">
            <w:pPr>
              <w:pStyle w:val="Tablecontent"/>
              <w:ind w:left="113" w:right="113"/>
              <w:jc w:val="center"/>
            </w:pPr>
            <w:r w:rsidRPr="004E2743">
              <w:t>1,065,782,791</w:t>
            </w:r>
          </w:p>
        </w:tc>
        <w:tc>
          <w:tcPr>
            <w:tcW w:w="567" w:type="dxa"/>
            <w:textDirection w:val="btLr"/>
          </w:tcPr>
          <w:p w14:paraId="0532E5B0" w14:textId="3B38E1A3" w:rsidR="00F51742" w:rsidRDefault="00F51742" w:rsidP="00F51742">
            <w:pPr>
              <w:pStyle w:val="Tablecontent"/>
              <w:ind w:left="113" w:right="113"/>
              <w:jc w:val="center"/>
            </w:pPr>
            <w:r w:rsidRPr="004E2743">
              <w:t>1,229,094,286</w:t>
            </w:r>
          </w:p>
        </w:tc>
        <w:tc>
          <w:tcPr>
            <w:tcW w:w="567" w:type="dxa"/>
            <w:textDirection w:val="btLr"/>
          </w:tcPr>
          <w:p w14:paraId="6814B61D" w14:textId="1034EC61" w:rsidR="00F51742" w:rsidRDefault="00F51742" w:rsidP="00F51742">
            <w:pPr>
              <w:pStyle w:val="Tablecontent"/>
              <w:ind w:left="113" w:right="113"/>
              <w:jc w:val="center"/>
            </w:pPr>
            <w:r w:rsidRPr="004E2743">
              <w:t>1,105,676,412</w:t>
            </w:r>
          </w:p>
        </w:tc>
        <w:tc>
          <w:tcPr>
            <w:tcW w:w="567" w:type="dxa"/>
            <w:textDirection w:val="btLr"/>
          </w:tcPr>
          <w:p w14:paraId="22B46A09" w14:textId="595D07A0" w:rsidR="00F51742" w:rsidRDefault="00F51742" w:rsidP="00F51742">
            <w:pPr>
              <w:pStyle w:val="Tablecontent"/>
              <w:ind w:left="113" w:right="113"/>
              <w:jc w:val="center"/>
            </w:pPr>
            <w:r w:rsidRPr="004E2743">
              <w:t>1,132,245,425</w:t>
            </w:r>
          </w:p>
        </w:tc>
        <w:tc>
          <w:tcPr>
            <w:tcW w:w="567" w:type="dxa"/>
            <w:textDirection w:val="btLr"/>
          </w:tcPr>
          <w:p w14:paraId="6E567920" w14:textId="60FA5C6A" w:rsidR="00F51742" w:rsidRDefault="00F51742" w:rsidP="00F51742">
            <w:pPr>
              <w:pStyle w:val="Tablecontent"/>
              <w:ind w:left="113" w:right="113"/>
              <w:jc w:val="center"/>
            </w:pPr>
            <w:r w:rsidRPr="004E2743">
              <w:t>1,152,571,117</w:t>
            </w:r>
          </w:p>
        </w:tc>
        <w:tc>
          <w:tcPr>
            <w:tcW w:w="567" w:type="dxa"/>
            <w:textDirection w:val="btLr"/>
          </w:tcPr>
          <w:p w14:paraId="31272371" w14:textId="7FB83FCC" w:rsidR="00F51742" w:rsidRDefault="00F51742" w:rsidP="00F51742">
            <w:pPr>
              <w:pStyle w:val="Tablecontent"/>
              <w:ind w:left="113" w:right="113"/>
              <w:jc w:val="center"/>
            </w:pPr>
            <w:r w:rsidRPr="004E2743">
              <w:t>1,119,188,094</w:t>
            </w:r>
          </w:p>
        </w:tc>
        <w:tc>
          <w:tcPr>
            <w:tcW w:w="567" w:type="dxa"/>
            <w:textDirection w:val="btLr"/>
          </w:tcPr>
          <w:p w14:paraId="0D6A4BC5" w14:textId="5A746786" w:rsidR="00F51742" w:rsidRDefault="00F51742" w:rsidP="00F51742">
            <w:pPr>
              <w:pStyle w:val="Tablecontent"/>
              <w:ind w:left="113" w:right="113"/>
              <w:jc w:val="center"/>
            </w:pPr>
            <w:r w:rsidRPr="004E2743">
              <w:t>1,219,859,583</w:t>
            </w:r>
          </w:p>
        </w:tc>
        <w:tc>
          <w:tcPr>
            <w:tcW w:w="567" w:type="dxa"/>
            <w:textDirection w:val="btLr"/>
          </w:tcPr>
          <w:p w14:paraId="6A71B200" w14:textId="3EB4679B" w:rsidR="00F51742" w:rsidRDefault="00F51742" w:rsidP="00F51742">
            <w:pPr>
              <w:pStyle w:val="Tablecontent"/>
              <w:ind w:left="113" w:right="113"/>
              <w:jc w:val="center"/>
            </w:pPr>
            <w:r w:rsidRPr="004E2743">
              <w:t>1,086,566,339</w:t>
            </w:r>
          </w:p>
        </w:tc>
        <w:tc>
          <w:tcPr>
            <w:tcW w:w="567" w:type="dxa"/>
            <w:textDirection w:val="btLr"/>
          </w:tcPr>
          <w:p w14:paraId="75CF41C9" w14:textId="29F77CAD" w:rsidR="00F51742" w:rsidRDefault="00F51742" w:rsidP="00F51742">
            <w:pPr>
              <w:pStyle w:val="Tablecontent"/>
              <w:ind w:left="113" w:right="113"/>
              <w:jc w:val="center"/>
            </w:pPr>
            <w:r w:rsidRPr="004E2743">
              <w:t>2,365,766,571</w:t>
            </w:r>
          </w:p>
        </w:tc>
        <w:tc>
          <w:tcPr>
            <w:tcW w:w="567" w:type="dxa"/>
            <w:textDirection w:val="btLr"/>
          </w:tcPr>
          <w:p w14:paraId="015D7BD2" w14:textId="1676CABF" w:rsidR="00F51742" w:rsidRDefault="00F51742" w:rsidP="00F51742">
            <w:pPr>
              <w:pStyle w:val="Tablecontent"/>
              <w:ind w:left="113" w:right="113"/>
              <w:jc w:val="center"/>
            </w:pPr>
            <w:r w:rsidRPr="004E2743">
              <w:t>1,171,855,925</w:t>
            </w:r>
          </w:p>
        </w:tc>
        <w:tc>
          <w:tcPr>
            <w:tcW w:w="567" w:type="dxa"/>
            <w:textDirection w:val="btLr"/>
          </w:tcPr>
          <w:p w14:paraId="2F7F93C8" w14:textId="664CC951" w:rsidR="00F51742" w:rsidRDefault="00F51742" w:rsidP="00F51742">
            <w:pPr>
              <w:pStyle w:val="Tablecontent"/>
              <w:ind w:left="113" w:right="113"/>
              <w:jc w:val="center"/>
            </w:pPr>
            <w:r w:rsidRPr="004E2743">
              <w:t>1,075,931,597</w:t>
            </w:r>
          </w:p>
        </w:tc>
        <w:tc>
          <w:tcPr>
            <w:tcW w:w="567" w:type="dxa"/>
            <w:textDirection w:val="btLr"/>
          </w:tcPr>
          <w:p w14:paraId="16FDBDE8" w14:textId="2AD410A7" w:rsidR="00F51742" w:rsidRDefault="00F51742" w:rsidP="00F51742">
            <w:pPr>
              <w:pStyle w:val="Tablecontent"/>
              <w:ind w:left="113" w:right="113"/>
              <w:jc w:val="center"/>
            </w:pPr>
            <w:r w:rsidRPr="004E2743">
              <w:t>1,107,989,085</w:t>
            </w:r>
          </w:p>
        </w:tc>
        <w:tc>
          <w:tcPr>
            <w:tcW w:w="567" w:type="dxa"/>
            <w:textDirection w:val="btLr"/>
          </w:tcPr>
          <w:p w14:paraId="0B46EF1D" w14:textId="248FA38C" w:rsidR="00F51742" w:rsidRDefault="00F51742" w:rsidP="00F51742">
            <w:pPr>
              <w:pStyle w:val="Tablecontent"/>
              <w:ind w:left="113" w:right="113"/>
              <w:jc w:val="center"/>
            </w:pPr>
            <w:r w:rsidRPr="004E2743">
              <w:t>1,091,312,783</w:t>
            </w:r>
          </w:p>
        </w:tc>
        <w:tc>
          <w:tcPr>
            <w:tcW w:w="567" w:type="dxa"/>
            <w:textDirection w:val="btLr"/>
          </w:tcPr>
          <w:p w14:paraId="6587A9CE" w14:textId="3581F346" w:rsidR="00F51742" w:rsidRDefault="00F51742" w:rsidP="00F51742">
            <w:pPr>
              <w:pStyle w:val="Tablecontent"/>
              <w:ind w:left="113" w:right="113"/>
              <w:jc w:val="center"/>
            </w:pPr>
            <w:r w:rsidRPr="004E2743">
              <w:t>1,049,964,851</w:t>
            </w:r>
          </w:p>
        </w:tc>
        <w:tc>
          <w:tcPr>
            <w:tcW w:w="567" w:type="dxa"/>
            <w:textDirection w:val="btLr"/>
          </w:tcPr>
          <w:p w14:paraId="5184835D" w14:textId="555E8DDC" w:rsidR="00F51742" w:rsidRDefault="00F51742" w:rsidP="00F51742">
            <w:pPr>
              <w:pStyle w:val="Tablecontent"/>
              <w:ind w:left="113" w:right="113"/>
              <w:jc w:val="center"/>
            </w:pPr>
            <w:r w:rsidRPr="004E2743">
              <w:t>927,656,957</w:t>
            </w:r>
          </w:p>
        </w:tc>
      </w:tr>
      <w:tr w:rsidR="00F51742" w14:paraId="1FA57D7E" w14:textId="77777777" w:rsidTr="00B97DB0">
        <w:trPr>
          <w:cantSplit/>
          <w:trHeight w:val="2258"/>
        </w:trPr>
        <w:tc>
          <w:tcPr>
            <w:tcW w:w="567" w:type="dxa"/>
            <w:textDirection w:val="btLr"/>
          </w:tcPr>
          <w:p w14:paraId="7F8356C9" w14:textId="27750B10" w:rsidR="00F51742" w:rsidRDefault="00F51742" w:rsidP="00F51742">
            <w:pPr>
              <w:pStyle w:val="Tablecontent"/>
              <w:ind w:left="113" w:right="113"/>
              <w:jc w:val="center"/>
            </w:pPr>
            <w:r w:rsidRPr="004E2743">
              <w:t>GCF_000710305.1</w:t>
            </w:r>
          </w:p>
        </w:tc>
        <w:tc>
          <w:tcPr>
            <w:tcW w:w="567" w:type="dxa"/>
            <w:textDirection w:val="btLr"/>
          </w:tcPr>
          <w:p w14:paraId="4AB3EAD3" w14:textId="50362BFE" w:rsidR="00F51742" w:rsidRDefault="00F51742" w:rsidP="00F51742">
            <w:pPr>
              <w:pStyle w:val="Tablecontent"/>
              <w:ind w:left="113" w:right="113"/>
              <w:jc w:val="center"/>
            </w:pPr>
            <w:r w:rsidRPr="004E2743">
              <w:t>GCF_001431845.1</w:t>
            </w:r>
          </w:p>
        </w:tc>
        <w:tc>
          <w:tcPr>
            <w:tcW w:w="567" w:type="dxa"/>
            <w:textDirection w:val="btLr"/>
          </w:tcPr>
          <w:p w14:paraId="4B69F8E8" w14:textId="49429E8B" w:rsidR="00F51742" w:rsidRDefault="00F51742" w:rsidP="00F51742">
            <w:pPr>
              <w:pStyle w:val="Tablecontent"/>
              <w:ind w:left="113" w:right="113"/>
              <w:jc w:val="center"/>
            </w:pPr>
            <w:r w:rsidRPr="004E2743">
              <w:t>GCF_000699085.1</w:t>
            </w:r>
          </w:p>
        </w:tc>
        <w:tc>
          <w:tcPr>
            <w:tcW w:w="567" w:type="dxa"/>
            <w:textDirection w:val="btLr"/>
          </w:tcPr>
          <w:p w14:paraId="103C614C" w14:textId="1BC90A39" w:rsidR="00F51742" w:rsidRDefault="00F51742" w:rsidP="00F51742">
            <w:pPr>
              <w:pStyle w:val="Tablecontent"/>
              <w:ind w:left="113" w:right="113"/>
              <w:jc w:val="center"/>
            </w:pPr>
            <w:r w:rsidRPr="004E2743">
              <w:t>GCF_000690535.1</w:t>
            </w:r>
          </w:p>
        </w:tc>
        <w:tc>
          <w:tcPr>
            <w:tcW w:w="567" w:type="dxa"/>
            <w:textDirection w:val="btLr"/>
          </w:tcPr>
          <w:p w14:paraId="5172FFA1" w14:textId="0A99EA60" w:rsidR="00F51742" w:rsidRDefault="00F51742" w:rsidP="00F51742">
            <w:pPr>
              <w:pStyle w:val="Tablecontent"/>
              <w:ind w:left="113" w:right="113"/>
              <w:jc w:val="center"/>
            </w:pPr>
            <w:r w:rsidRPr="004E2743">
              <w:t>GCA_000699945.1</w:t>
            </w:r>
          </w:p>
        </w:tc>
        <w:tc>
          <w:tcPr>
            <w:tcW w:w="567" w:type="dxa"/>
            <w:textDirection w:val="btLr"/>
          </w:tcPr>
          <w:p w14:paraId="763FEDAB" w14:textId="4DC12B28" w:rsidR="00F51742" w:rsidRDefault="00F51742" w:rsidP="00F51742">
            <w:pPr>
              <w:pStyle w:val="Tablecontent"/>
              <w:ind w:left="113" w:right="113"/>
              <w:jc w:val="center"/>
            </w:pPr>
            <w:r w:rsidRPr="004E2743">
              <w:t>GCF_000747805.1</w:t>
            </w:r>
          </w:p>
        </w:tc>
        <w:tc>
          <w:tcPr>
            <w:tcW w:w="567" w:type="dxa"/>
            <w:textDirection w:val="btLr"/>
          </w:tcPr>
          <w:p w14:paraId="371ED39B" w14:textId="06A185E9" w:rsidR="00F51742" w:rsidRDefault="00F51742" w:rsidP="00F51742">
            <w:pPr>
              <w:pStyle w:val="Tablecontent"/>
              <w:ind w:left="113" w:right="113"/>
              <w:jc w:val="center"/>
            </w:pPr>
            <w:r w:rsidRPr="004E2743">
              <w:t>GCF_000708025.1</w:t>
            </w:r>
          </w:p>
        </w:tc>
        <w:tc>
          <w:tcPr>
            <w:tcW w:w="567" w:type="dxa"/>
            <w:textDirection w:val="btLr"/>
          </w:tcPr>
          <w:p w14:paraId="2AE1A814" w14:textId="7D9AF017" w:rsidR="00F51742" w:rsidRDefault="00F51742" w:rsidP="00F51742">
            <w:pPr>
              <w:pStyle w:val="Tablecontent"/>
              <w:ind w:left="113" w:right="113"/>
              <w:jc w:val="center"/>
            </w:pPr>
            <w:r w:rsidRPr="004E2743">
              <w:t>GCF_000695195.1</w:t>
            </w:r>
          </w:p>
        </w:tc>
        <w:tc>
          <w:tcPr>
            <w:tcW w:w="567" w:type="dxa"/>
            <w:textDirection w:val="btLr"/>
          </w:tcPr>
          <w:p w14:paraId="6197EDE2" w14:textId="3BF9A841" w:rsidR="00F51742" w:rsidRDefault="00F51742" w:rsidP="00F51742">
            <w:pPr>
              <w:pStyle w:val="Tablecontent"/>
              <w:ind w:left="113" w:right="113"/>
              <w:jc w:val="center"/>
            </w:pPr>
            <w:r w:rsidRPr="004E2743">
              <w:t>GCF_000241765.3</w:t>
            </w:r>
          </w:p>
        </w:tc>
        <w:tc>
          <w:tcPr>
            <w:tcW w:w="567" w:type="dxa"/>
            <w:textDirection w:val="btLr"/>
          </w:tcPr>
          <w:p w14:paraId="663946F1" w14:textId="73B88FDD" w:rsidR="00F51742" w:rsidRDefault="00F51742" w:rsidP="00F51742">
            <w:pPr>
              <w:pStyle w:val="Tablecontent"/>
              <w:ind w:left="113" w:right="113"/>
              <w:jc w:val="center"/>
            </w:pPr>
            <w:r w:rsidRPr="004E2743">
              <w:t>GCA_000599465.1</w:t>
            </w:r>
          </w:p>
        </w:tc>
        <w:tc>
          <w:tcPr>
            <w:tcW w:w="567" w:type="dxa"/>
            <w:textDirection w:val="btLr"/>
          </w:tcPr>
          <w:p w14:paraId="7A274A5A" w14:textId="0A7411B7" w:rsidR="00F51742" w:rsidRDefault="00F51742" w:rsidP="00F51742">
            <w:pPr>
              <w:pStyle w:val="Tablecontent"/>
              <w:ind w:left="113" w:right="113"/>
              <w:jc w:val="center"/>
            </w:pPr>
            <w:r w:rsidRPr="004E2743">
              <w:t>GCF_000690715.1</w:t>
            </w:r>
          </w:p>
        </w:tc>
        <w:tc>
          <w:tcPr>
            <w:tcW w:w="567" w:type="dxa"/>
            <w:textDirection w:val="btLr"/>
          </w:tcPr>
          <w:p w14:paraId="6ECE41E0" w14:textId="21D859D9" w:rsidR="00F51742" w:rsidRDefault="00F51742" w:rsidP="00F51742">
            <w:pPr>
              <w:pStyle w:val="Tablecontent"/>
              <w:ind w:left="113" w:right="113"/>
              <w:jc w:val="center"/>
            </w:pPr>
            <w:r w:rsidRPr="004E2743">
              <w:t>GCF_000337935.1</w:t>
            </w:r>
          </w:p>
        </w:tc>
        <w:tc>
          <w:tcPr>
            <w:tcW w:w="567" w:type="dxa"/>
            <w:textDirection w:val="btLr"/>
          </w:tcPr>
          <w:p w14:paraId="01FD49D6" w14:textId="03FB8E70" w:rsidR="00F51742" w:rsidRDefault="00F51742" w:rsidP="00F51742">
            <w:pPr>
              <w:pStyle w:val="Tablecontent"/>
              <w:ind w:left="113" w:right="113"/>
              <w:jc w:val="center"/>
            </w:pPr>
            <w:r w:rsidRPr="004E2743">
              <w:t>GCF_000691975.1</w:t>
            </w:r>
          </w:p>
        </w:tc>
        <w:tc>
          <w:tcPr>
            <w:tcW w:w="567" w:type="dxa"/>
            <w:textDirection w:val="btLr"/>
          </w:tcPr>
          <w:p w14:paraId="71A65938" w14:textId="6493FF6E" w:rsidR="00F51742" w:rsidRDefault="00F51742" w:rsidP="00F51742">
            <w:pPr>
              <w:pStyle w:val="Tablecontent"/>
              <w:ind w:left="113" w:right="113"/>
              <w:jc w:val="center"/>
            </w:pPr>
            <w:r w:rsidRPr="004E2743">
              <w:t>GCF_000738735.1</w:t>
            </w:r>
          </w:p>
        </w:tc>
        <w:tc>
          <w:tcPr>
            <w:tcW w:w="567" w:type="dxa"/>
            <w:textDirection w:val="btLr"/>
          </w:tcPr>
          <w:p w14:paraId="6CA561CA" w14:textId="1CBB0743" w:rsidR="00F51742" w:rsidRDefault="00F51742" w:rsidP="00F51742">
            <w:pPr>
              <w:pStyle w:val="Tablecontent"/>
              <w:ind w:left="113" w:right="113"/>
              <w:jc w:val="center"/>
            </w:pPr>
            <w:r w:rsidRPr="004E2743">
              <w:t>GCF_001577835.1</w:t>
            </w:r>
          </w:p>
        </w:tc>
      </w:tr>
      <w:tr w:rsidR="00F51742" w14:paraId="7A1114A1" w14:textId="77777777" w:rsidTr="00B97DB0">
        <w:trPr>
          <w:cantSplit/>
          <w:trHeight w:val="2843"/>
        </w:trPr>
        <w:tc>
          <w:tcPr>
            <w:tcW w:w="567" w:type="dxa"/>
            <w:textDirection w:val="btLr"/>
          </w:tcPr>
          <w:p w14:paraId="2ACC0F09" w14:textId="4E12692F" w:rsidR="00F51742" w:rsidRDefault="00F51742" w:rsidP="00F51742">
            <w:pPr>
              <w:pStyle w:val="Tablecontent"/>
              <w:ind w:left="113" w:right="113"/>
            </w:pPr>
            <w:r w:rsidRPr="004E2743">
              <w:t>Rhinoceros hornbill</w:t>
            </w:r>
          </w:p>
        </w:tc>
        <w:tc>
          <w:tcPr>
            <w:tcW w:w="567" w:type="dxa"/>
            <w:textDirection w:val="btLr"/>
          </w:tcPr>
          <w:p w14:paraId="22D47FB3" w14:textId="335A13BB" w:rsidR="00F51742" w:rsidRDefault="00F51742" w:rsidP="00F51742">
            <w:pPr>
              <w:pStyle w:val="Tablecontent"/>
              <w:ind w:left="113" w:right="113"/>
            </w:pPr>
            <w:r w:rsidRPr="004E2743">
              <w:t>Ruff</w:t>
            </w:r>
          </w:p>
        </w:tc>
        <w:tc>
          <w:tcPr>
            <w:tcW w:w="567" w:type="dxa"/>
            <w:textDirection w:val="btLr"/>
          </w:tcPr>
          <w:p w14:paraId="08F4FFBA" w14:textId="21B3B6BD" w:rsidR="00F51742" w:rsidRDefault="00F51742" w:rsidP="00F51742">
            <w:pPr>
              <w:pStyle w:val="Tablecontent"/>
              <w:ind w:left="113" w:right="113"/>
            </w:pPr>
            <w:r w:rsidRPr="004E2743">
              <w:t>Anna's hummingbird</w:t>
            </w:r>
          </w:p>
        </w:tc>
        <w:tc>
          <w:tcPr>
            <w:tcW w:w="567" w:type="dxa"/>
            <w:textDirection w:val="btLr"/>
          </w:tcPr>
          <w:p w14:paraId="3BD77848" w14:textId="06764748" w:rsidR="00F51742" w:rsidRDefault="00F51742" w:rsidP="00F51742">
            <w:pPr>
              <w:pStyle w:val="Tablecontent"/>
              <w:ind w:left="113" w:right="113"/>
            </w:pPr>
            <w:r w:rsidRPr="004E2743">
              <w:t>Red-legged seriema</w:t>
            </w:r>
          </w:p>
        </w:tc>
        <w:tc>
          <w:tcPr>
            <w:tcW w:w="567" w:type="dxa"/>
            <w:textDirection w:val="btLr"/>
          </w:tcPr>
          <w:p w14:paraId="0FDB098F" w14:textId="029947BD" w:rsidR="00F51742" w:rsidRDefault="00F51742" w:rsidP="00F51742">
            <w:pPr>
              <w:pStyle w:val="Tablecontent"/>
              <w:ind w:left="113" w:right="113"/>
            </w:pPr>
            <w:r w:rsidRPr="004E2743">
              <w:t>Turkey vulture</w:t>
            </w:r>
          </w:p>
        </w:tc>
        <w:tc>
          <w:tcPr>
            <w:tcW w:w="567" w:type="dxa"/>
            <w:textDirection w:val="btLr"/>
          </w:tcPr>
          <w:p w14:paraId="0D3D02AB" w14:textId="4D61C213" w:rsidR="00F51742" w:rsidRDefault="00F51742" w:rsidP="00F51742">
            <w:pPr>
              <w:pStyle w:val="Tablecontent"/>
              <w:ind w:left="113" w:right="113"/>
            </w:pPr>
            <w:r w:rsidRPr="004E2743">
              <w:t>Chimney swift</w:t>
            </w:r>
          </w:p>
        </w:tc>
        <w:tc>
          <w:tcPr>
            <w:tcW w:w="567" w:type="dxa"/>
            <w:textDirection w:val="btLr"/>
          </w:tcPr>
          <w:p w14:paraId="464627D1" w14:textId="3A5F3762" w:rsidR="00F51742" w:rsidRDefault="00F51742" w:rsidP="00F51742">
            <w:pPr>
              <w:pStyle w:val="Tablecontent"/>
              <w:ind w:left="113" w:right="113"/>
            </w:pPr>
            <w:r w:rsidRPr="004E2743">
              <w:t>Killdeer</w:t>
            </w:r>
          </w:p>
        </w:tc>
        <w:tc>
          <w:tcPr>
            <w:tcW w:w="567" w:type="dxa"/>
            <w:textDirection w:val="btLr"/>
          </w:tcPr>
          <w:p w14:paraId="63329D87" w14:textId="71DC8B55" w:rsidR="00F51742" w:rsidRDefault="00F51742" w:rsidP="00F51742">
            <w:pPr>
              <w:pStyle w:val="Tablecontent"/>
              <w:ind w:left="113" w:right="113"/>
            </w:pPr>
            <w:r w:rsidRPr="004E2743">
              <w:t>Macqueen's bustard</w:t>
            </w:r>
          </w:p>
        </w:tc>
        <w:tc>
          <w:tcPr>
            <w:tcW w:w="567" w:type="dxa"/>
            <w:textDirection w:val="btLr"/>
          </w:tcPr>
          <w:p w14:paraId="0B80B217" w14:textId="34DA28D3" w:rsidR="00F51742" w:rsidRDefault="00F51742" w:rsidP="00F51742">
            <w:pPr>
              <w:pStyle w:val="Tablecontent"/>
              <w:ind w:left="113" w:right="113"/>
            </w:pPr>
            <w:r w:rsidRPr="004E2743">
              <w:t>Western painted turtle</w:t>
            </w:r>
          </w:p>
        </w:tc>
        <w:tc>
          <w:tcPr>
            <w:tcW w:w="567" w:type="dxa"/>
            <w:textDirection w:val="btLr"/>
          </w:tcPr>
          <w:p w14:paraId="06B3F950" w14:textId="305D04B0" w:rsidR="00F51742" w:rsidRDefault="00F51742" w:rsidP="00F51742">
            <w:pPr>
              <w:pStyle w:val="Tablecontent"/>
              <w:ind w:left="113" w:right="113"/>
            </w:pPr>
            <w:r w:rsidRPr="004E2743">
              <w:t>Northern bobwhite</w:t>
            </w:r>
          </w:p>
        </w:tc>
        <w:tc>
          <w:tcPr>
            <w:tcW w:w="567" w:type="dxa"/>
            <w:textDirection w:val="btLr"/>
          </w:tcPr>
          <w:p w14:paraId="01F0D7E5" w14:textId="7B89AC33" w:rsidR="00F51742" w:rsidRDefault="00F51742" w:rsidP="00F51742">
            <w:pPr>
              <w:pStyle w:val="Tablecontent"/>
              <w:ind w:left="113" w:right="113"/>
            </w:pPr>
            <w:r w:rsidRPr="004E2743">
              <w:t>Speckled mousebird</w:t>
            </w:r>
          </w:p>
        </w:tc>
        <w:tc>
          <w:tcPr>
            <w:tcW w:w="567" w:type="dxa"/>
            <w:textDirection w:val="btLr"/>
          </w:tcPr>
          <w:p w14:paraId="26C17546" w14:textId="6BA01FAE" w:rsidR="00F51742" w:rsidRDefault="00F51742" w:rsidP="00F51742">
            <w:pPr>
              <w:pStyle w:val="Tablecontent"/>
              <w:ind w:left="113" w:right="113"/>
            </w:pPr>
            <w:r w:rsidRPr="004E2743">
              <w:t>Rock pigeon</w:t>
            </w:r>
          </w:p>
        </w:tc>
        <w:tc>
          <w:tcPr>
            <w:tcW w:w="567" w:type="dxa"/>
            <w:textDirection w:val="btLr"/>
          </w:tcPr>
          <w:p w14:paraId="23AAEB6B" w14:textId="78EC397D" w:rsidR="00F51742" w:rsidRDefault="00F51742" w:rsidP="00F51742">
            <w:pPr>
              <w:pStyle w:val="Tablecontent"/>
              <w:ind w:left="113" w:right="113"/>
            </w:pPr>
            <w:r w:rsidRPr="004E2743">
              <w:t>American crow</w:t>
            </w:r>
          </w:p>
        </w:tc>
        <w:tc>
          <w:tcPr>
            <w:tcW w:w="567" w:type="dxa"/>
            <w:textDirection w:val="btLr"/>
          </w:tcPr>
          <w:p w14:paraId="0E5E20A6" w14:textId="1966642D" w:rsidR="00F51742" w:rsidRDefault="00F51742" w:rsidP="00F51742">
            <w:pPr>
              <w:pStyle w:val="Tablecontent"/>
              <w:ind w:left="113" w:right="113"/>
            </w:pPr>
            <w:r w:rsidRPr="004E2743">
              <w:t>Hooded crow</w:t>
            </w:r>
          </w:p>
        </w:tc>
        <w:tc>
          <w:tcPr>
            <w:tcW w:w="567" w:type="dxa"/>
            <w:textDirection w:val="btLr"/>
          </w:tcPr>
          <w:p w14:paraId="716991F3" w14:textId="081DDE41" w:rsidR="00F51742" w:rsidRDefault="00F51742" w:rsidP="00F51742">
            <w:pPr>
              <w:pStyle w:val="Tablecontent"/>
              <w:ind w:left="113" w:right="113"/>
            </w:pPr>
            <w:r w:rsidRPr="004E2743">
              <w:t>Japanese quail</w:t>
            </w:r>
          </w:p>
        </w:tc>
      </w:tr>
      <w:tr w:rsidR="00F51742" w14:paraId="22312B23" w14:textId="77777777" w:rsidTr="00B97DB0">
        <w:trPr>
          <w:cantSplit/>
          <w:trHeight w:val="3236"/>
        </w:trPr>
        <w:tc>
          <w:tcPr>
            <w:tcW w:w="567" w:type="dxa"/>
            <w:textDirection w:val="btLr"/>
          </w:tcPr>
          <w:p w14:paraId="7C516057" w14:textId="7CE41729" w:rsidR="00F51742" w:rsidRDefault="00F51742" w:rsidP="00F51742">
            <w:pPr>
              <w:pStyle w:val="Tablecontent"/>
              <w:ind w:left="113" w:right="113"/>
            </w:pPr>
            <w:r w:rsidRPr="007F3617">
              <w:rPr>
                <w:i/>
              </w:rPr>
              <w:t>Buceros</w:t>
            </w:r>
            <w:r w:rsidRPr="004E2743">
              <w:t xml:space="preserve"> rhinoceros silvestris</w:t>
            </w:r>
          </w:p>
        </w:tc>
        <w:tc>
          <w:tcPr>
            <w:tcW w:w="567" w:type="dxa"/>
            <w:textDirection w:val="btLr"/>
          </w:tcPr>
          <w:p w14:paraId="568F56C5" w14:textId="55597EE6" w:rsidR="00F51742" w:rsidRPr="007F3617" w:rsidRDefault="00F51742" w:rsidP="00F51742">
            <w:pPr>
              <w:pStyle w:val="Tablecontent"/>
              <w:ind w:left="113" w:right="113"/>
              <w:rPr>
                <w:i/>
              </w:rPr>
            </w:pPr>
            <w:r w:rsidRPr="007F3617">
              <w:rPr>
                <w:i/>
              </w:rPr>
              <w:t>Calidris pugnax</w:t>
            </w:r>
          </w:p>
        </w:tc>
        <w:tc>
          <w:tcPr>
            <w:tcW w:w="567" w:type="dxa"/>
            <w:textDirection w:val="btLr"/>
          </w:tcPr>
          <w:p w14:paraId="2A5F6376" w14:textId="1CA9E651" w:rsidR="00F51742" w:rsidRPr="00BC30B0" w:rsidRDefault="00F51742" w:rsidP="00F51742">
            <w:pPr>
              <w:pStyle w:val="Tablecontent"/>
              <w:ind w:left="113" w:right="113"/>
            </w:pPr>
            <w:r w:rsidRPr="007F3617">
              <w:rPr>
                <w:i/>
              </w:rPr>
              <w:t>Calypte anna</w:t>
            </w:r>
            <w:r w:rsidR="00BC30B0">
              <w:t xml:space="preserve"> *</w:t>
            </w:r>
          </w:p>
        </w:tc>
        <w:tc>
          <w:tcPr>
            <w:tcW w:w="567" w:type="dxa"/>
            <w:textDirection w:val="btLr"/>
          </w:tcPr>
          <w:p w14:paraId="0A8D10A9" w14:textId="17EFD720" w:rsidR="00F51742" w:rsidRPr="007F3617" w:rsidRDefault="00F51742" w:rsidP="00F51742">
            <w:pPr>
              <w:pStyle w:val="Tablecontent"/>
              <w:ind w:left="113" w:right="113"/>
              <w:rPr>
                <w:i/>
              </w:rPr>
            </w:pPr>
            <w:r w:rsidRPr="007F3617">
              <w:rPr>
                <w:i/>
              </w:rPr>
              <w:t>Cariama cristata</w:t>
            </w:r>
          </w:p>
        </w:tc>
        <w:tc>
          <w:tcPr>
            <w:tcW w:w="567" w:type="dxa"/>
            <w:textDirection w:val="btLr"/>
          </w:tcPr>
          <w:p w14:paraId="6AC56A34" w14:textId="671CAABC" w:rsidR="00F51742" w:rsidRPr="007F3617" w:rsidRDefault="00F51742" w:rsidP="00F51742">
            <w:pPr>
              <w:pStyle w:val="Tablecontent"/>
              <w:ind w:left="113" w:right="113"/>
              <w:rPr>
                <w:i/>
              </w:rPr>
            </w:pPr>
            <w:r w:rsidRPr="007F3617">
              <w:rPr>
                <w:i/>
              </w:rPr>
              <w:t>Cathartes aura</w:t>
            </w:r>
          </w:p>
        </w:tc>
        <w:tc>
          <w:tcPr>
            <w:tcW w:w="567" w:type="dxa"/>
            <w:textDirection w:val="btLr"/>
          </w:tcPr>
          <w:p w14:paraId="18157D7C" w14:textId="51CECC68" w:rsidR="00F51742" w:rsidRPr="007F3617" w:rsidRDefault="00F51742" w:rsidP="00F51742">
            <w:pPr>
              <w:pStyle w:val="Tablecontent"/>
              <w:ind w:left="113" w:right="113"/>
              <w:rPr>
                <w:i/>
              </w:rPr>
            </w:pPr>
            <w:r w:rsidRPr="007F3617">
              <w:rPr>
                <w:i/>
              </w:rPr>
              <w:t>Chaetura pelagica</w:t>
            </w:r>
          </w:p>
        </w:tc>
        <w:tc>
          <w:tcPr>
            <w:tcW w:w="567" w:type="dxa"/>
            <w:textDirection w:val="btLr"/>
          </w:tcPr>
          <w:p w14:paraId="17D0E1E3" w14:textId="05849105" w:rsidR="00F51742" w:rsidRPr="007F3617" w:rsidRDefault="00F51742" w:rsidP="00F51742">
            <w:pPr>
              <w:pStyle w:val="Tablecontent"/>
              <w:ind w:left="113" w:right="113"/>
              <w:rPr>
                <w:i/>
              </w:rPr>
            </w:pPr>
            <w:r w:rsidRPr="007F3617">
              <w:rPr>
                <w:i/>
              </w:rPr>
              <w:t>Charadrius vociferus</w:t>
            </w:r>
          </w:p>
        </w:tc>
        <w:tc>
          <w:tcPr>
            <w:tcW w:w="567" w:type="dxa"/>
            <w:textDirection w:val="btLr"/>
          </w:tcPr>
          <w:p w14:paraId="4363D22E" w14:textId="49BC1B1F" w:rsidR="00F51742" w:rsidRPr="007F3617" w:rsidRDefault="00F51742" w:rsidP="00F51742">
            <w:pPr>
              <w:pStyle w:val="Tablecontent"/>
              <w:ind w:left="113" w:right="113"/>
              <w:rPr>
                <w:i/>
              </w:rPr>
            </w:pPr>
            <w:r w:rsidRPr="007F3617">
              <w:rPr>
                <w:i/>
              </w:rPr>
              <w:t>Chlamydotis macqueenii</w:t>
            </w:r>
          </w:p>
        </w:tc>
        <w:tc>
          <w:tcPr>
            <w:tcW w:w="567" w:type="dxa"/>
            <w:textDirection w:val="btLr"/>
          </w:tcPr>
          <w:p w14:paraId="31DAEF13" w14:textId="6CF0B72E" w:rsidR="00F51742" w:rsidRPr="00BC30B0" w:rsidRDefault="00F51742" w:rsidP="00F51742">
            <w:pPr>
              <w:pStyle w:val="Tablecontent"/>
              <w:ind w:left="113" w:right="113"/>
            </w:pPr>
            <w:r w:rsidRPr="007F3617">
              <w:rPr>
                <w:i/>
              </w:rPr>
              <w:t>Chrysemys picta belii</w:t>
            </w:r>
            <w:r w:rsidR="00BC30B0">
              <w:t xml:space="preserve"> *</w:t>
            </w:r>
          </w:p>
        </w:tc>
        <w:tc>
          <w:tcPr>
            <w:tcW w:w="567" w:type="dxa"/>
            <w:textDirection w:val="btLr"/>
          </w:tcPr>
          <w:p w14:paraId="07DE1F7B" w14:textId="745BBC4D" w:rsidR="00F51742" w:rsidRPr="007F3617" w:rsidRDefault="00F51742" w:rsidP="00F51742">
            <w:pPr>
              <w:pStyle w:val="Tablecontent"/>
              <w:ind w:left="113" w:right="113"/>
              <w:rPr>
                <w:i/>
              </w:rPr>
            </w:pPr>
            <w:r w:rsidRPr="007F3617">
              <w:rPr>
                <w:i/>
              </w:rPr>
              <w:t>Colinus virginianus</w:t>
            </w:r>
          </w:p>
        </w:tc>
        <w:tc>
          <w:tcPr>
            <w:tcW w:w="567" w:type="dxa"/>
            <w:textDirection w:val="btLr"/>
          </w:tcPr>
          <w:p w14:paraId="34B7C883" w14:textId="7E53D712" w:rsidR="00F51742" w:rsidRPr="007F3617" w:rsidRDefault="00F51742" w:rsidP="00F51742">
            <w:pPr>
              <w:pStyle w:val="Tablecontent"/>
              <w:ind w:left="113" w:right="113"/>
              <w:rPr>
                <w:i/>
              </w:rPr>
            </w:pPr>
            <w:r w:rsidRPr="007F3617">
              <w:rPr>
                <w:i/>
              </w:rPr>
              <w:t>Colius striatus</w:t>
            </w:r>
          </w:p>
        </w:tc>
        <w:tc>
          <w:tcPr>
            <w:tcW w:w="567" w:type="dxa"/>
            <w:textDirection w:val="btLr"/>
          </w:tcPr>
          <w:p w14:paraId="73DEB676" w14:textId="5B4C4948" w:rsidR="00F51742" w:rsidRPr="00BC30B0" w:rsidRDefault="00F51742" w:rsidP="00F51742">
            <w:pPr>
              <w:pStyle w:val="Tablecontent"/>
              <w:ind w:left="113" w:right="113"/>
            </w:pPr>
            <w:r w:rsidRPr="007F3617">
              <w:rPr>
                <w:i/>
              </w:rPr>
              <w:t>Columba livia</w:t>
            </w:r>
            <w:r w:rsidR="00BC30B0">
              <w:t xml:space="preserve"> *</w:t>
            </w:r>
          </w:p>
        </w:tc>
        <w:tc>
          <w:tcPr>
            <w:tcW w:w="567" w:type="dxa"/>
            <w:textDirection w:val="btLr"/>
          </w:tcPr>
          <w:p w14:paraId="422EC872" w14:textId="0D720AC9" w:rsidR="00F51742" w:rsidRPr="00BC30B0" w:rsidRDefault="00F51742" w:rsidP="00F51742">
            <w:pPr>
              <w:pStyle w:val="Tablecontent"/>
              <w:ind w:left="113" w:right="113"/>
            </w:pPr>
            <w:r w:rsidRPr="007F3617">
              <w:rPr>
                <w:i/>
              </w:rPr>
              <w:t>Corvus brachyrhynchos</w:t>
            </w:r>
            <w:r w:rsidR="00BC30B0">
              <w:t xml:space="preserve"> *</w:t>
            </w:r>
          </w:p>
        </w:tc>
        <w:tc>
          <w:tcPr>
            <w:tcW w:w="567" w:type="dxa"/>
            <w:textDirection w:val="btLr"/>
          </w:tcPr>
          <w:p w14:paraId="30E27490" w14:textId="06179EC1" w:rsidR="00F51742" w:rsidRPr="007F3617" w:rsidRDefault="00F51742" w:rsidP="00F51742">
            <w:pPr>
              <w:pStyle w:val="Tablecontent"/>
              <w:ind w:left="113" w:right="113"/>
              <w:rPr>
                <w:i/>
              </w:rPr>
            </w:pPr>
            <w:r w:rsidRPr="007F3617">
              <w:rPr>
                <w:i/>
              </w:rPr>
              <w:t>Corvus cornix cornix</w:t>
            </w:r>
          </w:p>
        </w:tc>
        <w:tc>
          <w:tcPr>
            <w:tcW w:w="567" w:type="dxa"/>
            <w:textDirection w:val="btLr"/>
          </w:tcPr>
          <w:p w14:paraId="58E9F38C" w14:textId="5331F6D4" w:rsidR="00F51742" w:rsidRPr="007F3617" w:rsidRDefault="00F51742" w:rsidP="00F51742">
            <w:pPr>
              <w:pStyle w:val="Tablecontent"/>
              <w:ind w:left="113" w:right="113"/>
              <w:rPr>
                <w:i/>
              </w:rPr>
            </w:pPr>
            <w:r w:rsidRPr="007F3617">
              <w:rPr>
                <w:i/>
              </w:rPr>
              <w:t>Coturnix japonica</w:t>
            </w:r>
          </w:p>
        </w:tc>
      </w:tr>
      <w:tr w:rsidR="00F51742" w14:paraId="74CE4042" w14:textId="77777777" w:rsidTr="00B97DB0">
        <w:trPr>
          <w:cantSplit/>
          <w:trHeight w:val="1408"/>
        </w:trPr>
        <w:tc>
          <w:tcPr>
            <w:tcW w:w="567" w:type="dxa"/>
            <w:textDirection w:val="btLr"/>
          </w:tcPr>
          <w:p w14:paraId="643D97B0" w14:textId="3E6127C7" w:rsidR="00F51742" w:rsidRDefault="00F51742" w:rsidP="00F51742">
            <w:pPr>
              <w:pStyle w:val="Tablecontent"/>
              <w:ind w:left="113" w:right="113"/>
              <w:jc w:val="center"/>
            </w:pPr>
            <w:r w:rsidRPr="00EA191A">
              <w:lastRenderedPageBreak/>
              <w:t>32,735</w:t>
            </w:r>
          </w:p>
        </w:tc>
        <w:tc>
          <w:tcPr>
            <w:tcW w:w="567" w:type="dxa"/>
            <w:textDirection w:val="btLr"/>
          </w:tcPr>
          <w:p w14:paraId="29F12736" w14:textId="303FD556" w:rsidR="00F51742" w:rsidRDefault="00F51742" w:rsidP="00F51742">
            <w:pPr>
              <w:pStyle w:val="Tablecontent"/>
              <w:ind w:left="113" w:right="113"/>
              <w:jc w:val="center"/>
            </w:pPr>
            <w:r w:rsidRPr="00EA191A">
              <w:t>38,137</w:t>
            </w:r>
          </w:p>
        </w:tc>
        <w:tc>
          <w:tcPr>
            <w:tcW w:w="567" w:type="dxa"/>
            <w:textDirection w:val="btLr"/>
          </w:tcPr>
          <w:p w14:paraId="237A0827" w14:textId="1BE80821" w:rsidR="00F51742" w:rsidRDefault="00F51742" w:rsidP="00F51742">
            <w:pPr>
              <w:pStyle w:val="Tablecontent"/>
              <w:ind w:left="113" w:right="113"/>
              <w:jc w:val="center"/>
            </w:pPr>
            <w:r w:rsidRPr="00EA191A">
              <w:t>29,019</w:t>
            </w:r>
          </w:p>
        </w:tc>
        <w:tc>
          <w:tcPr>
            <w:tcW w:w="567" w:type="dxa"/>
            <w:textDirection w:val="btLr"/>
          </w:tcPr>
          <w:p w14:paraId="1B97893A" w14:textId="2F8CA332" w:rsidR="00F51742" w:rsidRDefault="00F51742" w:rsidP="00F51742">
            <w:pPr>
              <w:pStyle w:val="Tablecontent"/>
              <w:ind w:left="113" w:right="113"/>
              <w:jc w:val="center"/>
            </w:pPr>
            <w:r w:rsidRPr="00EA191A">
              <w:t>24,402</w:t>
            </w:r>
          </w:p>
        </w:tc>
        <w:tc>
          <w:tcPr>
            <w:tcW w:w="567" w:type="dxa"/>
            <w:textDirection w:val="btLr"/>
          </w:tcPr>
          <w:p w14:paraId="1F782D5F" w14:textId="415D7A66" w:rsidR="00F51742" w:rsidRDefault="00F51742" w:rsidP="00F51742">
            <w:pPr>
              <w:pStyle w:val="Tablecontent"/>
              <w:ind w:left="113" w:right="113"/>
              <w:jc w:val="center"/>
            </w:pPr>
            <w:r w:rsidRPr="00EA191A">
              <w:t>31,327</w:t>
            </w:r>
          </w:p>
        </w:tc>
        <w:tc>
          <w:tcPr>
            <w:tcW w:w="567" w:type="dxa"/>
            <w:textDirection w:val="btLr"/>
          </w:tcPr>
          <w:p w14:paraId="60714AEF" w14:textId="3A2D6E9A" w:rsidR="00F51742" w:rsidRDefault="00F51742" w:rsidP="00F51742">
            <w:pPr>
              <w:pStyle w:val="Tablecontent"/>
              <w:ind w:left="113" w:right="113"/>
              <w:jc w:val="center"/>
            </w:pPr>
            <w:r w:rsidRPr="00EA191A">
              <w:t>28,645</w:t>
            </w:r>
          </w:p>
        </w:tc>
        <w:tc>
          <w:tcPr>
            <w:tcW w:w="567" w:type="dxa"/>
            <w:textDirection w:val="btLr"/>
          </w:tcPr>
          <w:p w14:paraId="7554A037" w14:textId="7BF8D1B9" w:rsidR="00F51742" w:rsidRDefault="00F51742" w:rsidP="00F51742">
            <w:pPr>
              <w:pStyle w:val="Tablecontent"/>
              <w:ind w:left="113" w:right="113"/>
              <w:jc w:val="center"/>
            </w:pPr>
            <w:r w:rsidRPr="00EA191A">
              <w:t>410,964</w:t>
            </w:r>
          </w:p>
        </w:tc>
        <w:tc>
          <w:tcPr>
            <w:tcW w:w="567" w:type="dxa"/>
            <w:textDirection w:val="btLr"/>
          </w:tcPr>
          <w:p w14:paraId="4A9365AD" w14:textId="1392A6DD" w:rsidR="00F51742" w:rsidRDefault="00F51742" w:rsidP="00F51742">
            <w:pPr>
              <w:pStyle w:val="Tablecontent"/>
              <w:ind w:left="113" w:right="113"/>
              <w:jc w:val="center"/>
            </w:pPr>
            <w:r w:rsidRPr="00EA191A">
              <w:t>25,926</w:t>
            </w:r>
          </w:p>
        </w:tc>
        <w:tc>
          <w:tcPr>
            <w:tcW w:w="567" w:type="dxa"/>
            <w:textDirection w:val="btLr"/>
          </w:tcPr>
          <w:p w14:paraId="13B075E4" w14:textId="7C181B1D" w:rsidR="00F51742" w:rsidRDefault="00F51742" w:rsidP="00F51742">
            <w:pPr>
              <w:pStyle w:val="Tablecontent"/>
              <w:ind w:left="113" w:right="113"/>
              <w:jc w:val="center"/>
            </w:pPr>
            <w:r w:rsidRPr="00EA191A">
              <w:t>24,321</w:t>
            </w:r>
          </w:p>
        </w:tc>
        <w:tc>
          <w:tcPr>
            <w:tcW w:w="567" w:type="dxa"/>
            <w:textDirection w:val="btLr"/>
          </w:tcPr>
          <w:p w14:paraId="73A76FB6" w14:textId="43D51588" w:rsidR="00F51742" w:rsidRDefault="00F51742" w:rsidP="00F51742">
            <w:pPr>
              <w:pStyle w:val="Tablecontent"/>
              <w:ind w:left="113" w:right="113"/>
              <w:jc w:val="center"/>
            </w:pPr>
            <w:r w:rsidRPr="00EA191A">
              <w:t>30,521</w:t>
            </w:r>
          </w:p>
        </w:tc>
        <w:tc>
          <w:tcPr>
            <w:tcW w:w="567" w:type="dxa"/>
            <w:textDirection w:val="btLr"/>
          </w:tcPr>
          <w:p w14:paraId="797588AF" w14:textId="60A7CEC2" w:rsidR="00F51742" w:rsidRDefault="00F51742" w:rsidP="00F51742">
            <w:pPr>
              <w:pStyle w:val="Tablecontent"/>
              <w:ind w:left="113" w:right="113"/>
              <w:jc w:val="center"/>
            </w:pPr>
            <w:r w:rsidRPr="00EA191A">
              <w:t>25,143</w:t>
            </w:r>
          </w:p>
        </w:tc>
        <w:tc>
          <w:tcPr>
            <w:tcW w:w="567" w:type="dxa"/>
            <w:textDirection w:val="btLr"/>
          </w:tcPr>
          <w:p w14:paraId="2D098D3F" w14:textId="20B3C5D7" w:rsidR="00F51742" w:rsidRDefault="00F51742" w:rsidP="00F51742">
            <w:pPr>
              <w:pStyle w:val="Tablecontent"/>
              <w:ind w:left="113" w:right="113"/>
              <w:jc w:val="center"/>
            </w:pPr>
            <w:r w:rsidRPr="00EA191A">
              <w:t>105,493</w:t>
            </w:r>
          </w:p>
        </w:tc>
        <w:tc>
          <w:tcPr>
            <w:tcW w:w="567" w:type="dxa"/>
            <w:textDirection w:val="btLr"/>
          </w:tcPr>
          <w:p w14:paraId="627C8479" w14:textId="2BB98905" w:rsidR="00F51742" w:rsidRDefault="00F51742" w:rsidP="00F51742">
            <w:pPr>
              <w:pStyle w:val="Tablecontent"/>
              <w:ind w:left="113" w:right="113"/>
              <w:jc w:val="center"/>
            </w:pPr>
            <w:r w:rsidRPr="00EA191A">
              <w:t>141,849</w:t>
            </w:r>
          </w:p>
        </w:tc>
        <w:tc>
          <w:tcPr>
            <w:tcW w:w="567" w:type="dxa"/>
            <w:textDirection w:val="btLr"/>
          </w:tcPr>
          <w:p w14:paraId="5DF306F3" w14:textId="07CA5C56" w:rsidR="00F51742" w:rsidRDefault="00F51742" w:rsidP="00F51742">
            <w:pPr>
              <w:pStyle w:val="Tablecontent"/>
              <w:ind w:left="113" w:right="113"/>
              <w:jc w:val="center"/>
            </w:pPr>
            <w:r w:rsidRPr="00EA191A">
              <w:t>24,735</w:t>
            </w:r>
          </w:p>
        </w:tc>
        <w:tc>
          <w:tcPr>
            <w:tcW w:w="567" w:type="dxa"/>
            <w:textDirection w:val="btLr"/>
          </w:tcPr>
          <w:p w14:paraId="4F5E6ED2" w14:textId="794508B6" w:rsidR="00F51742" w:rsidRDefault="00F51742" w:rsidP="00F51742">
            <w:pPr>
              <w:pStyle w:val="Tablecontent"/>
              <w:ind w:left="113" w:right="113"/>
              <w:jc w:val="center"/>
            </w:pPr>
            <w:r w:rsidRPr="00EA191A">
              <w:t>43,697</w:t>
            </w:r>
          </w:p>
        </w:tc>
      </w:tr>
      <w:tr w:rsidR="00F51742" w14:paraId="083BB090" w14:textId="77777777" w:rsidTr="00B97DB0">
        <w:trPr>
          <w:cantSplit/>
          <w:trHeight w:val="1555"/>
        </w:trPr>
        <w:tc>
          <w:tcPr>
            <w:tcW w:w="567" w:type="dxa"/>
            <w:textDirection w:val="btLr"/>
          </w:tcPr>
          <w:p w14:paraId="2784193E" w14:textId="686C142B" w:rsidR="00F51742" w:rsidRDefault="00F51742" w:rsidP="00F51742">
            <w:pPr>
              <w:pStyle w:val="Tablecontent"/>
              <w:ind w:left="113" w:right="113"/>
              <w:jc w:val="center"/>
            </w:pPr>
            <w:r w:rsidRPr="00EA191A">
              <w:t>204,532</w:t>
            </w:r>
          </w:p>
        </w:tc>
        <w:tc>
          <w:tcPr>
            <w:tcW w:w="567" w:type="dxa"/>
            <w:textDirection w:val="btLr"/>
          </w:tcPr>
          <w:p w14:paraId="11C91D58" w14:textId="154E9EC0" w:rsidR="00F51742" w:rsidRDefault="00F51742" w:rsidP="00F51742">
            <w:pPr>
              <w:pStyle w:val="Tablecontent"/>
              <w:ind w:left="113" w:right="113"/>
              <w:jc w:val="center"/>
            </w:pPr>
            <w:r w:rsidRPr="00EA191A">
              <w:t>2,989,832</w:t>
            </w:r>
          </w:p>
        </w:tc>
        <w:tc>
          <w:tcPr>
            <w:tcW w:w="567" w:type="dxa"/>
            <w:textDirection w:val="btLr"/>
          </w:tcPr>
          <w:p w14:paraId="6B7766D3" w14:textId="042CD929" w:rsidR="00F51742" w:rsidRDefault="00F51742" w:rsidP="00F51742">
            <w:pPr>
              <w:pStyle w:val="Tablecontent"/>
              <w:ind w:left="113" w:right="113"/>
              <w:jc w:val="center"/>
            </w:pPr>
            <w:r w:rsidRPr="00EA191A">
              <w:t>3,067,157</w:t>
            </w:r>
          </w:p>
        </w:tc>
        <w:tc>
          <w:tcPr>
            <w:tcW w:w="567" w:type="dxa"/>
            <w:textDirection w:val="btLr"/>
          </w:tcPr>
          <w:p w14:paraId="5EB08CC9" w14:textId="4793B038" w:rsidR="00F51742" w:rsidRDefault="00F51742" w:rsidP="00F51742">
            <w:pPr>
              <w:pStyle w:val="Tablecontent"/>
              <w:ind w:left="113" w:right="113"/>
              <w:jc w:val="center"/>
            </w:pPr>
            <w:r w:rsidRPr="00EA191A">
              <w:t>47,243</w:t>
            </w:r>
          </w:p>
        </w:tc>
        <w:tc>
          <w:tcPr>
            <w:tcW w:w="567" w:type="dxa"/>
            <w:textDirection w:val="btLr"/>
          </w:tcPr>
          <w:p w14:paraId="3615D6A8" w14:textId="07DC2246" w:rsidR="00F51742" w:rsidRDefault="00F51742" w:rsidP="00F51742">
            <w:pPr>
              <w:pStyle w:val="Tablecontent"/>
              <w:ind w:left="113" w:right="113"/>
              <w:jc w:val="center"/>
            </w:pPr>
            <w:r w:rsidRPr="00EA191A">
              <w:t>4,154,532</w:t>
            </w:r>
          </w:p>
        </w:tc>
        <w:tc>
          <w:tcPr>
            <w:tcW w:w="567" w:type="dxa"/>
            <w:textDirection w:val="btLr"/>
          </w:tcPr>
          <w:p w14:paraId="7ED8CA7D" w14:textId="231B8750" w:rsidR="00F51742" w:rsidRDefault="00F51742" w:rsidP="00F51742">
            <w:pPr>
              <w:pStyle w:val="Tablecontent"/>
              <w:ind w:left="113" w:right="113"/>
              <w:jc w:val="center"/>
            </w:pPr>
            <w:r w:rsidRPr="00EA191A">
              <w:t>3,935,757</w:t>
            </w:r>
          </w:p>
        </w:tc>
        <w:tc>
          <w:tcPr>
            <w:tcW w:w="567" w:type="dxa"/>
            <w:textDirection w:val="btLr"/>
          </w:tcPr>
          <w:p w14:paraId="5DDD06FC" w14:textId="7222BE28" w:rsidR="00F51742" w:rsidRDefault="00F51742" w:rsidP="00F51742">
            <w:pPr>
              <w:pStyle w:val="Tablecontent"/>
              <w:ind w:left="113" w:right="113"/>
              <w:jc w:val="center"/>
            </w:pPr>
            <w:r w:rsidRPr="00EA191A">
              <w:t>6,542,656</w:t>
            </w:r>
          </w:p>
        </w:tc>
        <w:tc>
          <w:tcPr>
            <w:tcW w:w="567" w:type="dxa"/>
            <w:textDirection w:val="btLr"/>
          </w:tcPr>
          <w:p w14:paraId="0361C8D8" w14:textId="39E60A47" w:rsidR="00F51742" w:rsidRDefault="00F51742" w:rsidP="00F51742">
            <w:pPr>
              <w:pStyle w:val="Tablecontent"/>
              <w:ind w:left="113" w:right="113"/>
              <w:jc w:val="center"/>
            </w:pPr>
            <w:r w:rsidRPr="00EA191A">
              <w:t>47,208</w:t>
            </w:r>
          </w:p>
        </w:tc>
        <w:tc>
          <w:tcPr>
            <w:tcW w:w="567" w:type="dxa"/>
            <w:textDirection w:val="btLr"/>
          </w:tcPr>
          <w:p w14:paraId="5962AB08" w14:textId="49252879" w:rsidR="00F51742" w:rsidRDefault="00F51742" w:rsidP="00F51742">
            <w:pPr>
              <w:pStyle w:val="Tablecontent"/>
              <w:ind w:left="113" w:right="113"/>
              <w:jc w:val="center"/>
            </w:pPr>
            <w:r w:rsidRPr="00EA191A">
              <w:t>45,523</w:t>
            </w:r>
          </w:p>
        </w:tc>
        <w:tc>
          <w:tcPr>
            <w:tcW w:w="567" w:type="dxa"/>
            <w:textDirection w:val="btLr"/>
          </w:tcPr>
          <w:p w14:paraId="39484453" w14:textId="318E8C44" w:rsidR="00F51742" w:rsidRDefault="00F51742" w:rsidP="00F51742">
            <w:pPr>
              <w:pStyle w:val="Tablecontent"/>
              <w:ind w:left="113" w:right="113"/>
              <w:jc w:val="center"/>
            </w:pPr>
            <w:r w:rsidRPr="00EA191A">
              <w:t>5,255,844</w:t>
            </w:r>
          </w:p>
        </w:tc>
        <w:tc>
          <w:tcPr>
            <w:tcW w:w="567" w:type="dxa"/>
            <w:textDirection w:val="btLr"/>
          </w:tcPr>
          <w:p w14:paraId="2471E5A4" w14:textId="44A7CC2B" w:rsidR="00F51742" w:rsidRDefault="00F51742" w:rsidP="00F51742">
            <w:pPr>
              <w:pStyle w:val="Tablecontent"/>
              <w:ind w:left="113" w:right="113"/>
              <w:jc w:val="center"/>
            </w:pPr>
            <w:r w:rsidRPr="00EA191A">
              <w:t>57,319</w:t>
            </w:r>
          </w:p>
        </w:tc>
        <w:tc>
          <w:tcPr>
            <w:tcW w:w="567" w:type="dxa"/>
            <w:textDirection w:val="btLr"/>
          </w:tcPr>
          <w:p w14:paraId="408394FA" w14:textId="745061B0" w:rsidR="00F51742" w:rsidRDefault="00F51742" w:rsidP="00F51742">
            <w:pPr>
              <w:pStyle w:val="Tablecontent"/>
              <w:ind w:left="113" w:right="113"/>
              <w:jc w:val="center"/>
            </w:pPr>
            <w:r w:rsidRPr="00EA191A">
              <w:t>9,145,499</w:t>
            </w:r>
          </w:p>
        </w:tc>
        <w:tc>
          <w:tcPr>
            <w:tcW w:w="567" w:type="dxa"/>
            <w:textDirection w:val="btLr"/>
          </w:tcPr>
          <w:p w14:paraId="12F710D7" w14:textId="4AC0957F" w:rsidR="00F51742" w:rsidRDefault="00F51742" w:rsidP="00F51742">
            <w:pPr>
              <w:pStyle w:val="Tablecontent"/>
              <w:ind w:left="113" w:right="113"/>
              <w:jc w:val="center"/>
            </w:pPr>
            <w:r w:rsidRPr="00EA191A">
              <w:t>4,972,619</w:t>
            </w:r>
          </w:p>
        </w:tc>
        <w:tc>
          <w:tcPr>
            <w:tcW w:w="567" w:type="dxa"/>
            <w:textDirection w:val="btLr"/>
          </w:tcPr>
          <w:p w14:paraId="2B4DCFAA" w14:textId="59340D04" w:rsidR="00F51742" w:rsidRDefault="00F51742" w:rsidP="00F51742">
            <w:pPr>
              <w:pStyle w:val="Tablecontent"/>
              <w:ind w:left="113" w:right="113"/>
              <w:jc w:val="center"/>
            </w:pPr>
            <w:r w:rsidRPr="00EA191A">
              <w:t>62,640</w:t>
            </w:r>
          </w:p>
        </w:tc>
        <w:tc>
          <w:tcPr>
            <w:tcW w:w="567" w:type="dxa"/>
            <w:textDirection w:val="btLr"/>
          </w:tcPr>
          <w:p w14:paraId="63247224" w14:textId="3CE4312A" w:rsidR="00F51742" w:rsidRDefault="00F51742" w:rsidP="00F51742">
            <w:pPr>
              <w:pStyle w:val="Tablecontent"/>
              <w:ind w:left="113" w:right="113"/>
              <w:jc w:val="center"/>
            </w:pPr>
            <w:r w:rsidRPr="00EA191A">
              <w:t>2,558,866</w:t>
            </w:r>
          </w:p>
        </w:tc>
      </w:tr>
      <w:tr w:rsidR="00F51742" w14:paraId="54984D16" w14:textId="77777777" w:rsidTr="00B97DB0">
        <w:trPr>
          <w:cantSplit/>
          <w:trHeight w:val="1961"/>
        </w:trPr>
        <w:tc>
          <w:tcPr>
            <w:tcW w:w="567" w:type="dxa"/>
            <w:textDirection w:val="btLr"/>
          </w:tcPr>
          <w:p w14:paraId="74F143D9" w14:textId="193EE284" w:rsidR="00F51742" w:rsidRDefault="00F51742" w:rsidP="00F51742">
            <w:pPr>
              <w:pStyle w:val="Tablecontent"/>
              <w:ind w:left="113" w:right="113"/>
              <w:jc w:val="center"/>
            </w:pPr>
            <w:r w:rsidRPr="00EA191A">
              <w:t>2,120,573,303</w:t>
            </w:r>
          </w:p>
        </w:tc>
        <w:tc>
          <w:tcPr>
            <w:tcW w:w="567" w:type="dxa"/>
            <w:textDirection w:val="btLr"/>
          </w:tcPr>
          <w:p w14:paraId="66C4DD3B" w14:textId="1C8495A8" w:rsidR="00F51742" w:rsidRDefault="00F51742" w:rsidP="00F51742">
            <w:pPr>
              <w:pStyle w:val="Tablecontent"/>
              <w:ind w:left="113" w:right="113"/>
              <w:jc w:val="center"/>
            </w:pPr>
            <w:r w:rsidRPr="00EA191A">
              <w:t>1,153,894,225</w:t>
            </w:r>
          </w:p>
        </w:tc>
        <w:tc>
          <w:tcPr>
            <w:tcW w:w="567" w:type="dxa"/>
            <w:textDirection w:val="btLr"/>
          </w:tcPr>
          <w:p w14:paraId="296814F3" w14:textId="256E0E3F" w:rsidR="00F51742" w:rsidRDefault="00F51742" w:rsidP="00F51742">
            <w:pPr>
              <w:pStyle w:val="Tablecontent"/>
              <w:ind w:left="113" w:right="113"/>
              <w:jc w:val="center"/>
            </w:pPr>
            <w:r w:rsidRPr="00EA191A">
              <w:t>1,206,501,934</w:t>
            </w:r>
          </w:p>
        </w:tc>
        <w:tc>
          <w:tcPr>
            <w:tcW w:w="567" w:type="dxa"/>
            <w:textDirection w:val="btLr"/>
          </w:tcPr>
          <w:p w14:paraId="18F87310" w14:textId="0A2553EB" w:rsidR="00F51742" w:rsidRDefault="00F51742" w:rsidP="00F51742">
            <w:pPr>
              <w:pStyle w:val="Tablecontent"/>
              <w:ind w:left="113" w:right="113"/>
              <w:jc w:val="center"/>
            </w:pPr>
            <w:r w:rsidRPr="00EA191A">
              <w:t>1,088,019,637</w:t>
            </w:r>
          </w:p>
        </w:tc>
        <w:tc>
          <w:tcPr>
            <w:tcW w:w="567" w:type="dxa"/>
            <w:textDirection w:val="btLr"/>
          </w:tcPr>
          <w:p w14:paraId="0E62FCEA" w14:textId="5511075B" w:rsidR="00F51742" w:rsidRDefault="00F51742" w:rsidP="00F51742">
            <w:pPr>
              <w:pStyle w:val="Tablecontent"/>
              <w:ind w:left="113" w:right="113"/>
              <w:jc w:val="center"/>
            </w:pPr>
            <w:r w:rsidRPr="00EA191A">
              <w:t>1,174,811,715</w:t>
            </w:r>
          </w:p>
        </w:tc>
        <w:tc>
          <w:tcPr>
            <w:tcW w:w="567" w:type="dxa"/>
            <w:textDirection w:val="btLr"/>
          </w:tcPr>
          <w:p w14:paraId="068D5728" w14:textId="0954159D" w:rsidR="00F51742" w:rsidRDefault="00F51742" w:rsidP="00F51742">
            <w:pPr>
              <w:pStyle w:val="Tablecontent"/>
              <w:ind w:left="113" w:right="113"/>
              <w:jc w:val="center"/>
            </w:pPr>
            <w:r w:rsidRPr="00EA191A">
              <w:t>1,171,973,431</w:t>
            </w:r>
          </w:p>
        </w:tc>
        <w:tc>
          <w:tcPr>
            <w:tcW w:w="567" w:type="dxa"/>
            <w:textDirection w:val="btLr"/>
          </w:tcPr>
          <w:p w14:paraId="77554B35" w14:textId="79CDDC8F" w:rsidR="00F51742" w:rsidRDefault="00F51742" w:rsidP="00F51742">
            <w:pPr>
              <w:pStyle w:val="Tablecontent"/>
              <w:ind w:left="113" w:right="113"/>
              <w:jc w:val="center"/>
            </w:pPr>
            <w:r w:rsidRPr="00EA191A">
              <w:t>1,118,343,587</w:t>
            </w:r>
          </w:p>
        </w:tc>
        <w:tc>
          <w:tcPr>
            <w:tcW w:w="567" w:type="dxa"/>
            <w:textDirection w:val="btLr"/>
          </w:tcPr>
          <w:p w14:paraId="1E331A81" w14:textId="69934073" w:rsidR="00F51742" w:rsidRDefault="00F51742" w:rsidP="00F51742">
            <w:pPr>
              <w:pStyle w:val="Tablecontent"/>
              <w:ind w:left="113" w:right="113"/>
              <w:jc w:val="center"/>
            </w:pPr>
            <w:r w:rsidRPr="00EA191A">
              <w:t>1,141,395,646</w:t>
            </w:r>
          </w:p>
        </w:tc>
        <w:tc>
          <w:tcPr>
            <w:tcW w:w="567" w:type="dxa"/>
            <w:textDirection w:val="btLr"/>
          </w:tcPr>
          <w:p w14:paraId="298C9038" w14:textId="511C6833" w:rsidR="00F51742" w:rsidRDefault="00F51742" w:rsidP="00F51742">
            <w:pPr>
              <w:pStyle w:val="Tablecontent"/>
              <w:ind w:left="113" w:right="113"/>
              <w:jc w:val="center"/>
            </w:pPr>
            <w:r w:rsidRPr="00EA191A">
              <w:t>1,129,694,867</w:t>
            </w:r>
          </w:p>
        </w:tc>
        <w:tc>
          <w:tcPr>
            <w:tcW w:w="567" w:type="dxa"/>
            <w:textDirection w:val="btLr"/>
          </w:tcPr>
          <w:p w14:paraId="10858784" w14:textId="49D63FFF" w:rsidR="00F51742" w:rsidRDefault="00F51742" w:rsidP="00F51742">
            <w:pPr>
              <w:pStyle w:val="Tablecontent"/>
              <w:ind w:left="113" w:right="113"/>
              <w:jc w:val="center"/>
            </w:pPr>
            <w:r w:rsidRPr="00EA191A">
              <w:t>1,065,292,181</w:t>
            </w:r>
          </w:p>
        </w:tc>
        <w:tc>
          <w:tcPr>
            <w:tcW w:w="567" w:type="dxa"/>
            <w:textDirection w:val="btLr"/>
          </w:tcPr>
          <w:p w14:paraId="6DAC9E41" w14:textId="3B6200D0" w:rsidR="00F51742" w:rsidRDefault="00F51742" w:rsidP="00F51742">
            <w:pPr>
              <w:pStyle w:val="Tablecontent"/>
              <w:ind w:left="113" w:right="113"/>
              <w:jc w:val="center"/>
            </w:pPr>
            <w:r w:rsidRPr="00EA191A">
              <w:t>1,133,549,865</w:t>
            </w:r>
          </w:p>
        </w:tc>
        <w:tc>
          <w:tcPr>
            <w:tcW w:w="567" w:type="dxa"/>
            <w:textDirection w:val="btLr"/>
          </w:tcPr>
          <w:p w14:paraId="12401283" w14:textId="39C609F9" w:rsidR="00F51742" w:rsidRDefault="00F51742" w:rsidP="00F51742">
            <w:pPr>
              <w:pStyle w:val="Tablecontent"/>
              <w:ind w:left="113" w:right="113"/>
              <w:jc w:val="center"/>
            </w:pPr>
            <w:r w:rsidRPr="00EA191A">
              <w:t>1,178,409,481</w:t>
            </w:r>
          </w:p>
        </w:tc>
        <w:tc>
          <w:tcPr>
            <w:tcW w:w="567" w:type="dxa"/>
            <w:textDirection w:val="btLr"/>
          </w:tcPr>
          <w:p w14:paraId="3F12D879" w14:textId="7D796A33" w:rsidR="00F51742" w:rsidRDefault="00F51742" w:rsidP="00F51742">
            <w:pPr>
              <w:pStyle w:val="Tablecontent"/>
              <w:ind w:left="113" w:right="113"/>
              <w:jc w:val="center"/>
            </w:pPr>
            <w:r w:rsidRPr="00EA191A">
              <w:t>1,079,577,334</w:t>
            </w:r>
          </w:p>
        </w:tc>
        <w:tc>
          <w:tcPr>
            <w:tcW w:w="567" w:type="dxa"/>
            <w:textDirection w:val="btLr"/>
          </w:tcPr>
          <w:p w14:paraId="51076C3A" w14:textId="35EC1114" w:rsidR="00F51742" w:rsidRDefault="00F51742" w:rsidP="00F51742">
            <w:pPr>
              <w:pStyle w:val="Tablecontent"/>
              <w:ind w:left="113" w:right="113"/>
              <w:jc w:val="center"/>
            </w:pPr>
            <w:r w:rsidRPr="00EA191A">
              <w:t>1,136,244,952</w:t>
            </w:r>
          </w:p>
        </w:tc>
        <w:tc>
          <w:tcPr>
            <w:tcW w:w="567" w:type="dxa"/>
            <w:textDirection w:val="btLr"/>
          </w:tcPr>
          <w:p w14:paraId="24CFD7D8" w14:textId="3C57EB22" w:rsidR="00F51742" w:rsidRDefault="00F51742" w:rsidP="00F51742">
            <w:pPr>
              <w:pStyle w:val="Tablecontent"/>
              <w:ind w:left="113" w:right="113"/>
              <w:jc w:val="center"/>
            </w:pPr>
            <w:r w:rsidRPr="00EA191A">
              <w:t>1,145,854,002</w:t>
            </w:r>
          </w:p>
        </w:tc>
      </w:tr>
      <w:tr w:rsidR="00F51742" w14:paraId="60D6163F" w14:textId="77777777" w:rsidTr="00B97DB0">
        <w:trPr>
          <w:cantSplit/>
          <w:trHeight w:val="2258"/>
        </w:trPr>
        <w:tc>
          <w:tcPr>
            <w:tcW w:w="567" w:type="dxa"/>
            <w:textDirection w:val="btLr"/>
          </w:tcPr>
          <w:p w14:paraId="71D23A1A" w14:textId="13E43A0A" w:rsidR="00F51742" w:rsidRDefault="00F51742" w:rsidP="00F51742">
            <w:pPr>
              <w:pStyle w:val="Tablecontent"/>
              <w:ind w:left="113" w:right="113"/>
              <w:jc w:val="center"/>
            </w:pPr>
            <w:r w:rsidRPr="00EA191A">
              <w:t>GCA_000768395.1</w:t>
            </w:r>
          </w:p>
        </w:tc>
        <w:tc>
          <w:tcPr>
            <w:tcW w:w="567" w:type="dxa"/>
            <w:textDirection w:val="btLr"/>
          </w:tcPr>
          <w:p w14:paraId="290BF3FA" w14:textId="35935E6F" w:rsidR="00F51742" w:rsidRDefault="00F51742" w:rsidP="00F51742">
            <w:pPr>
              <w:pStyle w:val="Tablecontent"/>
              <w:ind w:left="113" w:right="113"/>
              <w:jc w:val="center"/>
            </w:pPr>
            <w:r w:rsidRPr="00EA191A">
              <w:t>GCF_000709325.1</w:t>
            </w:r>
          </w:p>
        </w:tc>
        <w:tc>
          <w:tcPr>
            <w:tcW w:w="567" w:type="dxa"/>
            <w:textDirection w:val="btLr"/>
          </w:tcPr>
          <w:p w14:paraId="4A9B9377" w14:textId="719AA921" w:rsidR="00F51742" w:rsidRDefault="00F51742" w:rsidP="00F51742">
            <w:pPr>
              <w:pStyle w:val="Tablecontent"/>
              <w:ind w:left="113" w:right="113"/>
              <w:jc w:val="center"/>
            </w:pPr>
            <w:r w:rsidRPr="00EA191A">
              <w:t>GCF_000687185.1</w:t>
            </w:r>
          </w:p>
        </w:tc>
        <w:tc>
          <w:tcPr>
            <w:tcW w:w="567" w:type="dxa"/>
            <w:textDirection w:val="btLr"/>
          </w:tcPr>
          <w:p w14:paraId="4D75074F" w14:textId="55574AE7" w:rsidR="00F51742" w:rsidRDefault="00F51742" w:rsidP="00F51742">
            <w:pPr>
              <w:pStyle w:val="Tablecontent"/>
              <w:ind w:left="113" w:right="113"/>
              <w:jc w:val="center"/>
            </w:pPr>
            <w:r w:rsidRPr="00EA191A">
              <w:t>GCF_000690775.1</w:t>
            </w:r>
          </w:p>
        </w:tc>
        <w:tc>
          <w:tcPr>
            <w:tcW w:w="567" w:type="dxa"/>
            <w:textDirection w:val="btLr"/>
          </w:tcPr>
          <w:p w14:paraId="1DA63BB1" w14:textId="10E159C3" w:rsidR="00F51742" w:rsidRDefault="00F51742" w:rsidP="00F51742">
            <w:pPr>
              <w:pStyle w:val="Tablecontent"/>
              <w:ind w:left="113" w:right="113"/>
              <w:jc w:val="center"/>
            </w:pPr>
            <w:r w:rsidRPr="00EA191A">
              <w:t>GCF_000337975.1</w:t>
            </w:r>
          </w:p>
        </w:tc>
        <w:tc>
          <w:tcPr>
            <w:tcW w:w="567" w:type="dxa"/>
            <w:textDirection w:val="btLr"/>
          </w:tcPr>
          <w:p w14:paraId="0D4CAE8D" w14:textId="303D3926" w:rsidR="00F51742" w:rsidRDefault="00F51742" w:rsidP="00F51742">
            <w:pPr>
              <w:pStyle w:val="Tablecontent"/>
              <w:ind w:left="113" w:right="113"/>
              <w:jc w:val="center"/>
            </w:pPr>
            <w:r w:rsidRPr="00EA191A">
              <w:t>GCF_000337955.1</w:t>
            </w:r>
          </w:p>
        </w:tc>
        <w:tc>
          <w:tcPr>
            <w:tcW w:w="567" w:type="dxa"/>
            <w:textDirection w:val="btLr"/>
          </w:tcPr>
          <w:p w14:paraId="51D10202" w14:textId="37C64032" w:rsidR="00F51742" w:rsidRDefault="00F51742" w:rsidP="00F51742">
            <w:pPr>
              <w:pStyle w:val="Tablecontent"/>
              <w:ind w:left="113" w:right="113"/>
              <w:jc w:val="center"/>
            </w:pPr>
            <w:r w:rsidRPr="00EA191A">
              <w:t>GCF_000247815.1</w:t>
            </w:r>
          </w:p>
        </w:tc>
        <w:tc>
          <w:tcPr>
            <w:tcW w:w="567" w:type="dxa"/>
            <w:textDirection w:val="btLr"/>
          </w:tcPr>
          <w:p w14:paraId="5A46D5B3" w14:textId="4B998C64" w:rsidR="00F51742" w:rsidRDefault="00F51742" w:rsidP="00F51742">
            <w:pPr>
              <w:pStyle w:val="Tablecontent"/>
              <w:ind w:left="113" w:right="113"/>
              <w:jc w:val="center"/>
            </w:pPr>
            <w:r w:rsidRPr="00EA191A">
              <w:t>GCF_000690835.1</w:t>
            </w:r>
          </w:p>
        </w:tc>
        <w:tc>
          <w:tcPr>
            <w:tcW w:w="567" w:type="dxa"/>
            <w:textDirection w:val="btLr"/>
          </w:tcPr>
          <w:p w14:paraId="6A811F19" w14:textId="5CABA414" w:rsidR="00F51742" w:rsidRDefault="00F51742" w:rsidP="00F51742">
            <w:pPr>
              <w:pStyle w:val="Tablecontent"/>
              <w:ind w:left="113" w:right="113"/>
              <w:jc w:val="center"/>
            </w:pPr>
            <w:r w:rsidRPr="00EA191A">
              <w:t>GCF_000690875.1</w:t>
            </w:r>
          </w:p>
        </w:tc>
        <w:tc>
          <w:tcPr>
            <w:tcW w:w="567" w:type="dxa"/>
            <w:textDirection w:val="btLr"/>
          </w:tcPr>
          <w:p w14:paraId="7692F193" w14:textId="3FC2859B" w:rsidR="00F51742" w:rsidRDefault="00F51742" w:rsidP="00F51742">
            <w:pPr>
              <w:pStyle w:val="Tablecontent"/>
              <w:ind w:left="113" w:right="113"/>
              <w:jc w:val="center"/>
            </w:pPr>
            <w:r w:rsidRPr="00EA191A">
              <w:t>GCF_000277835.1</w:t>
            </w:r>
          </w:p>
        </w:tc>
        <w:tc>
          <w:tcPr>
            <w:tcW w:w="567" w:type="dxa"/>
            <w:textDirection w:val="btLr"/>
          </w:tcPr>
          <w:p w14:paraId="7E4A7907" w14:textId="248C6C31" w:rsidR="00F51742" w:rsidRDefault="00F51742" w:rsidP="00F51742">
            <w:pPr>
              <w:pStyle w:val="Tablecontent"/>
              <w:ind w:left="113" w:right="113"/>
              <w:jc w:val="center"/>
            </w:pPr>
            <w:r w:rsidRPr="00EA191A">
              <w:t>GCF_000691405.1</w:t>
            </w:r>
          </w:p>
        </w:tc>
        <w:tc>
          <w:tcPr>
            <w:tcW w:w="567" w:type="dxa"/>
            <w:textDirection w:val="btLr"/>
          </w:tcPr>
          <w:p w14:paraId="0A11FFA7" w14:textId="3A1F6852" w:rsidR="00F51742" w:rsidRDefault="00F51742" w:rsidP="00F51742">
            <w:pPr>
              <w:pStyle w:val="Tablecontent"/>
              <w:ind w:left="113" w:right="113"/>
              <w:jc w:val="center"/>
            </w:pPr>
            <w:r w:rsidRPr="00EA191A">
              <w:t>GCF_000737465.1</w:t>
            </w:r>
          </w:p>
        </w:tc>
        <w:tc>
          <w:tcPr>
            <w:tcW w:w="567" w:type="dxa"/>
            <w:textDirection w:val="btLr"/>
          </w:tcPr>
          <w:p w14:paraId="6F8951C1" w14:textId="61F1E76E" w:rsidR="00F51742" w:rsidRDefault="00F51742" w:rsidP="00F51742">
            <w:pPr>
              <w:pStyle w:val="Tablecontent"/>
              <w:ind w:left="113" w:right="113"/>
              <w:jc w:val="center"/>
            </w:pPr>
            <w:r w:rsidRPr="00EA191A">
              <w:t>GCA_001604755.1</w:t>
            </w:r>
          </w:p>
        </w:tc>
        <w:tc>
          <w:tcPr>
            <w:tcW w:w="567" w:type="dxa"/>
            <w:textDirection w:val="btLr"/>
          </w:tcPr>
          <w:p w14:paraId="021239C6" w14:textId="18485868" w:rsidR="00F51742" w:rsidRDefault="00F51742" w:rsidP="00F51742">
            <w:pPr>
              <w:pStyle w:val="Tablecontent"/>
              <w:ind w:left="113" w:right="113"/>
              <w:jc w:val="center"/>
            </w:pPr>
            <w:r w:rsidRPr="00EA191A">
              <w:t>GCF_000691785.1</w:t>
            </w:r>
          </w:p>
        </w:tc>
        <w:tc>
          <w:tcPr>
            <w:tcW w:w="567" w:type="dxa"/>
            <w:textDirection w:val="btLr"/>
          </w:tcPr>
          <w:p w14:paraId="103F20B2" w14:textId="2A744169" w:rsidR="00F51742" w:rsidRDefault="00F51742" w:rsidP="00F51742">
            <w:pPr>
              <w:pStyle w:val="Tablecontent"/>
              <w:ind w:left="113" w:right="113"/>
              <w:jc w:val="center"/>
            </w:pPr>
            <w:r w:rsidRPr="00EA191A">
              <w:t>GCF_000692015.1</w:t>
            </w:r>
          </w:p>
        </w:tc>
      </w:tr>
      <w:tr w:rsidR="00F51742" w14:paraId="4C6E4C7B" w14:textId="77777777" w:rsidTr="00B97DB0">
        <w:trPr>
          <w:cantSplit/>
          <w:trHeight w:val="2968"/>
        </w:trPr>
        <w:tc>
          <w:tcPr>
            <w:tcW w:w="567" w:type="dxa"/>
            <w:textDirection w:val="btLr"/>
          </w:tcPr>
          <w:p w14:paraId="1020479B" w14:textId="48FE1264" w:rsidR="00F51742" w:rsidRDefault="00F51742" w:rsidP="00F51742">
            <w:pPr>
              <w:pStyle w:val="Tablecontent"/>
              <w:ind w:left="113" w:right="113"/>
            </w:pPr>
            <w:r w:rsidRPr="00EA191A">
              <w:t>Australian saltwater crocodile</w:t>
            </w:r>
          </w:p>
        </w:tc>
        <w:tc>
          <w:tcPr>
            <w:tcW w:w="567" w:type="dxa"/>
            <w:textDirection w:val="btLr"/>
          </w:tcPr>
          <w:p w14:paraId="4167BB2F" w14:textId="56145779" w:rsidR="00F51742" w:rsidRDefault="00F51742" w:rsidP="00F51742">
            <w:pPr>
              <w:pStyle w:val="Tablecontent"/>
              <w:ind w:left="113" w:right="113"/>
            </w:pPr>
            <w:r w:rsidRPr="00EA191A">
              <w:t>Common cuckoo</w:t>
            </w:r>
          </w:p>
        </w:tc>
        <w:tc>
          <w:tcPr>
            <w:tcW w:w="567" w:type="dxa"/>
            <w:textDirection w:val="btLr"/>
          </w:tcPr>
          <w:p w14:paraId="4384C48E" w14:textId="656CB24B" w:rsidR="00F51742" w:rsidRDefault="00F51742" w:rsidP="00F51742">
            <w:pPr>
              <w:pStyle w:val="Tablecontent"/>
              <w:ind w:left="113" w:right="113"/>
            </w:pPr>
            <w:r w:rsidRPr="00EA191A">
              <w:t>Little egret</w:t>
            </w:r>
          </w:p>
        </w:tc>
        <w:tc>
          <w:tcPr>
            <w:tcW w:w="567" w:type="dxa"/>
            <w:textDirection w:val="btLr"/>
          </w:tcPr>
          <w:p w14:paraId="57754431" w14:textId="1600D252" w:rsidR="00F51742" w:rsidRDefault="00F51742" w:rsidP="00F51742">
            <w:pPr>
              <w:pStyle w:val="Tablecontent"/>
              <w:ind w:left="113" w:right="113"/>
            </w:pPr>
            <w:r w:rsidRPr="00EA191A">
              <w:t>Sunbittern</w:t>
            </w:r>
          </w:p>
        </w:tc>
        <w:tc>
          <w:tcPr>
            <w:tcW w:w="567" w:type="dxa"/>
            <w:textDirection w:val="btLr"/>
          </w:tcPr>
          <w:p w14:paraId="48C5E604" w14:textId="38915CEB" w:rsidR="00F51742" w:rsidRDefault="00F51742" w:rsidP="00F51742">
            <w:pPr>
              <w:pStyle w:val="Tablecontent"/>
              <w:ind w:left="113" w:right="113"/>
            </w:pPr>
            <w:r w:rsidRPr="00EA191A">
              <w:t>Saker falcon</w:t>
            </w:r>
          </w:p>
        </w:tc>
        <w:tc>
          <w:tcPr>
            <w:tcW w:w="567" w:type="dxa"/>
            <w:textDirection w:val="btLr"/>
          </w:tcPr>
          <w:p w14:paraId="6B15F59A" w14:textId="3BA68800" w:rsidR="00F51742" w:rsidRDefault="00F51742" w:rsidP="00F51742">
            <w:pPr>
              <w:pStyle w:val="Tablecontent"/>
              <w:ind w:left="113" w:right="113"/>
            </w:pPr>
            <w:r w:rsidRPr="00EA191A">
              <w:t>Peregrine falcon</w:t>
            </w:r>
          </w:p>
        </w:tc>
        <w:tc>
          <w:tcPr>
            <w:tcW w:w="567" w:type="dxa"/>
            <w:textDirection w:val="btLr"/>
          </w:tcPr>
          <w:p w14:paraId="447C0018" w14:textId="7EBC3FAA" w:rsidR="00F51742" w:rsidRDefault="00F51742" w:rsidP="00F51742">
            <w:pPr>
              <w:pStyle w:val="Tablecontent"/>
              <w:ind w:left="113" w:right="113"/>
            </w:pPr>
            <w:r w:rsidRPr="00EA191A">
              <w:t>Collared flycatcher</w:t>
            </w:r>
          </w:p>
        </w:tc>
        <w:tc>
          <w:tcPr>
            <w:tcW w:w="567" w:type="dxa"/>
            <w:textDirection w:val="btLr"/>
          </w:tcPr>
          <w:p w14:paraId="641C68F7" w14:textId="16E34A88" w:rsidR="00F51742" w:rsidRDefault="00F51742" w:rsidP="00F51742">
            <w:pPr>
              <w:pStyle w:val="Tablecontent"/>
              <w:ind w:left="113" w:right="113"/>
            </w:pPr>
            <w:r w:rsidRPr="00EA191A">
              <w:t>Northern fulmar</w:t>
            </w:r>
          </w:p>
        </w:tc>
        <w:tc>
          <w:tcPr>
            <w:tcW w:w="567" w:type="dxa"/>
            <w:textDirection w:val="btLr"/>
          </w:tcPr>
          <w:p w14:paraId="30F3BA2D" w14:textId="28AEFAEE" w:rsidR="00F51742" w:rsidRDefault="00F51742" w:rsidP="00F51742">
            <w:pPr>
              <w:pStyle w:val="Tablecontent"/>
              <w:ind w:left="113" w:right="113"/>
            </w:pPr>
            <w:r w:rsidRPr="00EA191A">
              <w:t>Red-throated loon</w:t>
            </w:r>
          </w:p>
        </w:tc>
        <w:tc>
          <w:tcPr>
            <w:tcW w:w="567" w:type="dxa"/>
            <w:textDirection w:val="btLr"/>
          </w:tcPr>
          <w:p w14:paraId="113A2026" w14:textId="5BDD46CA" w:rsidR="00F51742" w:rsidRDefault="00F51742" w:rsidP="00F51742">
            <w:pPr>
              <w:pStyle w:val="Tablecontent"/>
              <w:ind w:left="113" w:right="113"/>
            </w:pPr>
            <w:r w:rsidRPr="00EA191A">
              <w:t>Medium ground-finch</w:t>
            </w:r>
          </w:p>
        </w:tc>
        <w:tc>
          <w:tcPr>
            <w:tcW w:w="567" w:type="dxa"/>
            <w:textDirection w:val="btLr"/>
          </w:tcPr>
          <w:p w14:paraId="7DF01670" w14:textId="52F1946A" w:rsidR="00F51742" w:rsidRDefault="00F51742" w:rsidP="00F51742">
            <w:pPr>
              <w:pStyle w:val="Tablecontent"/>
              <w:ind w:left="113" w:right="113"/>
            </w:pPr>
            <w:r w:rsidRPr="00EA191A">
              <w:t>White-tailed eagle</w:t>
            </w:r>
          </w:p>
        </w:tc>
        <w:tc>
          <w:tcPr>
            <w:tcW w:w="567" w:type="dxa"/>
            <w:textDirection w:val="btLr"/>
          </w:tcPr>
          <w:p w14:paraId="7E99AF35" w14:textId="18D788F7" w:rsidR="00F51742" w:rsidRDefault="00F51742" w:rsidP="00F51742">
            <w:pPr>
              <w:pStyle w:val="Tablecontent"/>
              <w:ind w:left="113" w:right="113"/>
            </w:pPr>
            <w:r w:rsidRPr="00EA191A">
              <w:t>Bald eagle</w:t>
            </w:r>
          </w:p>
        </w:tc>
        <w:tc>
          <w:tcPr>
            <w:tcW w:w="567" w:type="dxa"/>
            <w:textDirection w:val="btLr"/>
          </w:tcPr>
          <w:p w14:paraId="68E39371" w14:textId="1FAE3922" w:rsidR="00F51742" w:rsidRDefault="00F51742" w:rsidP="00F51742">
            <w:pPr>
              <w:pStyle w:val="Tablecontent"/>
              <w:ind w:left="113" w:right="113"/>
            </w:pPr>
            <w:r w:rsidRPr="00EA191A">
              <w:t>Blue-crowned manakin</w:t>
            </w:r>
          </w:p>
        </w:tc>
        <w:tc>
          <w:tcPr>
            <w:tcW w:w="567" w:type="dxa"/>
            <w:textDirection w:val="btLr"/>
          </w:tcPr>
          <w:p w14:paraId="7D9C3462" w14:textId="79D2992D" w:rsidR="00F51742" w:rsidRDefault="00F51742" w:rsidP="00F51742">
            <w:pPr>
              <w:pStyle w:val="Tablecontent"/>
              <w:ind w:left="113" w:right="113"/>
            </w:pPr>
            <w:r w:rsidRPr="00EA191A">
              <w:t>Cuckoo roller</w:t>
            </w:r>
          </w:p>
        </w:tc>
        <w:tc>
          <w:tcPr>
            <w:tcW w:w="567" w:type="dxa"/>
            <w:textDirection w:val="btLr"/>
          </w:tcPr>
          <w:p w14:paraId="6C9287BD" w14:textId="1F4B4CA9" w:rsidR="00F51742" w:rsidRDefault="00F51742" w:rsidP="00F51742">
            <w:pPr>
              <w:pStyle w:val="Tablecontent"/>
              <w:ind w:left="113" w:right="113"/>
            </w:pPr>
            <w:r w:rsidRPr="00EA191A">
              <w:t>Golden-collared manakin</w:t>
            </w:r>
          </w:p>
        </w:tc>
      </w:tr>
      <w:tr w:rsidR="00F51742" w14:paraId="53DCD7B2" w14:textId="77777777" w:rsidTr="00B97DB0">
        <w:trPr>
          <w:cantSplit/>
          <w:trHeight w:val="3108"/>
        </w:trPr>
        <w:tc>
          <w:tcPr>
            <w:tcW w:w="567" w:type="dxa"/>
            <w:textDirection w:val="btLr"/>
          </w:tcPr>
          <w:p w14:paraId="3E78D709" w14:textId="26C8A5DF" w:rsidR="00F51742" w:rsidRPr="007F3617" w:rsidRDefault="00F51742" w:rsidP="00F51742">
            <w:pPr>
              <w:pStyle w:val="Tablecontent"/>
              <w:ind w:left="113" w:right="113"/>
              <w:rPr>
                <w:i/>
              </w:rPr>
            </w:pPr>
            <w:r w:rsidRPr="007F3617">
              <w:rPr>
                <w:i/>
              </w:rPr>
              <w:t>Crocodylus porosus</w:t>
            </w:r>
          </w:p>
        </w:tc>
        <w:tc>
          <w:tcPr>
            <w:tcW w:w="567" w:type="dxa"/>
            <w:textDirection w:val="btLr"/>
          </w:tcPr>
          <w:p w14:paraId="3CDE51A1" w14:textId="566B4F2E" w:rsidR="00F51742" w:rsidRPr="00BC30B0" w:rsidRDefault="00F51742" w:rsidP="00F51742">
            <w:pPr>
              <w:pStyle w:val="Tablecontent"/>
              <w:ind w:left="113" w:right="113"/>
            </w:pPr>
            <w:r w:rsidRPr="007F3617">
              <w:rPr>
                <w:i/>
              </w:rPr>
              <w:t>Cuculus canorus</w:t>
            </w:r>
            <w:r w:rsidR="00BC30B0">
              <w:t xml:space="preserve"> *</w:t>
            </w:r>
          </w:p>
        </w:tc>
        <w:tc>
          <w:tcPr>
            <w:tcW w:w="567" w:type="dxa"/>
            <w:textDirection w:val="btLr"/>
          </w:tcPr>
          <w:p w14:paraId="37EE73C4" w14:textId="03FC9C98" w:rsidR="00F51742" w:rsidRPr="007F3617" w:rsidRDefault="00F51742" w:rsidP="00F51742">
            <w:pPr>
              <w:pStyle w:val="Tablecontent"/>
              <w:ind w:left="113" w:right="113"/>
              <w:rPr>
                <w:i/>
              </w:rPr>
            </w:pPr>
            <w:r w:rsidRPr="007F3617">
              <w:rPr>
                <w:i/>
              </w:rPr>
              <w:t>Egretta garzetta</w:t>
            </w:r>
          </w:p>
        </w:tc>
        <w:tc>
          <w:tcPr>
            <w:tcW w:w="567" w:type="dxa"/>
            <w:textDirection w:val="btLr"/>
          </w:tcPr>
          <w:p w14:paraId="51DBFDB8" w14:textId="0D102A25" w:rsidR="00F51742" w:rsidRPr="007F3617" w:rsidRDefault="00F51742" w:rsidP="00F51742">
            <w:pPr>
              <w:pStyle w:val="Tablecontent"/>
              <w:ind w:left="113" w:right="113"/>
              <w:rPr>
                <w:i/>
              </w:rPr>
            </w:pPr>
            <w:r w:rsidRPr="007F3617">
              <w:rPr>
                <w:i/>
              </w:rPr>
              <w:t>Eurypyga helias</w:t>
            </w:r>
          </w:p>
        </w:tc>
        <w:tc>
          <w:tcPr>
            <w:tcW w:w="567" w:type="dxa"/>
            <w:textDirection w:val="btLr"/>
          </w:tcPr>
          <w:p w14:paraId="7FA15BAC" w14:textId="402D8663" w:rsidR="00F51742" w:rsidRPr="007F3617" w:rsidRDefault="00F51742" w:rsidP="00F51742">
            <w:pPr>
              <w:pStyle w:val="Tablecontent"/>
              <w:ind w:left="113" w:right="113"/>
              <w:rPr>
                <w:i/>
              </w:rPr>
            </w:pPr>
            <w:r w:rsidRPr="007F3617">
              <w:rPr>
                <w:i/>
              </w:rPr>
              <w:t>Falco cherrug</w:t>
            </w:r>
          </w:p>
        </w:tc>
        <w:tc>
          <w:tcPr>
            <w:tcW w:w="567" w:type="dxa"/>
            <w:textDirection w:val="btLr"/>
          </w:tcPr>
          <w:p w14:paraId="6C46E1E6" w14:textId="155D084C" w:rsidR="00F51742" w:rsidRPr="00BC30B0" w:rsidRDefault="00F51742" w:rsidP="00F51742">
            <w:pPr>
              <w:pStyle w:val="Tablecontent"/>
              <w:ind w:left="113" w:right="113"/>
            </w:pPr>
            <w:r w:rsidRPr="007F3617">
              <w:rPr>
                <w:i/>
              </w:rPr>
              <w:t>Falco peregrinus</w:t>
            </w:r>
            <w:r w:rsidR="00BC30B0">
              <w:t xml:space="preserve"> *</w:t>
            </w:r>
          </w:p>
        </w:tc>
        <w:tc>
          <w:tcPr>
            <w:tcW w:w="567" w:type="dxa"/>
            <w:textDirection w:val="btLr"/>
          </w:tcPr>
          <w:p w14:paraId="76551DAD" w14:textId="0A257668" w:rsidR="00F51742" w:rsidRPr="007F3617" w:rsidRDefault="00F51742" w:rsidP="00F51742">
            <w:pPr>
              <w:pStyle w:val="Tablecontent"/>
              <w:ind w:left="113" w:right="113"/>
              <w:rPr>
                <w:i/>
              </w:rPr>
            </w:pPr>
            <w:r w:rsidRPr="007F3617">
              <w:rPr>
                <w:i/>
              </w:rPr>
              <w:t>Ficedula albicollis</w:t>
            </w:r>
          </w:p>
        </w:tc>
        <w:tc>
          <w:tcPr>
            <w:tcW w:w="567" w:type="dxa"/>
            <w:textDirection w:val="btLr"/>
          </w:tcPr>
          <w:p w14:paraId="3A60700E" w14:textId="5A3C36FE" w:rsidR="00F51742" w:rsidRPr="007F3617" w:rsidRDefault="00F51742" w:rsidP="00F51742">
            <w:pPr>
              <w:pStyle w:val="Tablecontent"/>
              <w:ind w:left="113" w:right="113"/>
              <w:rPr>
                <w:i/>
              </w:rPr>
            </w:pPr>
            <w:r w:rsidRPr="007F3617">
              <w:rPr>
                <w:i/>
              </w:rPr>
              <w:t>Fulmarus glacialis</w:t>
            </w:r>
          </w:p>
        </w:tc>
        <w:tc>
          <w:tcPr>
            <w:tcW w:w="567" w:type="dxa"/>
            <w:textDirection w:val="btLr"/>
          </w:tcPr>
          <w:p w14:paraId="20B7ACD1" w14:textId="5316857D" w:rsidR="00F51742" w:rsidRPr="007F3617" w:rsidRDefault="00F51742" w:rsidP="00F51742">
            <w:pPr>
              <w:pStyle w:val="Tablecontent"/>
              <w:ind w:left="113" w:right="113"/>
              <w:rPr>
                <w:i/>
              </w:rPr>
            </w:pPr>
            <w:r w:rsidRPr="007F3617">
              <w:rPr>
                <w:i/>
              </w:rPr>
              <w:t>Gavia stellata</w:t>
            </w:r>
          </w:p>
        </w:tc>
        <w:tc>
          <w:tcPr>
            <w:tcW w:w="567" w:type="dxa"/>
            <w:textDirection w:val="btLr"/>
          </w:tcPr>
          <w:p w14:paraId="416D9EB3" w14:textId="220BF6BC" w:rsidR="00F51742" w:rsidRPr="007F3617" w:rsidRDefault="00F51742" w:rsidP="00F51742">
            <w:pPr>
              <w:pStyle w:val="Tablecontent"/>
              <w:ind w:left="113" w:right="113"/>
              <w:rPr>
                <w:i/>
              </w:rPr>
            </w:pPr>
            <w:r w:rsidRPr="007F3617">
              <w:rPr>
                <w:i/>
              </w:rPr>
              <w:t>Geospiza fortis</w:t>
            </w:r>
          </w:p>
        </w:tc>
        <w:tc>
          <w:tcPr>
            <w:tcW w:w="567" w:type="dxa"/>
            <w:textDirection w:val="btLr"/>
          </w:tcPr>
          <w:p w14:paraId="256E0B86" w14:textId="40055A78" w:rsidR="00F51742" w:rsidRPr="007F3617" w:rsidRDefault="00F51742" w:rsidP="00F51742">
            <w:pPr>
              <w:pStyle w:val="Tablecontent"/>
              <w:ind w:left="113" w:right="113"/>
              <w:rPr>
                <w:i/>
              </w:rPr>
            </w:pPr>
            <w:r w:rsidRPr="007F3617">
              <w:rPr>
                <w:i/>
              </w:rPr>
              <w:t>Haliaeetus albicilla</w:t>
            </w:r>
          </w:p>
        </w:tc>
        <w:tc>
          <w:tcPr>
            <w:tcW w:w="567" w:type="dxa"/>
            <w:textDirection w:val="btLr"/>
          </w:tcPr>
          <w:p w14:paraId="09BCECFF" w14:textId="2D49AAAA" w:rsidR="00F51742" w:rsidRPr="00BC30B0" w:rsidRDefault="00F51742" w:rsidP="00F51742">
            <w:pPr>
              <w:pStyle w:val="Tablecontent"/>
              <w:ind w:left="113" w:right="113"/>
            </w:pPr>
            <w:r w:rsidRPr="007F3617">
              <w:rPr>
                <w:i/>
              </w:rPr>
              <w:t>Haliaeetus leucocephalus</w:t>
            </w:r>
            <w:r w:rsidR="00BC30B0">
              <w:t xml:space="preserve"> *</w:t>
            </w:r>
          </w:p>
        </w:tc>
        <w:tc>
          <w:tcPr>
            <w:tcW w:w="567" w:type="dxa"/>
            <w:textDirection w:val="btLr"/>
          </w:tcPr>
          <w:p w14:paraId="2FDCB9E5" w14:textId="689FA775" w:rsidR="00F51742" w:rsidRPr="007F3617" w:rsidRDefault="00F51742" w:rsidP="00F51742">
            <w:pPr>
              <w:pStyle w:val="Tablecontent"/>
              <w:ind w:left="113" w:right="113"/>
              <w:rPr>
                <w:i/>
              </w:rPr>
            </w:pPr>
            <w:r w:rsidRPr="007F3617">
              <w:rPr>
                <w:i/>
              </w:rPr>
              <w:t>Lepidothrix coronata</w:t>
            </w:r>
          </w:p>
        </w:tc>
        <w:tc>
          <w:tcPr>
            <w:tcW w:w="567" w:type="dxa"/>
            <w:textDirection w:val="btLr"/>
          </w:tcPr>
          <w:p w14:paraId="41D45611" w14:textId="4FE81E20" w:rsidR="00F51742" w:rsidRPr="007F3617" w:rsidRDefault="00F51742" w:rsidP="00F51742">
            <w:pPr>
              <w:pStyle w:val="Tablecontent"/>
              <w:ind w:left="113" w:right="113"/>
              <w:rPr>
                <w:i/>
              </w:rPr>
            </w:pPr>
            <w:r w:rsidRPr="007F3617">
              <w:rPr>
                <w:i/>
              </w:rPr>
              <w:t>Leptosomus discolor</w:t>
            </w:r>
          </w:p>
        </w:tc>
        <w:tc>
          <w:tcPr>
            <w:tcW w:w="567" w:type="dxa"/>
            <w:textDirection w:val="btLr"/>
          </w:tcPr>
          <w:p w14:paraId="09F695C8" w14:textId="16D89DAD" w:rsidR="00F51742" w:rsidRPr="007F3617" w:rsidRDefault="00F51742" w:rsidP="00F51742">
            <w:pPr>
              <w:pStyle w:val="Tablecontent"/>
              <w:ind w:left="113" w:right="113"/>
              <w:rPr>
                <w:i/>
              </w:rPr>
            </w:pPr>
            <w:r w:rsidRPr="007F3617">
              <w:rPr>
                <w:i/>
              </w:rPr>
              <w:t>Manacus vitellinus</w:t>
            </w:r>
          </w:p>
        </w:tc>
      </w:tr>
      <w:tr w:rsidR="00F51742" w14:paraId="3C01F15D" w14:textId="77777777" w:rsidTr="00B97DB0">
        <w:trPr>
          <w:cantSplit/>
          <w:trHeight w:val="1408"/>
        </w:trPr>
        <w:tc>
          <w:tcPr>
            <w:tcW w:w="567" w:type="dxa"/>
            <w:textDirection w:val="btLr"/>
          </w:tcPr>
          <w:p w14:paraId="306C5A55" w14:textId="761600BC" w:rsidR="00F51742" w:rsidRDefault="00F51742" w:rsidP="00F51742">
            <w:pPr>
              <w:pStyle w:val="Tablecontent"/>
              <w:ind w:left="113" w:right="113"/>
              <w:jc w:val="center"/>
            </w:pPr>
            <w:r w:rsidRPr="005342BC">
              <w:lastRenderedPageBreak/>
              <w:t>26,671</w:t>
            </w:r>
          </w:p>
        </w:tc>
        <w:tc>
          <w:tcPr>
            <w:tcW w:w="567" w:type="dxa"/>
            <w:textDirection w:val="btLr"/>
          </w:tcPr>
          <w:p w14:paraId="47D232B0" w14:textId="452732CB" w:rsidR="00F51742" w:rsidRDefault="00F51742" w:rsidP="00F51742">
            <w:pPr>
              <w:pStyle w:val="Tablecontent"/>
              <w:ind w:left="113" w:right="113"/>
              <w:jc w:val="center"/>
            </w:pPr>
            <w:r w:rsidRPr="005342BC">
              <w:t>55,633</w:t>
            </w:r>
          </w:p>
        </w:tc>
        <w:tc>
          <w:tcPr>
            <w:tcW w:w="567" w:type="dxa"/>
            <w:textDirection w:val="btLr"/>
          </w:tcPr>
          <w:p w14:paraId="65EF7289" w14:textId="0BD47163" w:rsidR="00F51742" w:rsidRDefault="00F51742" w:rsidP="00F51742">
            <w:pPr>
              <w:pStyle w:val="Tablecontent"/>
              <w:ind w:left="113" w:right="113"/>
              <w:jc w:val="center"/>
            </w:pPr>
            <w:r w:rsidRPr="005342BC">
              <w:t>24,675</w:t>
            </w:r>
          </w:p>
        </w:tc>
        <w:tc>
          <w:tcPr>
            <w:tcW w:w="567" w:type="dxa"/>
            <w:textDirection w:val="btLr"/>
          </w:tcPr>
          <w:p w14:paraId="2E09E17D" w14:textId="700E9C0F" w:rsidR="00F51742" w:rsidRDefault="00F51742" w:rsidP="00F51742">
            <w:pPr>
              <w:pStyle w:val="Tablecontent"/>
              <w:ind w:left="113" w:right="113"/>
              <w:jc w:val="center"/>
            </w:pPr>
            <w:r w:rsidRPr="005342BC">
              <w:t>22,740</w:t>
            </w:r>
          </w:p>
        </w:tc>
        <w:tc>
          <w:tcPr>
            <w:tcW w:w="567" w:type="dxa"/>
            <w:textDirection w:val="btLr"/>
          </w:tcPr>
          <w:p w14:paraId="4C1C4B95" w14:textId="7B85D505" w:rsidR="00F51742" w:rsidRDefault="00F51742" w:rsidP="00F51742">
            <w:pPr>
              <w:pStyle w:val="Tablecontent"/>
              <w:ind w:left="113" w:right="113"/>
              <w:jc w:val="center"/>
            </w:pPr>
            <w:r w:rsidRPr="005342BC">
              <w:t>26,546</w:t>
            </w:r>
          </w:p>
        </w:tc>
        <w:tc>
          <w:tcPr>
            <w:tcW w:w="567" w:type="dxa"/>
            <w:textDirection w:val="btLr"/>
          </w:tcPr>
          <w:p w14:paraId="748C5E6E" w14:textId="584A1E78" w:rsidR="00F51742" w:rsidRDefault="00F51742" w:rsidP="00F51742">
            <w:pPr>
              <w:pStyle w:val="Tablecontent"/>
              <w:ind w:left="113" w:right="113"/>
              <w:jc w:val="center"/>
            </w:pPr>
            <w:r w:rsidRPr="005342BC">
              <w:t>29,116</w:t>
            </w:r>
          </w:p>
        </w:tc>
        <w:tc>
          <w:tcPr>
            <w:tcW w:w="567" w:type="dxa"/>
            <w:textDirection w:val="btLr"/>
          </w:tcPr>
          <w:p w14:paraId="480F90DB" w14:textId="2E7FD2F6" w:rsidR="00F51742" w:rsidRDefault="00F51742" w:rsidP="00F51742">
            <w:pPr>
              <w:pStyle w:val="Tablecontent"/>
              <w:ind w:left="113" w:right="113"/>
              <w:jc w:val="center"/>
            </w:pPr>
            <w:r w:rsidRPr="005342BC">
              <w:t>28,179</w:t>
            </w:r>
          </w:p>
        </w:tc>
        <w:tc>
          <w:tcPr>
            <w:tcW w:w="567" w:type="dxa"/>
            <w:textDirection w:val="btLr"/>
          </w:tcPr>
          <w:p w14:paraId="1834F4CF" w14:textId="78CCFA62" w:rsidR="00F51742" w:rsidRDefault="00F51742" w:rsidP="00F51742">
            <w:pPr>
              <w:pStyle w:val="Tablecontent"/>
              <w:ind w:left="113" w:right="113"/>
              <w:jc w:val="center"/>
            </w:pPr>
            <w:r w:rsidRPr="005342BC">
              <w:t>148,693</w:t>
            </w:r>
          </w:p>
        </w:tc>
        <w:tc>
          <w:tcPr>
            <w:tcW w:w="567" w:type="dxa"/>
            <w:textDirection w:val="btLr"/>
          </w:tcPr>
          <w:p w14:paraId="42A0551B" w14:textId="6AAE8BB1" w:rsidR="00F51742" w:rsidRDefault="00F51742" w:rsidP="00F51742">
            <w:pPr>
              <w:pStyle w:val="Tablecontent"/>
              <w:ind w:left="113" w:right="113"/>
              <w:jc w:val="center"/>
            </w:pPr>
            <w:r w:rsidRPr="005342BC">
              <w:t>21,679</w:t>
            </w:r>
          </w:p>
        </w:tc>
        <w:tc>
          <w:tcPr>
            <w:tcW w:w="567" w:type="dxa"/>
            <w:textDirection w:val="btLr"/>
          </w:tcPr>
          <w:p w14:paraId="1BEDD795" w14:textId="4531FC83" w:rsidR="00F51742" w:rsidRDefault="00F51742" w:rsidP="00F51742">
            <w:pPr>
              <w:pStyle w:val="Tablecontent"/>
              <w:ind w:left="113" w:right="113"/>
              <w:jc w:val="center"/>
            </w:pPr>
            <w:r w:rsidRPr="005342BC">
              <w:t>22,941</w:t>
            </w:r>
          </w:p>
        </w:tc>
        <w:tc>
          <w:tcPr>
            <w:tcW w:w="567" w:type="dxa"/>
            <w:textDirection w:val="btLr"/>
          </w:tcPr>
          <w:p w14:paraId="0E7442C1" w14:textId="29B1070E" w:rsidR="00F51742" w:rsidRDefault="00F51742" w:rsidP="00F51742">
            <w:pPr>
              <w:pStyle w:val="Tablecontent"/>
              <w:ind w:left="113" w:right="113"/>
              <w:jc w:val="center"/>
            </w:pPr>
            <w:r w:rsidRPr="005342BC">
              <w:t>17,343</w:t>
            </w:r>
          </w:p>
        </w:tc>
        <w:tc>
          <w:tcPr>
            <w:tcW w:w="567" w:type="dxa"/>
            <w:textDirection w:val="btLr"/>
          </w:tcPr>
          <w:p w14:paraId="1D318E81" w14:textId="07687948" w:rsidR="00F51742" w:rsidRDefault="00F51742" w:rsidP="00F51742">
            <w:pPr>
              <w:pStyle w:val="Tablecontent"/>
              <w:ind w:left="113" w:right="113"/>
              <w:jc w:val="center"/>
            </w:pPr>
            <w:r w:rsidRPr="005342BC">
              <w:t>20,262</w:t>
            </w:r>
          </w:p>
        </w:tc>
        <w:tc>
          <w:tcPr>
            <w:tcW w:w="567" w:type="dxa"/>
            <w:textDirection w:val="btLr"/>
          </w:tcPr>
          <w:p w14:paraId="11349AAC" w14:textId="4E0186CA" w:rsidR="00F51742" w:rsidRDefault="00F51742" w:rsidP="00F51742">
            <w:pPr>
              <w:pStyle w:val="Tablecontent"/>
              <w:ind w:left="113" w:right="113"/>
              <w:jc w:val="center"/>
            </w:pPr>
            <w:r w:rsidRPr="005342BC">
              <w:t>24,809</w:t>
            </w:r>
          </w:p>
        </w:tc>
        <w:tc>
          <w:tcPr>
            <w:tcW w:w="567" w:type="dxa"/>
            <w:textDirection w:val="btLr"/>
          </w:tcPr>
          <w:p w14:paraId="2A1E679E" w14:textId="2B9CBFBC" w:rsidR="00F51742" w:rsidRDefault="00F51742" w:rsidP="00F51742">
            <w:pPr>
              <w:pStyle w:val="Tablecontent"/>
              <w:ind w:left="113" w:right="113"/>
              <w:jc w:val="center"/>
            </w:pPr>
            <w:r w:rsidRPr="005342BC">
              <w:t>17,412</w:t>
            </w:r>
          </w:p>
        </w:tc>
        <w:tc>
          <w:tcPr>
            <w:tcW w:w="567" w:type="dxa"/>
            <w:textDirection w:val="btLr"/>
          </w:tcPr>
          <w:p w14:paraId="6B79D58A" w14:textId="37746CA9" w:rsidR="00F51742" w:rsidRDefault="00F51742" w:rsidP="00F51742">
            <w:pPr>
              <w:pStyle w:val="Tablecontent"/>
              <w:ind w:left="113" w:right="113"/>
              <w:jc w:val="center"/>
            </w:pPr>
            <w:r w:rsidRPr="005342BC">
              <w:t>165,265</w:t>
            </w:r>
          </w:p>
        </w:tc>
      </w:tr>
      <w:tr w:rsidR="00F51742" w14:paraId="2351D572" w14:textId="77777777" w:rsidTr="00B97DB0">
        <w:trPr>
          <w:cantSplit/>
          <w:trHeight w:val="1555"/>
        </w:trPr>
        <w:tc>
          <w:tcPr>
            <w:tcW w:w="567" w:type="dxa"/>
            <w:textDirection w:val="btLr"/>
          </w:tcPr>
          <w:p w14:paraId="31955BB8" w14:textId="08794F50" w:rsidR="00F51742" w:rsidRDefault="00F51742" w:rsidP="00F51742">
            <w:pPr>
              <w:pStyle w:val="Tablecontent"/>
              <w:ind w:left="113" w:right="113"/>
              <w:jc w:val="center"/>
            </w:pPr>
            <w:r w:rsidRPr="005342BC">
              <w:t>3,801,642</w:t>
            </w:r>
          </w:p>
        </w:tc>
        <w:tc>
          <w:tcPr>
            <w:tcW w:w="567" w:type="dxa"/>
            <w:textDirection w:val="btLr"/>
          </w:tcPr>
          <w:p w14:paraId="49EC8101" w14:textId="30E46137" w:rsidR="00F51742" w:rsidRDefault="00F51742" w:rsidP="00F51742">
            <w:pPr>
              <w:pStyle w:val="Tablecontent"/>
              <w:ind w:left="113" w:right="113"/>
              <w:jc w:val="center"/>
            </w:pPr>
            <w:r w:rsidRPr="005342BC">
              <w:t>10,614,383</w:t>
            </w:r>
          </w:p>
        </w:tc>
        <w:tc>
          <w:tcPr>
            <w:tcW w:w="567" w:type="dxa"/>
            <w:textDirection w:val="btLr"/>
          </w:tcPr>
          <w:p w14:paraId="111DD111" w14:textId="44725AD0" w:rsidR="00F51742" w:rsidRDefault="00F51742" w:rsidP="00F51742">
            <w:pPr>
              <w:pStyle w:val="Tablecontent"/>
              <w:ind w:left="113" w:right="113"/>
              <w:jc w:val="center"/>
            </w:pPr>
            <w:r w:rsidRPr="005342BC">
              <w:t>48,089</w:t>
            </w:r>
          </w:p>
        </w:tc>
        <w:tc>
          <w:tcPr>
            <w:tcW w:w="567" w:type="dxa"/>
            <w:textDirection w:val="btLr"/>
          </w:tcPr>
          <w:p w14:paraId="3FEA3A83" w14:textId="7212C39D" w:rsidR="00F51742" w:rsidRDefault="00F51742" w:rsidP="00F51742">
            <w:pPr>
              <w:pStyle w:val="Tablecontent"/>
              <w:ind w:left="113" w:right="113"/>
              <w:jc w:val="center"/>
            </w:pPr>
            <w:r w:rsidRPr="005342BC">
              <w:t>47,102</w:t>
            </w:r>
          </w:p>
        </w:tc>
        <w:tc>
          <w:tcPr>
            <w:tcW w:w="567" w:type="dxa"/>
            <w:textDirection w:val="btLr"/>
          </w:tcPr>
          <w:p w14:paraId="17D39C6B" w14:textId="54E74702" w:rsidR="00F51742" w:rsidRDefault="00F51742" w:rsidP="00F51742">
            <w:pPr>
              <w:pStyle w:val="Tablecontent"/>
              <w:ind w:left="113" w:right="113"/>
              <w:jc w:val="center"/>
            </w:pPr>
            <w:r w:rsidRPr="005342BC">
              <w:t>61,475</w:t>
            </w:r>
          </w:p>
        </w:tc>
        <w:tc>
          <w:tcPr>
            <w:tcW w:w="567" w:type="dxa"/>
            <w:textDirection w:val="btLr"/>
          </w:tcPr>
          <w:p w14:paraId="2C246CC5" w14:textId="479C03FF" w:rsidR="00F51742" w:rsidRDefault="00F51742" w:rsidP="00F51742">
            <w:pPr>
              <w:pStyle w:val="Tablecontent"/>
              <w:ind w:left="113" w:right="113"/>
              <w:jc w:val="center"/>
            </w:pPr>
            <w:r w:rsidRPr="005342BC">
              <w:t>5,211,696</w:t>
            </w:r>
          </w:p>
        </w:tc>
        <w:tc>
          <w:tcPr>
            <w:tcW w:w="567" w:type="dxa"/>
            <w:textDirection w:val="btLr"/>
          </w:tcPr>
          <w:p w14:paraId="0C6D8861" w14:textId="47523989" w:rsidR="00F51742" w:rsidRDefault="00F51742" w:rsidP="00F51742">
            <w:pPr>
              <w:pStyle w:val="Tablecontent"/>
              <w:ind w:left="113" w:right="113"/>
              <w:jc w:val="center"/>
            </w:pPr>
            <w:r w:rsidRPr="005342BC">
              <w:t>2,937,227</w:t>
            </w:r>
          </w:p>
        </w:tc>
        <w:tc>
          <w:tcPr>
            <w:tcW w:w="567" w:type="dxa"/>
            <w:textDirection w:val="btLr"/>
          </w:tcPr>
          <w:p w14:paraId="6115974D" w14:textId="387605D3" w:rsidR="00F51742" w:rsidRDefault="00F51742" w:rsidP="00F51742">
            <w:pPr>
              <w:pStyle w:val="Tablecontent"/>
              <w:ind w:left="113" w:right="113"/>
              <w:jc w:val="center"/>
            </w:pPr>
            <w:r w:rsidRPr="005342BC">
              <w:t>71,365,269</w:t>
            </w:r>
          </w:p>
        </w:tc>
        <w:tc>
          <w:tcPr>
            <w:tcW w:w="567" w:type="dxa"/>
            <w:textDirection w:val="btLr"/>
          </w:tcPr>
          <w:p w14:paraId="145A494E" w14:textId="22CA4D51" w:rsidR="00F51742" w:rsidRDefault="00F51742" w:rsidP="00F51742">
            <w:pPr>
              <w:pStyle w:val="Tablecontent"/>
              <w:ind w:left="113" w:right="113"/>
              <w:jc w:val="center"/>
            </w:pPr>
            <w:r w:rsidRPr="005342BC">
              <w:t>43,364</w:t>
            </w:r>
          </w:p>
        </w:tc>
        <w:tc>
          <w:tcPr>
            <w:tcW w:w="567" w:type="dxa"/>
            <w:textDirection w:val="btLr"/>
          </w:tcPr>
          <w:p w14:paraId="66BAF120" w14:textId="4604D1DA" w:rsidR="00F51742" w:rsidRDefault="00F51742" w:rsidP="00F51742">
            <w:pPr>
              <w:pStyle w:val="Tablecontent"/>
              <w:ind w:left="113" w:right="113"/>
              <w:jc w:val="center"/>
            </w:pPr>
            <w:r w:rsidRPr="005342BC">
              <w:t>47,896</w:t>
            </w:r>
          </w:p>
        </w:tc>
        <w:tc>
          <w:tcPr>
            <w:tcW w:w="567" w:type="dxa"/>
            <w:textDirection w:val="btLr"/>
          </w:tcPr>
          <w:p w14:paraId="2CC156E1" w14:textId="41F35F3A" w:rsidR="00F51742" w:rsidRDefault="00F51742" w:rsidP="00F51742">
            <w:pPr>
              <w:pStyle w:val="Tablecontent"/>
              <w:ind w:left="113" w:right="113"/>
              <w:jc w:val="center"/>
            </w:pPr>
            <w:r w:rsidRPr="005342BC">
              <w:t>48,427</w:t>
            </w:r>
          </w:p>
        </w:tc>
        <w:tc>
          <w:tcPr>
            <w:tcW w:w="567" w:type="dxa"/>
            <w:textDirection w:val="btLr"/>
          </w:tcPr>
          <w:p w14:paraId="102ED20E" w14:textId="30991567" w:rsidR="00F51742" w:rsidRDefault="00F51742" w:rsidP="00F51742">
            <w:pPr>
              <w:pStyle w:val="Tablecontent"/>
              <w:ind w:left="113" w:right="113"/>
              <w:jc w:val="center"/>
            </w:pPr>
            <w:r w:rsidRPr="005342BC">
              <w:t>38,071</w:t>
            </w:r>
          </w:p>
        </w:tc>
        <w:tc>
          <w:tcPr>
            <w:tcW w:w="567" w:type="dxa"/>
            <w:textDirection w:val="btLr"/>
          </w:tcPr>
          <w:p w14:paraId="6F3D0E2B" w14:textId="7BD6E861" w:rsidR="00F51742" w:rsidRDefault="00F51742" w:rsidP="00F51742">
            <w:pPr>
              <w:pStyle w:val="Tablecontent"/>
              <w:ind w:left="113" w:right="113"/>
              <w:jc w:val="center"/>
            </w:pPr>
            <w:r w:rsidRPr="005342BC">
              <w:t>2,093,929</w:t>
            </w:r>
          </w:p>
        </w:tc>
        <w:tc>
          <w:tcPr>
            <w:tcW w:w="567" w:type="dxa"/>
            <w:textDirection w:val="btLr"/>
          </w:tcPr>
          <w:p w14:paraId="14557279" w14:textId="7E9DDAE1" w:rsidR="00F51742" w:rsidRDefault="00F51742" w:rsidP="00F51742">
            <w:pPr>
              <w:pStyle w:val="Tablecontent"/>
              <w:ind w:left="113" w:right="113"/>
              <w:jc w:val="center"/>
            </w:pPr>
            <w:r w:rsidRPr="005342BC">
              <w:t>30,087</w:t>
            </w:r>
          </w:p>
        </w:tc>
        <w:tc>
          <w:tcPr>
            <w:tcW w:w="567" w:type="dxa"/>
            <w:textDirection w:val="btLr"/>
          </w:tcPr>
          <w:p w14:paraId="2D154055" w14:textId="08E2DD82" w:rsidR="00F51742" w:rsidRDefault="00F51742" w:rsidP="00F51742">
            <w:pPr>
              <w:pStyle w:val="Tablecontent"/>
              <w:ind w:left="113" w:right="113"/>
              <w:jc w:val="center"/>
            </w:pPr>
            <w:r w:rsidRPr="005342BC">
              <w:t>16,337,386</w:t>
            </w:r>
          </w:p>
        </w:tc>
      </w:tr>
      <w:tr w:rsidR="00F51742" w14:paraId="655C9D5D" w14:textId="77777777" w:rsidTr="00B97DB0">
        <w:trPr>
          <w:cantSplit/>
          <w:trHeight w:val="1961"/>
        </w:trPr>
        <w:tc>
          <w:tcPr>
            <w:tcW w:w="567" w:type="dxa"/>
            <w:textDirection w:val="btLr"/>
          </w:tcPr>
          <w:p w14:paraId="157644B8" w14:textId="025869C5" w:rsidR="00F51742" w:rsidRDefault="00F51742" w:rsidP="00F51742">
            <w:pPr>
              <w:pStyle w:val="Tablecontent"/>
              <w:ind w:left="113" w:right="113"/>
              <w:jc w:val="center"/>
            </w:pPr>
            <w:r w:rsidRPr="005342BC">
              <w:t>1,128,339,136</w:t>
            </w:r>
          </w:p>
        </w:tc>
        <w:tc>
          <w:tcPr>
            <w:tcW w:w="567" w:type="dxa"/>
            <w:textDirection w:val="btLr"/>
          </w:tcPr>
          <w:p w14:paraId="7536F333" w14:textId="14DE5E1F" w:rsidR="00F51742" w:rsidRDefault="00F51742" w:rsidP="00F51742">
            <w:pPr>
              <w:pStyle w:val="Tablecontent"/>
              <w:ind w:left="113" w:right="113"/>
              <w:jc w:val="center"/>
            </w:pPr>
            <w:r w:rsidRPr="005342BC">
              <w:t>1,117,373,619</w:t>
            </w:r>
          </w:p>
        </w:tc>
        <w:tc>
          <w:tcPr>
            <w:tcW w:w="567" w:type="dxa"/>
            <w:textDirection w:val="btLr"/>
          </w:tcPr>
          <w:p w14:paraId="581CD9BF" w14:textId="31CD7D8B" w:rsidR="00F51742" w:rsidRDefault="00F51742" w:rsidP="00F51742">
            <w:pPr>
              <w:pStyle w:val="Tablecontent"/>
              <w:ind w:left="113" w:right="113"/>
              <w:jc w:val="center"/>
            </w:pPr>
            <w:r w:rsidRPr="005342BC">
              <w:t>1,062,961,556</w:t>
            </w:r>
          </w:p>
        </w:tc>
        <w:tc>
          <w:tcPr>
            <w:tcW w:w="567" w:type="dxa"/>
            <w:textDirection w:val="btLr"/>
          </w:tcPr>
          <w:p w14:paraId="65DA55B7" w14:textId="33560368" w:rsidR="00F51742" w:rsidRDefault="00F51742" w:rsidP="00F51742">
            <w:pPr>
              <w:pStyle w:val="Tablecontent"/>
              <w:ind w:left="113" w:right="113"/>
              <w:jc w:val="center"/>
            </w:pPr>
            <w:r w:rsidRPr="005342BC">
              <w:t>1,087,290,853</w:t>
            </w:r>
          </w:p>
        </w:tc>
        <w:tc>
          <w:tcPr>
            <w:tcW w:w="567" w:type="dxa"/>
            <w:textDirection w:val="btLr"/>
          </w:tcPr>
          <w:p w14:paraId="04174BD0" w14:textId="05CD7252" w:rsidR="00F51742" w:rsidRDefault="00F51742" w:rsidP="00F51742">
            <w:pPr>
              <w:pStyle w:val="Tablecontent"/>
              <w:ind w:left="113" w:right="113"/>
              <w:jc w:val="center"/>
            </w:pPr>
            <w:r w:rsidRPr="005342BC">
              <w:t>1,053,559,886</w:t>
            </w:r>
          </w:p>
        </w:tc>
        <w:tc>
          <w:tcPr>
            <w:tcW w:w="567" w:type="dxa"/>
            <w:textDirection w:val="btLr"/>
          </w:tcPr>
          <w:p w14:paraId="0CC4277C" w14:textId="35A7567B" w:rsidR="00F51742" w:rsidRDefault="00F51742" w:rsidP="00F51742">
            <w:pPr>
              <w:pStyle w:val="Tablecontent"/>
              <w:ind w:left="113" w:right="113"/>
              <w:jc w:val="center"/>
            </w:pPr>
            <w:r w:rsidRPr="005342BC">
              <w:t>1,223,863,029</w:t>
            </w:r>
          </w:p>
        </w:tc>
        <w:tc>
          <w:tcPr>
            <w:tcW w:w="567" w:type="dxa"/>
            <w:textDirection w:val="btLr"/>
          </w:tcPr>
          <w:p w14:paraId="5C2B6702" w14:textId="6FAD8A57" w:rsidR="00F51742" w:rsidRDefault="00F51742" w:rsidP="00F51742">
            <w:pPr>
              <w:pStyle w:val="Tablecontent"/>
              <w:ind w:left="113" w:right="113"/>
              <w:jc w:val="center"/>
            </w:pPr>
            <w:r w:rsidRPr="005342BC">
              <w:t>1,203,712,246</w:t>
            </w:r>
          </w:p>
        </w:tc>
        <w:tc>
          <w:tcPr>
            <w:tcW w:w="567" w:type="dxa"/>
            <w:textDirection w:val="btLr"/>
          </w:tcPr>
          <w:p w14:paraId="081BA2F4" w14:textId="6FA12DC1" w:rsidR="00F51742" w:rsidRDefault="00F51742" w:rsidP="00F51742">
            <w:pPr>
              <w:pStyle w:val="Tablecontent"/>
              <w:ind w:left="113" w:right="113"/>
              <w:jc w:val="center"/>
            </w:pPr>
            <w:r w:rsidRPr="005342BC">
              <w:t>1,020,309,133</w:t>
            </w:r>
          </w:p>
        </w:tc>
        <w:tc>
          <w:tcPr>
            <w:tcW w:w="567" w:type="dxa"/>
            <w:textDirection w:val="btLr"/>
          </w:tcPr>
          <w:p w14:paraId="27471B59" w14:textId="15653296" w:rsidR="00F51742" w:rsidRDefault="00F51742" w:rsidP="00F51742">
            <w:pPr>
              <w:pStyle w:val="Tablecontent"/>
              <w:ind w:left="113" w:right="113"/>
              <w:jc w:val="center"/>
            </w:pPr>
            <w:r w:rsidRPr="005342BC">
              <w:t>1,160,924,693</w:t>
            </w:r>
          </w:p>
        </w:tc>
        <w:tc>
          <w:tcPr>
            <w:tcW w:w="567" w:type="dxa"/>
            <w:textDirection w:val="btLr"/>
          </w:tcPr>
          <w:p w14:paraId="6DF0DB5A" w14:textId="66526681" w:rsidR="00F51742" w:rsidRDefault="00F51742" w:rsidP="00F51742">
            <w:pPr>
              <w:pStyle w:val="Tablecontent"/>
              <w:ind w:left="113" w:right="113"/>
              <w:jc w:val="center"/>
            </w:pPr>
            <w:r w:rsidRPr="005342BC">
              <w:t>1,152,958,507</w:t>
            </w:r>
          </w:p>
        </w:tc>
        <w:tc>
          <w:tcPr>
            <w:tcW w:w="567" w:type="dxa"/>
            <w:textDirection w:val="btLr"/>
          </w:tcPr>
          <w:p w14:paraId="4C1C0A79" w14:textId="02333DAE" w:rsidR="00F51742" w:rsidRDefault="00F51742" w:rsidP="00F51742">
            <w:pPr>
              <w:pStyle w:val="Tablecontent"/>
              <w:ind w:left="113" w:right="113"/>
              <w:jc w:val="center"/>
            </w:pPr>
            <w:r w:rsidRPr="005342BC">
              <w:t>1,138,967,842</w:t>
            </w:r>
          </w:p>
        </w:tc>
        <w:tc>
          <w:tcPr>
            <w:tcW w:w="567" w:type="dxa"/>
            <w:textDirection w:val="btLr"/>
          </w:tcPr>
          <w:p w14:paraId="6ACAAAAE" w14:textId="02D1F563" w:rsidR="00F51742" w:rsidRDefault="00F51742" w:rsidP="00F51742">
            <w:pPr>
              <w:pStyle w:val="Tablecontent"/>
              <w:ind w:left="113" w:right="113"/>
              <w:jc w:val="center"/>
            </w:pPr>
            <w:r w:rsidRPr="005342BC">
              <w:t>1,132,184,511</w:t>
            </w:r>
          </w:p>
        </w:tc>
        <w:tc>
          <w:tcPr>
            <w:tcW w:w="567" w:type="dxa"/>
            <w:textDirection w:val="btLr"/>
          </w:tcPr>
          <w:p w14:paraId="7C02D689" w14:textId="4BBF7AC8" w:rsidR="00F51742" w:rsidRDefault="00F51742" w:rsidP="00F51742">
            <w:pPr>
              <w:pStyle w:val="Tablecontent"/>
              <w:ind w:left="113" w:right="113"/>
              <w:jc w:val="center"/>
            </w:pPr>
            <w:r w:rsidRPr="005342BC">
              <w:t>1,167,323,935</w:t>
            </w:r>
          </w:p>
        </w:tc>
        <w:tc>
          <w:tcPr>
            <w:tcW w:w="567" w:type="dxa"/>
            <w:textDirection w:val="btLr"/>
          </w:tcPr>
          <w:p w14:paraId="13ED3365" w14:textId="0BD634C1" w:rsidR="00F51742" w:rsidRDefault="00F51742" w:rsidP="00F51742">
            <w:pPr>
              <w:pStyle w:val="Tablecontent"/>
              <w:ind w:left="113" w:right="113"/>
              <w:jc w:val="center"/>
            </w:pPr>
            <w:r w:rsidRPr="005342BC">
              <w:t>1,134,922,578</w:t>
            </w:r>
          </w:p>
        </w:tc>
        <w:tc>
          <w:tcPr>
            <w:tcW w:w="567" w:type="dxa"/>
            <w:textDirection w:val="btLr"/>
          </w:tcPr>
          <w:p w14:paraId="0DD95348" w14:textId="33B283BD" w:rsidR="00F51742" w:rsidRDefault="00F51742" w:rsidP="00F51742">
            <w:pPr>
              <w:pStyle w:val="Tablecontent"/>
              <w:ind w:left="113" w:right="113"/>
              <w:jc w:val="center"/>
            </w:pPr>
            <w:r w:rsidRPr="005342BC">
              <w:t>1,042,997,632</w:t>
            </w:r>
          </w:p>
        </w:tc>
      </w:tr>
      <w:tr w:rsidR="00F51742" w14:paraId="490EA863" w14:textId="77777777" w:rsidTr="00B97DB0">
        <w:trPr>
          <w:cantSplit/>
          <w:trHeight w:val="2258"/>
        </w:trPr>
        <w:tc>
          <w:tcPr>
            <w:tcW w:w="567" w:type="dxa"/>
            <w:textDirection w:val="btLr"/>
          </w:tcPr>
          <w:p w14:paraId="2D0DD912" w14:textId="6274C944" w:rsidR="00F51742" w:rsidRDefault="00F51742" w:rsidP="00F51742">
            <w:pPr>
              <w:pStyle w:val="Tablecontent"/>
              <w:ind w:left="113" w:right="113"/>
              <w:jc w:val="center"/>
            </w:pPr>
            <w:r w:rsidRPr="005342BC">
              <w:t>GCF_000146605.2</w:t>
            </w:r>
          </w:p>
        </w:tc>
        <w:tc>
          <w:tcPr>
            <w:tcW w:w="567" w:type="dxa"/>
            <w:textDirection w:val="btLr"/>
          </w:tcPr>
          <w:p w14:paraId="074D4AAE" w14:textId="355A2D37" w:rsidR="00F51742" w:rsidRDefault="00F51742" w:rsidP="00F51742">
            <w:pPr>
              <w:pStyle w:val="Tablecontent"/>
              <w:ind w:left="113" w:right="113"/>
              <w:jc w:val="center"/>
            </w:pPr>
            <w:r w:rsidRPr="005342BC">
              <w:t>GCF_000238935.1</w:t>
            </w:r>
          </w:p>
        </w:tc>
        <w:tc>
          <w:tcPr>
            <w:tcW w:w="567" w:type="dxa"/>
            <w:textDirection w:val="btLr"/>
          </w:tcPr>
          <w:p w14:paraId="3B369F19" w14:textId="5F8565F4" w:rsidR="00F51742" w:rsidRDefault="00F51742" w:rsidP="00F51742">
            <w:pPr>
              <w:pStyle w:val="Tablecontent"/>
              <w:ind w:left="113" w:right="113"/>
              <w:jc w:val="center"/>
            </w:pPr>
            <w:r w:rsidRPr="005342BC">
              <w:t>GCF_000691845.1</w:t>
            </w:r>
          </w:p>
        </w:tc>
        <w:tc>
          <w:tcPr>
            <w:tcW w:w="567" w:type="dxa"/>
            <w:textDirection w:val="btLr"/>
          </w:tcPr>
          <w:p w14:paraId="39824A2A" w14:textId="1BA52CB7" w:rsidR="00F51742" w:rsidRDefault="00F51742" w:rsidP="00F51742">
            <w:pPr>
              <w:pStyle w:val="Tablecontent"/>
              <w:ind w:left="113" w:right="113"/>
              <w:jc w:val="center"/>
            </w:pPr>
            <w:r w:rsidRPr="005342BC">
              <w:t>GCF_000695765.1</w:t>
            </w:r>
          </w:p>
        </w:tc>
        <w:tc>
          <w:tcPr>
            <w:tcW w:w="567" w:type="dxa"/>
            <w:textDirection w:val="btLr"/>
          </w:tcPr>
          <w:p w14:paraId="5663FD0E" w14:textId="2AB1319D" w:rsidR="00F51742" w:rsidRDefault="00F51742" w:rsidP="00F51742">
            <w:pPr>
              <w:pStyle w:val="Tablecontent"/>
              <w:ind w:left="113" w:right="113"/>
              <w:jc w:val="center"/>
            </w:pPr>
            <w:r w:rsidRPr="005342BC">
              <w:t>GCF_000696875.1</w:t>
            </w:r>
          </w:p>
        </w:tc>
        <w:tc>
          <w:tcPr>
            <w:tcW w:w="567" w:type="dxa"/>
            <w:textDirection w:val="btLr"/>
          </w:tcPr>
          <w:p w14:paraId="54EFED15" w14:textId="6AC9124C" w:rsidR="00F51742" w:rsidRDefault="00F51742" w:rsidP="00F51742">
            <w:pPr>
              <w:pStyle w:val="Tablecontent"/>
              <w:ind w:left="113" w:right="113"/>
              <w:jc w:val="center"/>
            </w:pPr>
            <w:r w:rsidRPr="005342BC">
              <w:t>GCF_000708225.1</w:t>
            </w:r>
          </w:p>
        </w:tc>
        <w:tc>
          <w:tcPr>
            <w:tcW w:w="567" w:type="dxa"/>
            <w:textDirection w:val="btLr"/>
          </w:tcPr>
          <w:p w14:paraId="13672728" w14:textId="3ECFEBA4" w:rsidR="00F51742" w:rsidRDefault="00F51742" w:rsidP="00F51742">
            <w:pPr>
              <w:pStyle w:val="Tablecontent"/>
              <w:ind w:left="113" w:right="113"/>
              <w:jc w:val="center"/>
            </w:pPr>
            <w:r w:rsidRPr="005342BC">
              <w:t>GCF_000692075.1</w:t>
            </w:r>
          </w:p>
        </w:tc>
        <w:tc>
          <w:tcPr>
            <w:tcW w:w="567" w:type="dxa"/>
            <w:textDirection w:val="btLr"/>
          </w:tcPr>
          <w:p w14:paraId="7755EBEA" w14:textId="498FBA22" w:rsidR="00F51742" w:rsidRDefault="00F51742" w:rsidP="00F51742">
            <w:pPr>
              <w:pStyle w:val="Tablecontent"/>
              <w:ind w:left="113" w:right="113"/>
              <w:jc w:val="center"/>
            </w:pPr>
            <w:r w:rsidRPr="005342BC">
              <w:t>GCF_001522545.1</w:t>
            </w:r>
          </w:p>
        </w:tc>
        <w:tc>
          <w:tcPr>
            <w:tcW w:w="567" w:type="dxa"/>
            <w:textDirection w:val="btLr"/>
          </w:tcPr>
          <w:p w14:paraId="36486DAA" w14:textId="29E4961A" w:rsidR="00F51742" w:rsidRDefault="00F51742" w:rsidP="00F51742">
            <w:pPr>
              <w:pStyle w:val="Tablecontent"/>
              <w:ind w:left="113" w:right="113"/>
              <w:jc w:val="center"/>
            </w:pPr>
            <w:r w:rsidRPr="005342BC">
              <w:t>GCF_000687375.1</w:t>
            </w:r>
          </w:p>
        </w:tc>
        <w:tc>
          <w:tcPr>
            <w:tcW w:w="567" w:type="dxa"/>
            <w:textDirection w:val="btLr"/>
          </w:tcPr>
          <w:p w14:paraId="13A3DDC4" w14:textId="415F1E90" w:rsidR="00F51742" w:rsidRDefault="00F51742" w:rsidP="00F51742">
            <w:pPr>
              <w:pStyle w:val="Tablecontent"/>
              <w:ind w:left="113" w:right="113"/>
              <w:jc w:val="center"/>
            </w:pPr>
            <w:r w:rsidRPr="005342BC">
              <w:t>GCF_000687285.1</w:t>
            </w:r>
          </w:p>
        </w:tc>
        <w:tc>
          <w:tcPr>
            <w:tcW w:w="567" w:type="dxa"/>
            <w:textDirection w:val="btLr"/>
          </w:tcPr>
          <w:p w14:paraId="107F54DD" w14:textId="79246036" w:rsidR="00F51742" w:rsidRDefault="00F51742" w:rsidP="00F51742">
            <w:pPr>
              <w:pStyle w:val="Tablecontent"/>
              <w:ind w:left="113" w:right="113"/>
              <w:jc w:val="center"/>
            </w:pPr>
            <w:r w:rsidRPr="005342BC">
              <w:t>GCF_000708925.1</w:t>
            </w:r>
          </w:p>
        </w:tc>
        <w:tc>
          <w:tcPr>
            <w:tcW w:w="567" w:type="dxa"/>
            <w:textDirection w:val="btLr"/>
          </w:tcPr>
          <w:p w14:paraId="7FE75FA6" w14:textId="038BF906" w:rsidR="00F51742" w:rsidRDefault="00F51742" w:rsidP="00F51742">
            <w:pPr>
              <w:pStyle w:val="Tablecontent"/>
              <w:ind w:left="113" w:right="113"/>
              <w:jc w:val="center"/>
            </w:pPr>
            <w:r w:rsidRPr="005342BC">
              <w:t>GCA_000687265.1</w:t>
            </w:r>
          </w:p>
        </w:tc>
        <w:tc>
          <w:tcPr>
            <w:tcW w:w="567" w:type="dxa"/>
            <w:textDirection w:val="btLr"/>
          </w:tcPr>
          <w:p w14:paraId="6A4D5A70" w14:textId="2BDD02F8" w:rsidR="00F51742" w:rsidRDefault="00F51742" w:rsidP="00F51742">
            <w:pPr>
              <w:pStyle w:val="Tablecontent"/>
              <w:ind w:left="113" w:right="113"/>
              <w:jc w:val="center"/>
            </w:pPr>
            <w:r w:rsidRPr="005342BC">
              <w:t>GCF_000699005.1</w:t>
            </w:r>
          </w:p>
        </w:tc>
        <w:tc>
          <w:tcPr>
            <w:tcW w:w="567" w:type="dxa"/>
            <w:textDirection w:val="btLr"/>
          </w:tcPr>
          <w:p w14:paraId="349373B3" w14:textId="58C7A8E0" w:rsidR="00F51742" w:rsidRDefault="00F51742" w:rsidP="00F51742">
            <w:pPr>
              <w:pStyle w:val="Tablecontent"/>
              <w:ind w:left="113" w:right="113"/>
              <w:jc w:val="center"/>
            </w:pPr>
            <w:r w:rsidRPr="005342BC">
              <w:t>GCA_000699545.1</w:t>
            </w:r>
          </w:p>
        </w:tc>
        <w:tc>
          <w:tcPr>
            <w:tcW w:w="567" w:type="dxa"/>
            <w:textDirection w:val="btLr"/>
          </w:tcPr>
          <w:p w14:paraId="17CA5AEB" w14:textId="7EA68FD5" w:rsidR="00F51742" w:rsidRDefault="00F51742" w:rsidP="00F51742">
            <w:pPr>
              <w:pStyle w:val="Tablecontent"/>
              <w:ind w:left="113" w:right="113"/>
              <w:jc w:val="center"/>
            </w:pPr>
            <w:r w:rsidRPr="005342BC">
              <w:t>GCF_000331425.1</w:t>
            </w:r>
          </w:p>
        </w:tc>
      </w:tr>
      <w:tr w:rsidR="00F51742" w14:paraId="48FEF29E" w14:textId="77777777" w:rsidTr="00B97DB0">
        <w:trPr>
          <w:cantSplit/>
          <w:trHeight w:val="2843"/>
        </w:trPr>
        <w:tc>
          <w:tcPr>
            <w:tcW w:w="567" w:type="dxa"/>
            <w:textDirection w:val="btLr"/>
          </w:tcPr>
          <w:p w14:paraId="525EAE96" w14:textId="56E8E540" w:rsidR="00F51742" w:rsidRDefault="00F51742" w:rsidP="00F51742">
            <w:pPr>
              <w:pStyle w:val="Tablecontent"/>
              <w:ind w:left="113" w:right="113"/>
            </w:pPr>
            <w:r w:rsidRPr="005342BC">
              <w:t>Turkey</w:t>
            </w:r>
          </w:p>
        </w:tc>
        <w:tc>
          <w:tcPr>
            <w:tcW w:w="567" w:type="dxa"/>
            <w:textDirection w:val="btLr"/>
          </w:tcPr>
          <w:p w14:paraId="155C9B6B" w14:textId="3FAFA04B" w:rsidR="00F51742" w:rsidRDefault="00F51742" w:rsidP="00F51742">
            <w:pPr>
              <w:pStyle w:val="Tablecontent"/>
              <w:ind w:left="113" w:right="113"/>
            </w:pPr>
            <w:r w:rsidRPr="005342BC">
              <w:t>Budgerigar</w:t>
            </w:r>
          </w:p>
        </w:tc>
        <w:tc>
          <w:tcPr>
            <w:tcW w:w="567" w:type="dxa"/>
            <w:textDirection w:val="btLr"/>
          </w:tcPr>
          <w:p w14:paraId="1CC31311" w14:textId="4FA52121" w:rsidR="00F51742" w:rsidRDefault="00F51742" w:rsidP="00F51742">
            <w:pPr>
              <w:pStyle w:val="Tablecontent"/>
              <w:ind w:left="113" w:right="113"/>
            </w:pPr>
            <w:r w:rsidRPr="005342BC">
              <w:t>Carmine bee-eater</w:t>
            </w:r>
          </w:p>
        </w:tc>
        <w:tc>
          <w:tcPr>
            <w:tcW w:w="567" w:type="dxa"/>
            <w:textDirection w:val="btLr"/>
          </w:tcPr>
          <w:p w14:paraId="02BF39B0" w14:textId="0CF4DE8F" w:rsidR="00F51742" w:rsidRDefault="00F51742" w:rsidP="00F51742">
            <w:pPr>
              <w:pStyle w:val="Tablecontent"/>
              <w:ind w:left="113" w:right="113"/>
            </w:pPr>
            <w:r w:rsidRPr="005342BC">
              <w:t>Brown roatelo</w:t>
            </w:r>
          </w:p>
        </w:tc>
        <w:tc>
          <w:tcPr>
            <w:tcW w:w="567" w:type="dxa"/>
            <w:textDirection w:val="btLr"/>
          </w:tcPr>
          <w:p w14:paraId="7D14C57D" w14:textId="290AD92F" w:rsidR="00F51742" w:rsidRDefault="00F51742" w:rsidP="00F51742">
            <w:pPr>
              <w:pStyle w:val="Tablecontent"/>
              <w:ind w:left="113" w:right="113"/>
            </w:pPr>
            <w:r w:rsidRPr="005342BC">
              <w:t>Kea</w:t>
            </w:r>
          </w:p>
        </w:tc>
        <w:tc>
          <w:tcPr>
            <w:tcW w:w="567" w:type="dxa"/>
            <w:textDirection w:val="btLr"/>
          </w:tcPr>
          <w:p w14:paraId="20E9413A" w14:textId="203AB39F" w:rsidR="00F51742" w:rsidRDefault="00F51742" w:rsidP="00F51742">
            <w:pPr>
              <w:pStyle w:val="Tablecontent"/>
              <w:ind w:left="113" w:right="113"/>
            </w:pPr>
            <w:r w:rsidRPr="005342BC">
              <w:t>Crested ibis</w:t>
            </w:r>
          </w:p>
        </w:tc>
        <w:tc>
          <w:tcPr>
            <w:tcW w:w="567" w:type="dxa"/>
            <w:textDirection w:val="btLr"/>
          </w:tcPr>
          <w:p w14:paraId="2F781F5E" w14:textId="0709A28C" w:rsidR="00F51742" w:rsidRDefault="00F51742" w:rsidP="00F51742">
            <w:pPr>
              <w:pStyle w:val="Tablecontent"/>
              <w:ind w:left="113" w:right="113"/>
            </w:pPr>
            <w:r w:rsidRPr="005342BC">
              <w:t>Hoatzin</w:t>
            </w:r>
          </w:p>
        </w:tc>
        <w:tc>
          <w:tcPr>
            <w:tcW w:w="567" w:type="dxa"/>
            <w:textDirection w:val="btLr"/>
          </w:tcPr>
          <w:p w14:paraId="2E583610" w14:textId="17AD88CA" w:rsidR="00F51742" w:rsidRDefault="00F51742" w:rsidP="00F51742">
            <w:pPr>
              <w:pStyle w:val="Tablecontent"/>
              <w:ind w:left="113" w:right="113"/>
            </w:pPr>
            <w:r w:rsidRPr="005342BC">
              <w:t>Great tit</w:t>
            </w:r>
          </w:p>
        </w:tc>
        <w:tc>
          <w:tcPr>
            <w:tcW w:w="567" w:type="dxa"/>
            <w:textDirection w:val="btLr"/>
          </w:tcPr>
          <w:p w14:paraId="091EC049" w14:textId="77655C23" w:rsidR="00F51742" w:rsidRDefault="00F51742" w:rsidP="00F51742">
            <w:pPr>
              <w:pStyle w:val="Tablecontent"/>
              <w:ind w:left="113" w:right="113"/>
            </w:pPr>
            <w:r w:rsidRPr="005342BC">
              <w:t>Dalmatian pelican</w:t>
            </w:r>
          </w:p>
        </w:tc>
        <w:tc>
          <w:tcPr>
            <w:tcW w:w="567" w:type="dxa"/>
            <w:textDirection w:val="btLr"/>
          </w:tcPr>
          <w:p w14:paraId="7BC35408" w14:textId="068C91BF" w:rsidR="00F51742" w:rsidRDefault="00F51742" w:rsidP="00F51742">
            <w:pPr>
              <w:pStyle w:val="Tablecontent"/>
              <w:ind w:left="113" w:right="113"/>
            </w:pPr>
            <w:r w:rsidRPr="005342BC">
              <w:t>White-tailed tropicbird</w:t>
            </w:r>
          </w:p>
        </w:tc>
        <w:tc>
          <w:tcPr>
            <w:tcW w:w="567" w:type="dxa"/>
            <w:textDirection w:val="btLr"/>
          </w:tcPr>
          <w:p w14:paraId="0F7BBADC" w14:textId="59BFF692" w:rsidR="00F51742" w:rsidRDefault="00F51742" w:rsidP="00F51742">
            <w:pPr>
              <w:pStyle w:val="Tablecontent"/>
              <w:ind w:left="113" w:right="113"/>
            </w:pPr>
            <w:r w:rsidRPr="005342BC">
              <w:t>Great cormorant</w:t>
            </w:r>
          </w:p>
        </w:tc>
        <w:tc>
          <w:tcPr>
            <w:tcW w:w="567" w:type="dxa"/>
            <w:textDirection w:val="btLr"/>
          </w:tcPr>
          <w:p w14:paraId="18BC3874" w14:textId="346322FF" w:rsidR="00F51742" w:rsidRDefault="00F51742" w:rsidP="00F51742">
            <w:pPr>
              <w:pStyle w:val="Tablecontent"/>
              <w:ind w:left="113" w:right="113"/>
            </w:pPr>
            <w:r w:rsidRPr="005342BC">
              <w:t>American flamingo</w:t>
            </w:r>
          </w:p>
        </w:tc>
        <w:tc>
          <w:tcPr>
            <w:tcW w:w="567" w:type="dxa"/>
            <w:textDirection w:val="btLr"/>
          </w:tcPr>
          <w:p w14:paraId="07CE8C44" w14:textId="5A424FF3" w:rsidR="00F51742" w:rsidRDefault="00F51742" w:rsidP="00F51742">
            <w:pPr>
              <w:pStyle w:val="Tablecontent"/>
              <w:ind w:left="113" w:right="113"/>
            </w:pPr>
            <w:r w:rsidRPr="005342BC">
              <w:t>Downy woodpecker</w:t>
            </w:r>
          </w:p>
        </w:tc>
        <w:tc>
          <w:tcPr>
            <w:tcW w:w="567" w:type="dxa"/>
            <w:textDirection w:val="btLr"/>
          </w:tcPr>
          <w:p w14:paraId="19E7C32E" w14:textId="3D0209C6" w:rsidR="00F51742" w:rsidRDefault="00F51742" w:rsidP="00F51742">
            <w:pPr>
              <w:pStyle w:val="Tablecontent"/>
              <w:ind w:left="113" w:right="113"/>
            </w:pPr>
            <w:r w:rsidRPr="005342BC">
              <w:t>Great crested grebe</w:t>
            </w:r>
          </w:p>
        </w:tc>
        <w:tc>
          <w:tcPr>
            <w:tcW w:w="567" w:type="dxa"/>
            <w:textDirection w:val="btLr"/>
          </w:tcPr>
          <w:p w14:paraId="6B377135" w14:textId="123DCB5F" w:rsidR="00F51742" w:rsidRDefault="00F51742" w:rsidP="00F51742">
            <w:pPr>
              <w:pStyle w:val="Tablecontent"/>
              <w:ind w:left="113" w:right="113"/>
            </w:pPr>
            <w:r w:rsidRPr="005342BC">
              <w:t>Tibetan ground-tit</w:t>
            </w:r>
          </w:p>
        </w:tc>
      </w:tr>
      <w:tr w:rsidR="00F51742" w14:paraId="5BCBBE2F" w14:textId="77777777" w:rsidTr="00B97DB0">
        <w:trPr>
          <w:cantSplit/>
          <w:trHeight w:val="3236"/>
        </w:trPr>
        <w:tc>
          <w:tcPr>
            <w:tcW w:w="567" w:type="dxa"/>
            <w:textDirection w:val="btLr"/>
          </w:tcPr>
          <w:p w14:paraId="77AE74AE" w14:textId="27548F4D" w:rsidR="00F51742" w:rsidRPr="00BC30B0" w:rsidRDefault="00F51742" w:rsidP="00F51742">
            <w:pPr>
              <w:pStyle w:val="Tablecontent"/>
              <w:ind w:left="113" w:right="113"/>
            </w:pPr>
            <w:r w:rsidRPr="007F3617">
              <w:rPr>
                <w:i/>
              </w:rPr>
              <w:t>Meleagris gallopavo</w:t>
            </w:r>
            <w:r w:rsidR="00BC30B0">
              <w:t xml:space="preserve"> *</w:t>
            </w:r>
          </w:p>
        </w:tc>
        <w:tc>
          <w:tcPr>
            <w:tcW w:w="567" w:type="dxa"/>
            <w:textDirection w:val="btLr"/>
          </w:tcPr>
          <w:p w14:paraId="7ABF3CE1" w14:textId="361F16EA" w:rsidR="00F51742" w:rsidRPr="00BC30B0" w:rsidRDefault="00F51742" w:rsidP="00F51742">
            <w:pPr>
              <w:pStyle w:val="Tablecontent"/>
              <w:ind w:left="113" w:right="113"/>
            </w:pPr>
            <w:r w:rsidRPr="007F3617">
              <w:rPr>
                <w:i/>
              </w:rPr>
              <w:t xml:space="preserve">Melopsittacus </w:t>
            </w:r>
            <w:r w:rsidR="00BC30B0">
              <w:rPr>
                <w:i/>
              </w:rPr>
              <w:t>undulates</w:t>
            </w:r>
            <w:r w:rsidR="00BC30B0">
              <w:t xml:space="preserve"> *</w:t>
            </w:r>
          </w:p>
        </w:tc>
        <w:tc>
          <w:tcPr>
            <w:tcW w:w="567" w:type="dxa"/>
            <w:textDirection w:val="btLr"/>
          </w:tcPr>
          <w:p w14:paraId="158F85BE" w14:textId="6E8D9B11" w:rsidR="00F51742" w:rsidRPr="007F3617" w:rsidRDefault="00F51742" w:rsidP="00F51742">
            <w:pPr>
              <w:pStyle w:val="Tablecontent"/>
              <w:ind w:left="113" w:right="113"/>
              <w:rPr>
                <w:i/>
              </w:rPr>
            </w:pPr>
            <w:r w:rsidRPr="007F3617">
              <w:rPr>
                <w:i/>
              </w:rPr>
              <w:t>Merops nubicus</w:t>
            </w:r>
          </w:p>
        </w:tc>
        <w:tc>
          <w:tcPr>
            <w:tcW w:w="567" w:type="dxa"/>
            <w:textDirection w:val="btLr"/>
          </w:tcPr>
          <w:p w14:paraId="3E0A8332" w14:textId="4982D77B" w:rsidR="00F51742" w:rsidRPr="007F3617" w:rsidRDefault="00F51742" w:rsidP="00F51742">
            <w:pPr>
              <w:pStyle w:val="Tablecontent"/>
              <w:ind w:left="113" w:right="113"/>
              <w:rPr>
                <w:i/>
              </w:rPr>
            </w:pPr>
            <w:r w:rsidRPr="007F3617">
              <w:rPr>
                <w:i/>
              </w:rPr>
              <w:t>Mesitornis unicolor</w:t>
            </w:r>
          </w:p>
        </w:tc>
        <w:tc>
          <w:tcPr>
            <w:tcW w:w="567" w:type="dxa"/>
            <w:textDirection w:val="btLr"/>
          </w:tcPr>
          <w:p w14:paraId="3457DF58" w14:textId="3B9170B6" w:rsidR="00F51742" w:rsidRPr="007F3617" w:rsidRDefault="00F51742" w:rsidP="00F51742">
            <w:pPr>
              <w:pStyle w:val="Tablecontent"/>
              <w:ind w:left="113" w:right="113"/>
              <w:rPr>
                <w:i/>
              </w:rPr>
            </w:pPr>
            <w:r w:rsidRPr="007F3617">
              <w:rPr>
                <w:i/>
              </w:rPr>
              <w:t>Nestor notabilis</w:t>
            </w:r>
          </w:p>
        </w:tc>
        <w:tc>
          <w:tcPr>
            <w:tcW w:w="567" w:type="dxa"/>
            <w:textDirection w:val="btLr"/>
          </w:tcPr>
          <w:p w14:paraId="2A200611" w14:textId="559DC697" w:rsidR="00F51742" w:rsidRPr="007F3617" w:rsidRDefault="00F51742" w:rsidP="00F51742">
            <w:pPr>
              <w:pStyle w:val="Tablecontent"/>
              <w:ind w:left="113" w:right="113"/>
              <w:rPr>
                <w:i/>
              </w:rPr>
            </w:pPr>
            <w:r w:rsidRPr="007F3617">
              <w:rPr>
                <w:i/>
              </w:rPr>
              <w:t>Nipponia nippon</w:t>
            </w:r>
          </w:p>
        </w:tc>
        <w:tc>
          <w:tcPr>
            <w:tcW w:w="567" w:type="dxa"/>
            <w:textDirection w:val="btLr"/>
          </w:tcPr>
          <w:p w14:paraId="29957E83" w14:textId="0B6A1522" w:rsidR="00F51742" w:rsidRPr="007F3617" w:rsidRDefault="00F51742" w:rsidP="00F51742">
            <w:pPr>
              <w:pStyle w:val="Tablecontent"/>
              <w:ind w:left="113" w:right="113"/>
              <w:rPr>
                <w:i/>
              </w:rPr>
            </w:pPr>
            <w:r w:rsidRPr="007F3617">
              <w:rPr>
                <w:i/>
              </w:rPr>
              <w:t>Opisthocomus hoazin</w:t>
            </w:r>
          </w:p>
        </w:tc>
        <w:tc>
          <w:tcPr>
            <w:tcW w:w="567" w:type="dxa"/>
            <w:textDirection w:val="btLr"/>
          </w:tcPr>
          <w:p w14:paraId="6723343D" w14:textId="29AE00E8" w:rsidR="00F51742" w:rsidRPr="007F3617" w:rsidRDefault="00F51742" w:rsidP="00F51742">
            <w:pPr>
              <w:pStyle w:val="Tablecontent"/>
              <w:ind w:left="113" w:right="113"/>
              <w:rPr>
                <w:i/>
              </w:rPr>
            </w:pPr>
            <w:r w:rsidRPr="007F3617">
              <w:rPr>
                <w:i/>
              </w:rPr>
              <w:t>Parus major</w:t>
            </w:r>
          </w:p>
        </w:tc>
        <w:tc>
          <w:tcPr>
            <w:tcW w:w="567" w:type="dxa"/>
            <w:textDirection w:val="btLr"/>
          </w:tcPr>
          <w:p w14:paraId="4C980165" w14:textId="036E5F09" w:rsidR="00F51742" w:rsidRPr="00BC30B0" w:rsidRDefault="00F51742" w:rsidP="00F51742">
            <w:pPr>
              <w:pStyle w:val="Tablecontent"/>
              <w:ind w:left="113" w:right="113"/>
            </w:pPr>
            <w:r w:rsidRPr="007F3617">
              <w:rPr>
                <w:i/>
              </w:rPr>
              <w:t>Pelecanus crispus</w:t>
            </w:r>
            <w:r w:rsidR="00BC30B0">
              <w:t xml:space="preserve"> *</w:t>
            </w:r>
          </w:p>
        </w:tc>
        <w:tc>
          <w:tcPr>
            <w:tcW w:w="567" w:type="dxa"/>
            <w:textDirection w:val="btLr"/>
          </w:tcPr>
          <w:p w14:paraId="7E7A557B" w14:textId="396D7F98" w:rsidR="00F51742" w:rsidRPr="007F3617" w:rsidRDefault="00F51742" w:rsidP="00F51742">
            <w:pPr>
              <w:pStyle w:val="Tablecontent"/>
              <w:ind w:left="113" w:right="113"/>
              <w:rPr>
                <w:i/>
              </w:rPr>
            </w:pPr>
            <w:r w:rsidRPr="007F3617">
              <w:rPr>
                <w:i/>
              </w:rPr>
              <w:t>Phaethon lepturus</w:t>
            </w:r>
          </w:p>
        </w:tc>
        <w:tc>
          <w:tcPr>
            <w:tcW w:w="567" w:type="dxa"/>
            <w:textDirection w:val="btLr"/>
          </w:tcPr>
          <w:p w14:paraId="362E4F10" w14:textId="38C4BB84" w:rsidR="00F51742" w:rsidRPr="007F3617" w:rsidRDefault="00F51742" w:rsidP="00F51742">
            <w:pPr>
              <w:pStyle w:val="Tablecontent"/>
              <w:ind w:left="113" w:right="113"/>
              <w:rPr>
                <w:i/>
              </w:rPr>
            </w:pPr>
            <w:r w:rsidRPr="007F3617">
              <w:rPr>
                <w:i/>
              </w:rPr>
              <w:t>Phalacrocorax carbo</w:t>
            </w:r>
          </w:p>
        </w:tc>
        <w:tc>
          <w:tcPr>
            <w:tcW w:w="567" w:type="dxa"/>
            <w:textDirection w:val="btLr"/>
          </w:tcPr>
          <w:p w14:paraId="299BEA90" w14:textId="6E5A93DD" w:rsidR="00F51742" w:rsidRPr="007F3617" w:rsidRDefault="00F51742" w:rsidP="00F51742">
            <w:pPr>
              <w:pStyle w:val="Tablecontent"/>
              <w:ind w:left="113" w:right="113"/>
              <w:rPr>
                <w:i/>
              </w:rPr>
            </w:pPr>
            <w:r w:rsidRPr="007F3617">
              <w:rPr>
                <w:i/>
              </w:rPr>
              <w:t>Phoenicopterus ruber</w:t>
            </w:r>
          </w:p>
        </w:tc>
        <w:tc>
          <w:tcPr>
            <w:tcW w:w="567" w:type="dxa"/>
            <w:textDirection w:val="btLr"/>
          </w:tcPr>
          <w:p w14:paraId="5D82504E" w14:textId="5D130CB6" w:rsidR="00F51742" w:rsidRPr="00BC30B0" w:rsidRDefault="00F51742" w:rsidP="00F51742">
            <w:pPr>
              <w:pStyle w:val="Tablecontent"/>
              <w:ind w:left="113" w:right="113"/>
            </w:pPr>
            <w:r w:rsidRPr="007F3617">
              <w:rPr>
                <w:i/>
              </w:rPr>
              <w:t>Picoides pubescens</w:t>
            </w:r>
            <w:r w:rsidR="00BC30B0">
              <w:t xml:space="preserve"> *</w:t>
            </w:r>
          </w:p>
        </w:tc>
        <w:tc>
          <w:tcPr>
            <w:tcW w:w="567" w:type="dxa"/>
            <w:tcBorders>
              <w:bottom w:val="nil"/>
            </w:tcBorders>
            <w:textDirection w:val="btLr"/>
          </w:tcPr>
          <w:p w14:paraId="6B4FB0CD" w14:textId="7F9210D9" w:rsidR="00F51742" w:rsidRPr="007F3617" w:rsidRDefault="00F51742" w:rsidP="00F51742">
            <w:pPr>
              <w:pStyle w:val="Tablecontent"/>
              <w:ind w:left="113" w:right="113"/>
              <w:rPr>
                <w:i/>
              </w:rPr>
            </w:pPr>
            <w:r w:rsidRPr="007F3617">
              <w:rPr>
                <w:i/>
              </w:rPr>
              <w:t>Podiceps cristatus</w:t>
            </w:r>
          </w:p>
        </w:tc>
        <w:tc>
          <w:tcPr>
            <w:tcW w:w="567" w:type="dxa"/>
            <w:tcBorders>
              <w:bottom w:val="nil"/>
            </w:tcBorders>
            <w:textDirection w:val="btLr"/>
          </w:tcPr>
          <w:p w14:paraId="6B3E9AF6" w14:textId="219D5FC0" w:rsidR="00F51742" w:rsidRPr="007F3617" w:rsidRDefault="00F51742" w:rsidP="00F51742">
            <w:pPr>
              <w:pStyle w:val="Tablecontent"/>
              <w:ind w:left="113" w:right="113"/>
              <w:rPr>
                <w:i/>
              </w:rPr>
            </w:pPr>
            <w:r w:rsidRPr="007F3617">
              <w:rPr>
                <w:i/>
              </w:rPr>
              <w:t>Pseudopodoces humilis</w:t>
            </w:r>
          </w:p>
        </w:tc>
      </w:tr>
      <w:tr w:rsidR="00F51742" w14:paraId="2F238F11" w14:textId="77777777" w:rsidTr="00B97DB0">
        <w:trPr>
          <w:cantSplit/>
          <w:trHeight w:val="1408"/>
        </w:trPr>
        <w:tc>
          <w:tcPr>
            <w:tcW w:w="567" w:type="dxa"/>
            <w:textDirection w:val="btLr"/>
          </w:tcPr>
          <w:p w14:paraId="07A56FE6" w14:textId="64D98B8E" w:rsidR="00F51742" w:rsidRDefault="00F51742" w:rsidP="00F51742">
            <w:pPr>
              <w:pStyle w:val="Tablecontent"/>
              <w:ind w:left="113" w:right="113"/>
              <w:jc w:val="center"/>
            </w:pPr>
            <w:r w:rsidRPr="00DF11D2">
              <w:lastRenderedPageBreak/>
              <w:t>26,448</w:t>
            </w:r>
          </w:p>
        </w:tc>
        <w:tc>
          <w:tcPr>
            <w:tcW w:w="567" w:type="dxa"/>
            <w:textDirection w:val="btLr"/>
          </w:tcPr>
          <w:p w14:paraId="70C2727D" w14:textId="08CBBED9" w:rsidR="00F51742" w:rsidRDefault="00F51742" w:rsidP="00F51742">
            <w:pPr>
              <w:pStyle w:val="Tablecontent"/>
              <w:ind w:left="113" w:right="113"/>
              <w:jc w:val="center"/>
            </w:pPr>
            <w:r w:rsidRPr="00DF11D2">
              <w:t>22,195</w:t>
            </w:r>
          </w:p>
        </w:tc>
        <w:tc>
          <w:tcPr>
            <w:tcW w:w="567" w:type="dxa"/>
            <w:textDirection w:val="btLr"/>
          </w:tcPr>
          <w:p w14:paraId="6EAF1E7E" w14:textId="0B6552C4" w:rsidR="00F51742" w:rsidRDefault="00F51742" w:rsidP="00F51742">
            <w:pPr>
              <w:pStyle w:val="Tablecontent"/>
              <w:ind w:left="113" w:right="113"/>
              <w:jc w:val="center"/>
            </w:pPr>
            <w:r w:rsidRPr="00DF11D2">
              <w:t>10,658</w:t>
            </w:r>
          </w:p>
        </w:tc>
        <w:tc>
          <w:tcPr>
            <w:tcW w:w="567" w:type="dxa"/>
            <w:textDirection w:val="btLr"/>
          </w:tcPr>
          <w:p w14:paraId="4F31B5FE" w14:textId="4924EB11" w:rsidR="00F51742" w:rsidRDefault="00F51742" w:rsidP="00F51742">
            <w:pPr>
              <w:pStyle w:val="Tablecontent"/>
              <w:ind w:left="113" w:right="113"/>
              <w:jc w:val="center"/>
            </w:pPr>
            <w:r w:rsidRPr="00DF11D2">
              <w:t>53,884</w:t>
            </w:r>
          </w:p>
        </w:tc>
        <w:tc>
          <w:tcPr>
            <w:tcW w:w="567" w:type="dxa"/>
            <w:textDirection w:val="btLr"/>
          </w:tcPr>
          <w:p w14:paraId="411FB29B" w14:textId="285AB80E" w:rsidR="00F51742" w:rsidRDefault="00F51742" w:rsidP="00F51742">
            <w:pPr>
              <w:pStyle w:val="Tablecontent"/>
              <w:ind w:left="113" w:right="113"/>
              <w:jc w:val="center"/>
            </w:pPr>
            <w:r w:rsidRPr="00DF11D2">
              <w:t>34,997</w:t>
            </w:r>
          </w:p>
        </w:tc>
        <w:tc>
          <w:tcPr>
            <w:tcW w:w="567" w:type="dxa"/>
            <w:textDirection w:val="btLr"/>
          </w:tcPr>
          <w:p w14:paraId="7813BC45" w14:textId="3B53B280" w:rsidR="00F51742" w:rsidRDefault="00F51742" w:rsidP="00F51742">
            <w:pPr>
              <w:pStyle w:val="Tablecontent"/>
              <w:ind w:left="113" w:right="113"/>
              <w:jc w:val="center"/>
            </w:pPr>
            <w:r w:rsidRPr="00DF11D2">
              <w:t>151,865</w:t>
            </w:r>
          </w:p>
        </w:tc>
        <w:tc>
          <w:tcPr>
            <w:tcW w:w="567" w:type="dxa"/>
            <w:textDirection w:val="btLr"/>
          </w:tcPr>
          <w:p w14:paraId="282AACB6" w14:textId="14F3A1EF" w:rsidR="00F51742" w:rsidRDefault="00F51742" w:rsidP="00F51742">
            <w:pPr>
              <w:pStyle w:val="Tablecontent"/>
              <w:ind w:left="113" w:right="113"/>
              <w:jc w:val="center"/>
            </w:pPr>
            <w:r w:rsidRPr="00DF11D2">
              <w:t>38,639</w:t>
            </w:r>
          </w:p>
        </w:tc>
        <w:tc>
          <w:tcPr>
            <w:tcW w:w="567" w:type="dxa"/>
            <w:textDirection w:val="btLr"/>
          </w:tcPr>
          <w:p w14:paraId="08308F86" w14:textId="61980199" w:rsidR="00F51742" w:rsidRDefault="00F51742" w:rsidP="00F51742">
            <w:pPr>
              <w:pStyle w:val="Tablecontent"/>
              <w:ind w:left="113" w:right="113"/>
              <w:jc w:val="center"/>
            </w:pPr>
            <w:r w:rsidRPr="00DF11D2">
              <w:t>22,885</w:t>
            </w:r>
          </w:p>
        </w:tc>
        <w:tc>
          <w:tcPr>
            <w:tcW w:w="567" w:type="dxa"/>
            <w:textDirection w:val="btLr"/>
          </w:tcPr>
          <w:p w14:paraId="49FEAD25" w14:textId="1F823821" w:rsidR="00F51742" w:rsidRDefault="00F51742" w:rsidP="00F51742">
            <w:pPr>
              <w:pStyle w:val="Tablecontent"/>
              <w:ind w:left="113" w:right="113"/>
              <w:jc w:val="center"/>
            </w:pPr>
            <w:r w:rsidRPr="00DF11D2">
              <w:t>10,447</w:t>
            </w:r>
          </w:p>
        </w:tc>
        <w:tc>
          <w:tcPr>
            <w:tcW w:w="567" w:type="dxa"/>
            <w:textDirection w:val="btLr"/>
          </w:tcPr>
          <w:p w14:paraId="4A453763" w14:textId="61B012E4" w:rsidR="00F51742" w:rsidRDefault="00F51742" w:rsidP="00F51742">
            <w:pPr>
              <w:pStyle w:val="Tablecontent"/>
              <w:ind w:left="113" w:right="113"/>
              <w:jc w:val="center"/>
            </w:pPr>
            <w:r w:rsidRPr="00DF11D2">
              <w:t>29,773</w:t>
            </w:r>
          </w:p>
        </w:tc>
        <w:tc>
          <w:tcPr>
            <w:tcW w:w="567" w:type="dxa"/>
            <w:textDirection w:val="btLr"/>
          </w:tcPr>
          <w:p w14:paraId="5C6AADBA" w14:textId="3AD1AAEA" w:rsidR="00F51742" w:rsidRDefault="00F51742" w:rsidP="00F51742">
            <w:pPr>
              <w:pStyle w:val="Tablecontent"/>
              <w:ind w:left="113" w:right="113"/>
              <w:jc w:val="center"/>
            </w:pPr>
            <w:r w:rsidRPr="00DF11D2">
              <w:t>17,226</w:t>
            </w:r>
          </w:p>
        </w:tc>
        <w:tc>
          <w:tcPr>
            <w:tcW w:w="567" w:type="dxa"/>
            <w:textDirection w:val="btLr"/>
          </w:tcPr>
          <w:p w14:paraId="03978D78" w14:textId="1896B70A" w:rsidR="00F51742" w:rsidRDefault="00F51742" w:rsidP="00F51742">
            <w:pPr>
              <w:pStyle w:val="Tablecontent"/>
              <w:ind w:left="113" w:right="113"/>
              <w:jc w:val="center"/>
            </w:pPr>
            <w:r w:rsidRPr="00DF11D2">
              <w:t>112,748</w:t>
            </w:r>
          </w:p>
        </w:tc>
        <w:tc>
          <w:tcPr>
            <w:tcW w:w="567" w:type="dxa"/>
            <w:textDirection w:val="btLr"/>
          </w:tcPr>
          <w:p w14:paraId="681AE05A" w14:textId="68F8C0EA" w:rsidR="00F51742" w:rsidRDefault="00F51742" w:rsidP="00F51742">
            <w:pPr>
              <w:pStyle w:val="Tablecontent"/>
              <w:ind w:left="113" w:right="113"/>
              <w:jc w:val="center"/>
            </w:pPr>
            <w:r w:rsidRPr="00DF11D2">
              <w:t>34,514</w:t>
            </w:r>
          </w:p>
        </w:tc>
        <w:tc>
          <w:tcPr>
            <w:tcW w:w="567" w:type="dxa"/>
            <w:tcBorders>
              <w:right w:val="nil"/>
            </w:tcBorders>
            <w:textDirection w:val="btLr"/>
          </w:tcPr>
          <w:p w14:paraId="6A1DB987" w14:textId="77777777" w:rsidR="00F51742" w:rsidRDefault="00F51742" w:rsidP="00F51742">
            <w:pPr>
              <w:pStyle w:val="Tablecontent"/>
              <w:ind w:left="113" w:right="113"/>
              <w:jc w:val="center"/>
            </w:pPr>
          </w:p>
        </w:tc>
        <w:tc>
          <w:tcPr>
            <w:tcW w:w="567" w:type="dxa"/>
            <w:tcBorders>
              <w:left w:val="nil"/>
              <w:right w:val="nil"/>
            </w:tcBorders>
            <w:textDirection w:val="btLr"/>
          </w:tcPr>
          <w:p w14:paraId="11637246" w14:textId="77777777" w:rsidR="00F51742" w:rsidRDefault="00F51742" w:rsidP="00F51742">
            <w:pPr>
              <w:pStyle w:val="Tablecontent"/>
              <w:ind w:left="113" w:right="113"/>
              <w:jc w:val="center"/>
            </w:pPr>
          </w:p>
        </w:tc>
      </w:tr>
      <w:tr w:rsidR="00F51742" w14:paraId="48EE46A8" w14:textId="77777777" w:rsidTr="00B97DB0">
        <w:trPr>
          <w:cantSplit/>
          <w:trHeight w:val="1555"/>
        </w:trPr>
        <w:tc>
          <w:tcPr>
            <w:tcW w:w="567" w:type="dxa"/>
            <w:textDirection w:val="btLr"/>
          </w:tcPr>
          <w:p w14:paraId="02345C64" w14:textId="2A0DB962" w:rsidR="00F51742" w:rsidRDefault="00F51742" w:rsidP="00F51742">
            <w:pPr>
              <w:pStyle w:val="Tablecontent"/>
              <w:ind w:left="113" w:right="113"/>
              <w:jc w:val="center"/>
            </w:pPr>
            <w:r w:rsidRPr="00DF11D2">
              <w:t>49,530</w:t>
            </w:r>
          </w:p>
        </w:tc>
        <w:tc>
          <w:tcPr>
            <w:tcW w:w="567" w:type="dxa"/>
            <w:textDirection w:val="btLr"/>
          </w:tcPr>
          <w:p w14:paraId="2DC91A4F" w14:textId="6B8DBF6A" w:rsidR="00F51742" w:rsidRDefault="00F51742" w:rsidP="00F51742">
            <w:pPr>
              <w:pStyle w:val="Tablecontent"/>
              <w:ind w:left="113" w:right="113"/>
              <w:jc w:val="center"/>
            </w:pPr>
            <w:r w:rsidRPr="00DF11D2">
              <w:t>5,118,896</w:t>
            </w:r>
          </w:p>
        </w:tc>
        <w:tc>
          <w:tcPr>
            <w:tcW w:w="567" w:type="dxa"/>
            <w:textDirection w:val="btLr"/>
          </w:tcPr>
          <w:p w14:paraId="17030219" w14:textId="37F5250B" w:rsidR="00F51742" w:rsidRDefault="00F51742" w:rsidP="00F51742">
            <w:pPr>
              <w:pStyle w:val="Tablecontent"/>
              <w:ind w:left="113" w:right="113"/>
              <w:jc w:val="center"/>
            </w:pPr>
            <w:r w:rsidRPr="00DF11D2">
              <w:t>213,970</w:t>
            </w:r>
          </w:p>
        </w:tc>
        <w:tc>
          <w:tcPr>
            <w:tcW w:w="567" w:type="dxa"/>
            <w:textDirection w:val="btLr"/>
          </w:tcPr>
          <w:p w14:paraId="697448CE" w14:textId="529AE140" w:rsidR="00F51742" w:rsidRDefault="00F51742" w:rsidP="00F51742">
            <w:pPr>
              <w:pStyle w:val="Tablecontent"/>
              <w:ind w:left="113" w:right="113"/>
              <w:jc w:val="center"/>
            </w:pPr>
            <w:r w:rsidRPr="00DF11D2">
              <w:t>17,815,079</w:t>
            </w:r>
          </w:p>
        </w:tc>
        <w:tc>
          <w:tcPr>
            <w:tcW w:w="567" w:type="dxa"/>
            <w:textDirection w:val="btLr"/>
          </w:tcPr>
          <w:p w14:paraId="2D19EADE" w14:textId="1AC02E51" w:rsidR="00F51742" w:rsidRDefault="00F51742" w:rsidP="00F51742">
            <w:pPr>
              <w:pStyle w:val="Tablecontent"/>
              <w:ind w:left="113" w:right="113"/>
              <w:jc w:val="center"/>
            </w:pPr>
            <w:r w:rsidRPr="00DF11D2">
              <w:t>3,593,425</w:t>
            </w:r>
          </w:p>
        </w:tc>
        <w:tc>
          <w:tcPr>
            <w:tcW w:w="567" w:type="dxa"/>
            <w:textDirection w:val="btLr"/>
          </w:tcPr>
          <w:p w14:paraId="56540CEE" w14:textId="59BD99A3" w:rsidR="00F51742" w:rsidRDefault="00F51742" w:rsidP="00F51742">
            <w:pPr>
              <w:pStyle w:val="Tablecontent"/>
              <w:ind w:left="113" w:right="113"/>
              <w:jc w:val="center"/>
            </w:pPr>
            <w:r w:rsidRPr="00DF11D2">
              <w:t>3,416,708</w:t>
            </w:r>
          </w:p>
        </w:tc>
        <w:tc>
          <w:tcPr>
            <w:tcW w:w="567" w:type="dxa"/>
            <w:textDirection w:val="btLr"/>
          </w:tcPr>
          <w:p w14:paraId="7180EED5" w14:textId="59BBF59A" w:rsidR="00F51742" w:rsidRDefault="00F51742" w:rsidP="00F51742">
            <w:pPr>
              <w:pStyle w:val="Tablecontent"/>
              <w:ind w:left="113" w:right="113"/>
              <w:jc w:val="center"/>
            </w:pPr>
            <w:r w:rsidRPr="00DF11D2">
              <w:t>8,236,790</w:t>
            </w:r>
          </w:p>
        </w:tc>
        <w:tc>
          <w:tcPr>
            <w:tcW w:w="567" w:type="dxa"/>
            <w:textDirection w:val="btLr"/>
          </w:tcPr>
          <w:p w14:paraId="7A57628D" w14:textId="1ACA0AA9" w:rsidR="00F51742" w:rsidRDefault="00F51742" w:rsidP="00F51742">
            <w:pPr>
              <w:pStyle w:val="Tablecontent"/>
              <w:ind w:left="113" w:right="113"/>
              <w:jc w:val="center"/>
            </w:pPr>
            <w:r w:rsidRPr="00DF11D2">
              <w:t>56,334</w:t>
            </w:r>
          </w:p>
        </w:tc>
        <w:tc>
          <w:tcPr>
            <w:tcW w:w="567" w:type="dxa"/>
            <w:textDirection w:val="btLr"/>
          </w:tcPr>
          <w:p w14:paraId="056CC120" w14:textId="5407B695" w:rsidR="00F51742" w:rsidRDefault="00F51742" w:rsidP="00F51742">
            <w:pPr>
              <w:pStyle w:val="Tablecontent"/>
              <w:ind w:left="113" w:right="113"/>
              <w:jc w:val="center"/>
            </w:pPr>
            <w:r w:rsidRPr="00DF11D2">
              <w:t>647,592</w:t>
            </w:r>
          </w:p>
        </w:tc>
        <w:tc>
          <w:tcPr>
            <w:tcW w:w="567" w:type="dxa"/>
            <w:textDirection w:val="btLr"/>
          </w:tcPr>
          <w:p w14:paraId="38398C84" w14:textId="46F44D04" w:rsidR="00F51742" w:rsidRDefault="00F51742" w:rsidP="00F51742">
            <w:pPr>
              <w:pStyle w:val="Tablecontent"/>
              <w:ind w:left="113" w:right="113"/>
              <w:jc w:val="center"/>
            </w:pPr>
            <w:r w:rsidRPr="00DF11D2">
              <w:t>246,268</w:t>
            </w:r>
          </w:p>
        </w:tc>
        <w:tc>
          <w:tcPr>
            <w:tcW w:w="567" w:type="dxa"/>
            <w:textDirection w:val="btLr"/>
          </w:tcPr>
          <w:p w14:paraId="12D07E05" w14:textId="253B78F5" w:rsidR="00F51742" w:rsidRDefault="00F51742" w:rsidP="00F51742">
            <w:pPr>
              <w:pStyle w:val="Tablecontent"/>
              <w:ind w:left="113" w:right="113"/>
              <w:jc w:val="center"/>
            </w:pPr>
            <w:r w:rsidRPr="00DF11D2">
              <w:t>52,818</w:t>
            </w:r>
          </w:p>
        </w:tc>
        <w:tc>
          <w:tcPr>
            <w:tcW w:w="567" w:type="dxa"/>
            <w:textDirection w:val="btLr"/>
          </w:tcPr>
          <w:p w14:paraId="637F4607" w14:textId="759C150F" w:rsidR="00F51742" w:rsidRDefault="00F51742" w:rsidP="00F51742">
            <w:pPr>
              <w:pStyle w:val="Tablecontent"/>
              <w:ind w:left="113" w:right="113"/>
              <w:jc w:val="center"/>
            </w:pPr>
            <w:r w:rsidRPr="00DF11D2">
              <w:t>4,866,725</w:t>
            </w:r>
          </w:p>
        </w:tc>
        <w:tc>
          <w:tcPr>
            <w:tcW w:w="567" w:type="dxa"/>
            <w:textDirection w:val="btLr"/>
          </w:tcPr>
          <w:p w14:paraId="24AE6DEF" w14:textId="7FE0DA47" w:rsidR="00F51742" w:rsidRDefault="00F51742" w:rsidP="00F51742">
            <w:pPr>
              <w:pStyle w:val="Tablecontent"/>
              <w:ind w:left="113" w:right="113"/>
              <w:jc w:val="center"/>
            </w:pPr>
            <w:r w:rsidRPr="00DF11D2">
              <w:t>-</w:t>
            </w:r>
          </w:p>
        </w:tc>
        <w:tc>
          <w:tcPr>
            <w:tcW w:w="567" w:type="dxa"/>
            <w:tcBorders>
              <w:right w:val="nil"/>
            </w:tcBorders>
            <w:textDirection w:val="btLr"/>
          </w:tcPr>
          <w:p w14:paraId="52BC392C" w14:textId="77777777" w:rsidR="00F51742" w:rsidRDefault="00F51742" w:rsidP="00F51742">
            <w:pPr>
              <w:pStyle w:val="Tablecontent"/>
              <w:ind w:left="113" w:right="113"/>
              <w:jc w:val="center"/>
            </w:pPr>
          </w:p>
        </w:tc>
        <w:tc>
          <w:tcPr>
            <w:tcW w:w="567" w:type="dxa"/>
            <w:tcBorders>
              <w:left w:val="nil"/>
              <w:right w:val="nil"/>
            </w:tcBorders>
            <w:textDirection w:val="btLr"/>
          </w:tcPr>
          <w:p w14:paraId="19EA348A" w14:textId="77777777" w:rsidR="00F51742" w:rsidRDefault="00F51742" w:rsidP="00F51742">
            <w:pPr>
              <w:pStyle w:val="Tablecontent"/>
              <w:ind w:left="113" w:right="113"/>
              <w:jc w:val="center"/>
            </w:pPr>
          </w:p>
        </w:tc>
      </w:tr>
      <w:tr w:rsidR="00F51742" w14:paraId="7EE83062" w14:textId="77777777" w:rsidTr="00B97DB0">
        <w:trPr>
          <w:cantSplit/>
          <w:trHeight w:val="1961"/>
        </w:trPr>
        <w:tc>
          <w:tcPr>
            <w:tcW w:w="567" w:type="dxa"/>
            <w:textDirection w:val="btLr"/>
          </w:tcPr>
          <w:p w14:paraId="78198188" w14:textId="7022E37B" w:rsidR="00F51742" w:rsidRDefault="00F51742" w:rsidP="00F51742">
            <w:pPr>
              <w:pStyle w:val="Tablecontent"/>
              <w:ind w:left="113" w:right="113"/>
              <w:jc w:val="center"/>
            </w:pPr>
            <w:r w:rsidRPr="00DF11D2">
              <w:t>1,069,324,295</w:t>
            </w:r>
          </w:p>
        </w:tc>
        <w:tc>
          <w:tcPr>
            <w:tcW w:w="567" w:type="dxa"/>
            <w:textDirection w:val="btLr"/>
          </w:tcPr>
          <w:p w14:paraId="058B2AD5" w14:textId="057DD21C" w:rsidR="00F51742" w:rsidRDefault="00F51742" w:rsidP="00F51742">
            <w:pPr>
              <w:pStyle w:val="Tablecontent"/>
              <w:ind w:left="113" w:right="113"/>
              <w:jc w:val="center"/>
            </w:pPr>
            <w:r w:rsidRPr="00DF11D2">
              <w:t>1,216,617,519</w:t>
            </w:r>
          </w:p>
        </w:tc>
        <w:tc>
          <w:tcPr>
            <w:tcW w:w="567" w:type="dxa"/>
            <w:textDirection w:val="btLr"/>
          </w:tcPr>
          <w:p w14:paraId="46F6DA90" w14:textId="46F2295B" w:rsidR="00F51742" w:rsidRDefault="00F51742" w:rsidP="00F51742">
            <w:pPr>
              <w:pStyle w:val="Tablecontent"/>
              <w:ind w:left="113" w:right="113"/>
              <w:jc w:val="center"/>
            </w:pPr>
            <w:r w:rsidRPr="00DF11D2">
              <w:t>1,435,052,152</w:t>
            </w:r>
          </w:p>
        </w:tc>
        <w:tc>
          <w:tcPr>
            <w:tcW w:w="567" w:type="dxa"/>
            <w:textDirection w:val="btLr"/>
          </w:tcPr>
          <w:p w14:paraId="072B8E19" w14:textId="53294FD7" w:rsidR="00F51742" w:rsidRDefault="00F51742" w:rsidP="00F51742">
            <w:pPr>
              <w:pStyle w:val="Tablecontent"/>
              <w:ind w:left="113" w:right="113"/>
              <w:jc w:val="center"/>
            </w:pPr>
            <w:r w:rsidRPr="00DF11D2">
              <w:t>1,152,100,110</w:t>
            </w:r>
          </w:p>
        </w:tc>
        <w:tc>
          <w:tcPr>
            <w:tcW w:w="567" w:type="dxa"/>
            <w:textDirection w:val="btLr"/>
          </w:tcPr>
          <w:p w14:paraId="2CF70902" w14:textId="72E8C564" w:rsidR="00F51742" w:rsidRDefault="00F51742" w:rsidP="00F51742">
            <w:pPr>
              <w:pStyle w:val="Tablecontent"/>
              <w:ind w:left="113" w:right="113"/>
              <w:jc w:val="center"/>
            </w:pPr>
            <w:r w:rsidRPr="00DF11D2">
              <w:t>1,225,041,896</w:t>
            </w:r>
          </w:p>
        </w:tc>
        <w:tc>
          <w:tcPr>
            <w:tcW w:w="567" w:type="dxa"/>
            <w:textDirection w:val="btLr"/>
          </w:tcPr>
          <w:p w14:paraId="1C2166D9" w14:textId="66E988CF" w:rsidR="00F51742" w:rsidRDefault="00F51742" w:rsidP="00F51742">
            <w:pPr>
              <w:pStyle w:val="Tablecontent"/>
              <w:ind w:left="113" w:right="113"/>
              <w:jc w:val="center"/>
            </w:pPr>
            <w:r w:rsidRPr="00DF11D2">
              <w:t>1,036,755,994</w:t>
            </w:r>
          </w:p>
        </w:tc>
        <w:tc>
          <w:tcPr>
            <w:tcW w:w="567" w:type="dxa"/>
            <w:textDirection w:val="btLr"/>
          </w:tcPr>
          <w:p w14:paraId="4873537F" w14:textId="2832543A" w:rsidR="00F51742" w:rsidRDefault="00F51742" w:rsidP="00F51742">
            <w:pPr>
              <w:pStyle w:val="Tablecontent"/>
              <w:ind w:left="113" w:right="113"/>
              <w:jc w:val="center"/>
            </w:pPr>
            <w:r w:rsidRPr="00DF11D2">
              <w:t>1,232,135,591</w:t>
            </w:r>
          </w:p>
        </w:tc>
        <w:tc>
          <w:tcPr>
            <w:tcW w:w="567" w:type="dxa"/>
            <w:textDirection w:val="btLr"/>
          </w:tcPr>
          <w:p w14:paraId="0B56FF9D" w14:textId="2DD6058B" w:rsidR="00F51742" w:rsidRDefault="00F51742" w:rsidP="00F51742">
            <w:pPr>
              <w:pStyle w:val="Tablecontent"/>
              <w:ind w:left="113" w:right="113"/>
              <w:jc w:val="center"/>
            </w:pPr>
            <w:r w:rsidRPr="00DF11D2">
              <w:t>1,155,540,733</w:t>
            </w:r>
          </w:p>
        </w:tc>
        <w:tc>
          <w:tcPr>
            <w:tcW w:w="567" w:type="dxa"/>
            <w:textDirection w:val="btLr"/>
          </w:tcPr>
          <w:p w14:paraId="2398E0A9" w14:textId="069F827C" w:rsidR="00F51742" w:rsidRDefault="00F51742" w:rsidP="00F51742">
            <w:pPr>
              <w:pStyle w:val="Tablecontent"/>
              <w:ind w:left="113" w:right="113"/>
              <w:jc w:val="center"/>
            </w:pPr>
            <w:r w:rsidRPr="00DF11D2">
              <w:t>1,424,897,867</w:t>
            </w:r>
          </w:p>
        </w:tc>
        <w:tc>
          <w:tcPr>
            <w:tcW w:w="567" w:type="dxa"/>
            <w:textDirection w:val="btLr"/>
          </w:tcPr>
          <w:p w14:paraId="3AEF76D5" w14:textId="305D927C" w:rsidR="00F51742" w:rsidRDefault="00F51742" w:rsidP="00F51742">
            <w:pPr>
              <w:pStyle w:val="Tablecontent"/>
              <w:ind w:left="113" w:right="113"/>
              <w:jc w:val="center"/>
            </w:pPr>
            <w:r w:rsidRPr="00DF11D2">
              <w:t>1,047,056,493</w:t>
            </w:r>
          </w:p>
        </w:tc>
        <w:tc>
          <w:tcPr>
            <w:tcW w:w="567" w:type="dxa"/>
            <w:textDirection w:val="btLr"/>
          </w:tcPr>
          <w:p w14:paraId="0FAE8F24" w14:textId="10C964CF" w:rsidR="00F51742" w:rsidRDefault="00F51742" w:rsidP="00F51742">
            <w:pPr>
              <w:pStyle w:val="Tablecontent"/>
              <w:ind w:left="113" w:right="113"/>
              <w:jc w:val="center"/>
            </w:pPr>
            <w:r w:rsidRPr="00DF11D2">
              <w:t>1,120,143,088</w:t>
            </w:r>
          </w:p>
        </w:tc>
        <w:tc>
          <w:tcPr>
            <w:tcW w:w="567" w:type="dxa"/>
            <w:textDirection w:val="btLr"/>
          </w:tcPr>
          <w:p w14:paraId="36B60FAD" w14:textId="192D10CC" w:rsidR="00F51742" w:rsidRDefault="00F51742" w:rsidP="00F51742">
            <w:pPr>
              <w:pStyle w:val="Tablecontent"/>
              <w:ind w:left="113" w:right="113"/>
              <w:jc w:val="center"/>
            </w:pPr>
            <w:r w:rsidRPr="00DF11D2">
              <w:t>1,052,600,561</w:t>
            </w:r>
          </w:p>
        </w:tc>
        <w:tc>
          <w:tcPr>
            <w:tcW w:w="567" w:type="dxa"/>
            <w:textDirection w:val="btLr"/>
          </w:tcPr>
          <w:p w14:paraId="01843126" w14:textId="70EA3367" w:rsidR="00F51742" w:rsidRDefault="00F51742" w:rsidP="00F51742">
            <w:pPr>
              <w:pStyle w:val="Tablecontent"/>
              <w:ind w:left="113" w:right="113"/>
              <w:jc w:val="center"/>
            </w:pPr>
            <w:r w:rsidRPr="00DF11D2">
              <w:t>1,036,003,386</w:t>
            </w:r>
          </w:p>
        </w:tc>
        <w:tc>
          <w:tcPr>
            <w:tcW w:w="567" w:type="dxa"/>
            <w:tcBorders>
              <w:right w:val="nil"/>
            </w:tcBorders>
            <w:textDirection w:val="btLr"/>
          </w:tcPr>
          <w:p w14:paraId="475E355A" w14:textId="77777777" w:rsidR="00F51742" w:rsidRDefault="00F51742" w:rsidP="00F51742">
            <w:pPr>
              <w:pStyle w:val="Tablecontent"/>
              <w:ind w:left="113" w:right="113"/>
              <w:jc w:val="center"/>
            </w:pPr>
          </w:p>
        </w:tc>
        <w:tc>
          <w:tcPr>
            <w:tcW w:w="567" w:type="dxa"/>
            <w:tcBorders>
              <w:left w:val="nil"/>
              <w:right w:val="nil"/>
            </w:tcBorders>
            <w:textDirection w:val="btLr"/>
          </w:tcPr>
          <w:p w14:paraId="0431A088" w14:textId="77777777" w:rsidR="00F51742" w:rsidRDefault="00F51742" w:rsidP="00F51742">
            <w:pPr>
              <w:pStyle w:val="Tablecontent"/>
              <w:ind w:left="113" w:right="113"/>
              <w:jc w:val="center"/>
            </w:pPr>
          </w:p>
        </w:tc>
      </w:tr>
      <w:tr w:rsidR="00F51742" w14:paraId="00FAAC7C" w14:textId="77777777" w:rsidTr="00B97DB0">
        <w:trPr>
          <w:cantSplit/>
          <w:trHeight w:val="2258"/>
        </w:trPr>
        <w:tc>
          <w:tcPr>
            <w:tcW w:w="567" w:type="dxa"/>
            <w:textDirection w:val="btLr"/>
          </w:tcPr>
          <w:p w14:paraId="2C951B89" w14:textId="63C2F9B1" w:rsidR="00F51742" w:rsidRDefault="00F51742" w:rsidP="00F51742">
            <w:pPr>
              <w:pStyle w:val="Tablecontent"/>
              <w:ind w:left="113" w:right="113"/>
              <w:jc w:val="center"/>
            </w:pPr>
            <w:r w:rsidRPr="00DF11D2">
              <w:t>GCF_000699245.1</w:t>
            </w:r>
          </w:p>
        </w:tc>
        <w:tc>
          <w:tcPr>
            <w:tcW w:w="567" w:type="dxa"/>
            <w:textDirection w:val="btLr"/>
          </w:tcPr>
          <w:p w14:paraId="6F4E1B07" w14:textId="49F1DE22" w:rsidR="00F51742" w:rsidRDefault="00F51742" w:rsidP="00F51742">
            <w:pPr>
              <w:pStyle w:val="Tablecontent"/>
              <w:ind w:left="113" w:right="113"/>
              <w:jc w:val="center"/>
            </w:pPr>
            <w:r w:rsidRPr="00DF11D2">
              <w:t>GCF_000699105.1</w:t>
            </w:r>
          </w:p>
        </w:tc>
        <w:tc>
          <w:tcPr>
            <w:tcW w:w="567" w:type="dxa"/>
            <w:textDirection w:val="btLr"/>
          </w:tcPr>
          <w:p w14:paraId="226FC797" w14:textId="5EE3883B" w:rsidR="00F51742" w:rsidRDefault="00F51742" w:rsidP="00F51742">
            <w:pPr>
              <w:pStyle w:val="Tablecontent"/>
              <w:ind w:left="113" w:right="113"/>
              <w:jc w:val="center"/>
            </w:pPr>
            <w:r w:rsidRPr="00DF11D2">
              <w:t>GCF_000186305.1</w:t>
            </w:r>
          </w:p>
        </w:tc>
        <w:tc>
          <w:tcPr>
            <w:tcW w:w="567" w:type="dxa"/>
            <w:textDirection w:val="btLr"/>
          </w:tcPr>
          <w:p w14:paraId="3548C300" w14:textId="59EE1D05" w:rsidR="00F51742" w:rsidRDefault="00F51742" w:rsidP="00F51742">
            <w:pPr>
              <w:pStyle w:val="Tablecontent"/>
              <w:ind w:left="113" w:right="113"/>
              <w:jc w:val="center"/>
            </w:pPr>
            <w:r w:rsidRPr="00DF11D2">
              <w:t>GCF_000534875.1</w:t>
            </w:r>
          </w:p>
        </w:tc>
        <w:tc>
          <w:tcPr>
            <w:tcW w:w="567" w:type="dxa"/>
            <w:textDirection w:val="btLr"/>
          </w:tcPr>
          <w:p w14:paraId="436D93FE" w14:textId="1EDC1DA3" w:rsidR="00F51742" w:rsidRDefault="00F51742" w:rsidP="00F51742">
            <w:pPr>
              <w:pStyle w:val="Tablecontent"/>
              <w:ind w:left="113" w:right="113"/>
              <w:jc w:val="center"/>
            </w:pPr>
            <w:r w:rsidRPr="00DF11D2">
              <w:t>GCF_000698965.1 </w:t>
            </w:r>
          </w:p>
        </w:tc>
        <w:tc>
          <w:tcPr>
            <w:tcW w:w="567" w:type="dxa"/>
            <w:textDirection w:val="btLr"/>
          </w:tcPr>
          <w:p w14:paraId="5DD34B91" w14:textId="7D69C15D" w:rsidR="00F51742" w:rsidRDefault="00F51742" w:rsidP="00F51742">
            <w:pPr>
              <w:pStyle w:val="Tablecontent"/>
              <w:ind w:left="113" w:right="113"/>
              <w:jc w:val="center"/>
            </w:pPr>
            <w:r w:rsidRPr="00DF11D2">
              <w:t>GCF_001447265.1</w:t>
            </w:r>
          </w:p>
        </w:tc>
        <w:tc>
          <w:tcPr>
            <w:tcW w:w="567" w:type="dxa"/>
            <w:textDirection w:val="btLr"/>
          </w:tcPr>
          <w:p w14:paraId="0E06E0C8" w14:textId="5D2C141B" w:rsidR="00F51742" w:rsidRDefault="00F51742" w:rsidP="00F51742">
            <w:pPr>
              <w:pStyle w:val="Tablecontent"/>
              <w:ind w:left="113" w:right="113"/>
              <w:jc w:val="center"/>
            </w:pPr>
            <w:r w:rsidRPr="00DF11D2">
              <w:t>GCF_000151805.1</w:t>
            </w:r>
          </w:p>
        </w:tc>
        <w:tc>
          <w:tcPr>
            <w:tcW w:w="567" w:type="dxa"/>
            <w:textDirection w:val="btLr"/>
          </w:tcPr>
          <w:p w14:paraId="38EA09BC" w14:textId="7F0C2B71" w:rsidR="00F51742" w:rsidRDefault="00F51742" w:rsidP="00F51742">
            <w:pPr>
              <w:pStyle w:val="Tablecontent"/>
              <w:ind w:left="113" w:right="113"/>
              <w:jc w:val="center"/>
            </w:pPr>
            <w:r w:rsidRPr="00DF11D2">
              <w:t>GCF_000709365.1 </w:t>
            </w:r>
          </w:p>
        </w:tc>
        <w:tc>
          <w:tcPr>
            <w:tcW w:w="567" w:type="dxa"/>
            <w:textDirection w:val="btLr"/>
          </w:tcPr>
          <w:p w14:paraId="05844A2A" w14:textId="10EB93E0" w:rsidR="00F51742" w:rsidRDefault="00F51742" w:rsidP="00F51742">
            <w:pPr>
              <w:pStyle w:val="Tablecontent"/>
              <w:ind w:left="113" w:right="113"/>
              <w:jc w:val="center"/>
            </w:pPr>
            <w:r w:rsidRPr="00DF11D2">
              <w:t>GCF_001077635.1</w:t>
            </w:r>
          </w:p>
        </w:tc>
        <w:tc>
          <w:tcPr>
            <w:tcW w:w="567" w:type="dxa"/>
            <w:textDirection w:val="btLr"/>
          </w:tcPr>
          <w:p w14:paraId="3F1DF111" w14:textId="3894BBBC" w:rsidR="00F51742" w:rsidRDefault="00F51742" w:rsidP="00F51742">
            <w:pPr>
              <w:pStyle w:val="Tablecontent"/>
              <w:ind w:left="113" w:right="113"/>
              <w:jc w:val="center"/>
            </w:pPr>
            <w:r w:rsidRPr="00DF11D2">
              <w:t>GCF_000705375.1</w:t>
            </w:r>
          </w:p>
        </w:tc>
        <w:tc>
          <w:tcPr>
            <w:tcW w:w="567" w:type="dxa"/>
            <w:textDirection w:val="btLr"/>
          </w:tcPr>
          <w:p w14:paraId="7AB601C6" w14:textId="3CF30073" w:rsidR="00F51742" w:rsidRDefault="00F51742" w:rsidP="00F51742">
            <w:pPr>
              <w:pStyle w:val="Tablecontent"/>
              <w:ind w:left="113" w:right="113"/>
              <w:jc w:val="center"/>
            </w:pPr>
            <w:r w:rsidRPr="00DF11D2">
              <w:t>GCF_000687205.1</w:t>
            </w:r>
          </w:p>
        </w:tc>
        <w:tc>
          <w:tcPr>
            <w:tcW w:w="567" w:type="dxa"/>
            <w:textDirection w:val="btLr"/>
          </w:tcPr>
          <w:p w14:paraId="336EF8A6" w14:textId="51651DDC" w:rsidR="00F51742" w:rsidRDefault="00F51742" w:rsidP="00F51742">
            <w:pPr>
              <w:pStyle w:val="Tablecontent"/>
              <w:ind w:left="113" w:right="113"/>
              <w:jc w:val="center"/>
            </w:pPr>
            <w:r w:rsidRPr="00DF11D2">
              <w:t>GCF_000385455.1</w:t>
            </w:r>
          </w:p>
        </w:tc>
        <w:tc>
          <w:tcPr>
            <w:tcW w:w="567" w:type="dxa"/>
            <w:textDirection w:val="btLr"/>
          </w:tcPr>
          <w:p w14:paraId="4345CB8D" w14:textId="2F3751D9" w:rsidR="00F51742" w:rsidRDefault="00F51742" w:rsidP="00F51742">
            <w:pPr>
              <w:pStyle w:val="Tablecontent"/>
              <w:ind w:left="113" w:right="113"/>
              <w:jc w:val="center"/>
            </w:pPr>
            <w:r w:rsidRPr="00DF11D2">
              <w:t>GCA_001281735.1</w:t>
            </w:r>
          </w:p>
        </w:tc>
        <w:tc>
          <w:tcPr>
            <w:tcW w:w="567" w:type="dxa"/>
            <w:tcBorders>
              <w:right w:val="nil"/>
            </w:tcBorders>
            <w:textDirection w:val="btLr"/>
          </w:tcPr>
          <w:p w14:paraId="679EB27E" w14:textId="77777777" w:rsidR="00F51742" w:rsidRDefault="00F51742" w:rsidP="00F51742">
            <w:pPr>
              <w:pStyle w:val="Tablecontent"/>
              <w:ind w:left="113" w:right="113"/>
              <w:jc w:val="center"/>
            </w:pPr>
          </w:p>
        </w:tc>
        <w:tc>
          <w:tcPr>
            <w:tcW w:w="567" w:type="dxa"/>
            <w:tcBorders>
              <w:left w:val="nil"/>
              <w:right w:val="nil"/>
            </w:tcBorders>
            <w:textDirection w:val="btLr"/>
          </w:tcPr>
          <w:p w14:paraId="4E32768C" w14:textId="77777777" w:rsidR="00F51742" w:rsidRDefault="00F51742" w:rsidP="00F51742">
            <w:pPr>
              <w:pStyle w:val="Tablecontent"/>
              <w:ind w:left="113" w:right="113"/>
              <w:jc w:val="center"/>
            </w:pPr>
          </w:p>
        </w:tc>
      </w:tr>
      <w:tr w:rsidR="00F51742" w14:paraId="624FD091" w14:textId="77777777" w:rsidTr="00B97DB0">
        <w:trPr>
          <w:cantSplit/>
          <w:trHeight w:val="2843"/>
        </w:trPr>
        <w:tc>
          <w:tcPr>
            <w:tcW w:w="567" w:type="dxa"/>
            <w:textDirection w:val="btLr"/>
          </w:tcPr>
          <w:p w14:paraId="2BB7B96F" w14:textId="784BABE6" w:rsidR="00F51742" w:rsidRDefault="00F51742" w:rsidP="00F51742">
            <w:pPr>
              <w:pStyle w:val="Tablecontent"/>
              <w:ind w:left="113" w:right="113"/>
            </w:pPr>
            <w:r w:rsidRPr="00DF11D2">
              <w:t>Yellow-throated sandgrouse</w:t>
            </w:r>
          </w:p>
        </w:tc>
        <w:tc>
          <w:tcPr>
            <w:tcW w:w="567" w:type="dxa"/>
            <w:textDirection w:val="btLr"/>
          </w:tcPr>
          <w:p w14:paraId="4251AD7E" w14:textId="0A0E8DFE" w:rsidR="00F51742" w:rsidRDefault="00F51742" w:rsidP="00F51742">
            <w:pPr>
              <w:pStyle w:val="Tablecontent"/>
              <w:ind w:left="113" w:right="113"/>
            </w:pPr>
            <w:r w:rsidRPr="00DF11D2">
              <w:t>Adelie penguin</w:t>
            </w:r>
          </w:p>
        </w:tc>
        <w:tc>
          <w:tcPr>
            <w:tcW w:w="567" w:type="dxa"/>
            <w:textDirection w:val="btLr"/>
          </w:tcPr>
          <w:p w14:paraId="52799BC4" w14:textId="6B6A116D" w:rsidR="00F51742" w:rsidRDefault="00F51742" w:rsidP="00F51742">
            <w:pPr>
              <w:pStyle w:val="Tablecontent"/>
              <w:ind w:left="113" w:right="113"/>
            </w:pPr>
            <w:r w:rsidRPr="00DF11D2">
              <w:t>Burmese python</w:t>
            </w:r>
          </w:p>
        </w:tc>
        <w:tc>
          <w:tcPr>
            <w:tcW w:w="567" w:type="dxa"/>
            <w:textDirection w:val="btLr"/>
          </w:tcPr>
          <w:p w14:paraId="1E59A065" w14:textId="5F2B7FBA" w:rsidR="00F51742" w:rsidRDefault="00F51742" w:rsidP="00F51742">
            <w:pPr>
              <w:pStyle w:val="Tablecontent"/>
              <w:ind w:left="113" w:right="113"/>
            </w:pPr>
            <w:r w:rsidRPr="00DF11D2">
              <w:t>Common canary</w:t>
            </w:r>
          </w:p>
        </w:tc>
        <w:tc>
          <w:tcPr>
            <w:tcW w:w="567" w:type="dxa"/>
            <w:textDirection w:val="btLr"/>
          </w:tcPr>
          <w:p w14:paraId="6F6B15A2" w14:textId="22CFE999" w:rsidR="00F51742" w:rsidRDefault="00F51742" w:rsidP="00F51742">
            <w:pPr>
              <w:pStyle w:val="Tablecontent"/>
              <w:ind w:left="113" w:right="113"/>
            </w:pPr>
            <w:r w:rsidRPr="00DF11D2">
              <w:t>African ostrich</w:t>
            </w:r>
          </w:p>
        </w:tc>
        <w:tc>
          <w:tcPr>
            <w:tcW w:w="567" w:type="dxa"/>
            <w:textDirection w:val="btLr"/>
          </w:tcPr>
          <w:p w14:paraId="7A29EAF9" w14:textId="1D41630F" w:rsidR="00F51742" w:rsidRDefault="00F51742" w:rsidP="00F51742">
            <w:pPr>
              <w:pStyle w:val="Tablecontent"/>
              <w:ind w:left="113" w:right="113"/>
            </w:pPr>
            <w:r w:rsidRPr="00DF11D2">
              <w:t>Common starling</w:t>
            </w:r>
          </w:p>
        </w:tc>
        <w:tc>
          <w:tcPr>
            <w:tcW w:w="567" w:type="dxa"/>
            <w:textDirection w:val="btLr"/>
          </w:tcPr>
          <w:p w14:paraId="35284DDD" w14:textId="7081ED12" w:rsidR="00F51742" w:rsidRDefault="00F51742" w:rsidP="00F51742">
            <w:pPr>
              <w:pStyle w:val="Tablecontent"/>
              <w:ind w:left="113" w:right="113"/>
            </w:pPr>
            <w:r w:rsidRPr="00DF11D2">
              <w:t>Zebra finch</w:t>
            </w:r>
          </w:p>
        </w:tc>
        <w:tc>
          <w:tcPr>
            <w:tcW w:w="567" w:type="dxa"/>
            <w:textDirection w:val="btLr"/>
          </w:tcPr>
          <w:p w14:paraId="663FF76B" w14:textId="4370B557" w:rsidR="00F51742" w:rsidRDefault="00F51742" w:rsidP="00F51742">
            <w:pPr>
              <w:pStyle w:val="Tablecontent"/>
              <w:ind w:left="113" w:right="113"/>
            </w:pPr>
            <w:r w:rsidRPr="00DF11D2">
              <w:t>Red-crested turaco</w:t>
            </w:r>
          </w:p>
        </w:tc>
        <w:tc>
          <w:tcPr>
            <w:tcW w:w="567" w:type="dxa"/>
            <w:textDirection w:val="btLr"/>
          </w:tcPr>
          <w:p w14:paraId="3F039F6F" w14:textId="55E9905D" w:rsidR="00F51742" w:rsidRDefault="00F51742" w:rsidP="00F51742">
            <w:pPr>
              <w:pStyle w:val="Tablecontent"/>
              <w:ind w:left="113" w:right="113"/>
            </w:pPr>
            <w:r w:rsidRPr="00DF11D2">
              <w:t>Common garter snake</w:t>
            </w:r>
          </w:p>
        </w:tc>
        <w:tc>
          <w:tcPr>
            <w:tcW w:w="567" w:type="dxa"/>
            <w:textDirection w:val="btLr"/>
          </w:tcPr>
          <w:p w14:paraId="09083DD1" w14:textId="7C541DBE" w:rsidR="00F51742" w:rsidRDefault="00F51742" w:rsidP="00F51742">
            <w:pPr>
              <w:pStyle w:val="Tablecontent"/>
              <w:ind w:left="113" w:right="113"/>
            </w:pPr>
            <w:r w:rsidRPr="00DF11D2">
              <w:t>White-throated tinamou</w:t>
            </w:r>
          </w:p>
        </w:tc>
        <w:tc>
          <w:tcPr>
            <w:tcW w:w="567" w:type="dxa"/>
            <w:textDirection w:val="btLr"/>
          </w:tcPr>
          <w:p w14:paraId="1C384243" w14:textId="4205F9AF" w:rsidR="00F51742" w:rsidRDefault="00F51742" w:rsidP="00F51742">
            <w:pPr>
              <w:pStyle w:val="Tablecontent"/>
              <w:ind w:left="113" w:right="113"/>
            </w:pPr>
            <w:r w:rsidRPr="00DF11D2">
              <w:t>Barn owl</w:t>
            </w:r>
          </w:p>
        </w:tc>
        <w:tc>
          <w:tcPr>
            <w:tcW w:w="567" w:type="dxa"/>
            <w:textDirection w:val="btLr"/>
          </w:tcPr>
          <w:p w14:paraId="3552B4D2" w14:textId="7A488B8F" w:rsidR="00F51742" w:rsidRDefault="00F51742" w:rsidP="00F51742">
            <w:pPr>
              <w:pStyle w:val="Tablecontent"/>
              <w:ind w:left="113" w:right="113"/>
            </w:pPr>
            <w:r w:rsidRPr="00DF11D2">
              <w:t>White-throated sparrow</w:t>
            </w:r>
          </w:p>
        </w:tc>
        <w:tc>
          <w:tcPr>
            <w:tcW w:w="567" w:type="dxa"/>
            <w:textDirection w:val="btLr"/>
          </w:tcPr>
          <w:p w14:paraId="40EFA3C5" w14:textId="4C1ED6BF" w:rsidR="00F51742" w:rsidRDefault="00F51742" w:rsidP="00F51742">
            <w:pPr>
              <w:pStyle w:val="Tablecontent"/>
              <w:ind w:left="113" w:right="113"/>
            </w:pPr>
            <w:r w:rsidRPr="00DF11D2">
              <w:t>Silver-eye</w:t>
            </w:r>
          </w:p>
        </w:tc>
        <w:tc>
          <w:tcPr>
            <w:tcW w:w="567" w:type="dxa"/>
            <w:tcBorders>
              <w:right w:val="nil"/>
            </w:tcBorders>
            <w:textDirection w:val="btLr"/>
          </w:tcPr>
          <w:p w14:paraId="446AA158" w14:textId="77777777" w:rsidR="00F51742" w:rsidRDefault="00F51742" w:rsidP="00F51742">
            <w:pPr>
              <w:pStyle w:val="Tablecontent"/>
              <w:ind w:left="113" w:right="113"/>
            </w:pPr>
          </w:p>
        </w:tc>
        <w:tc>
          <w:tcPr>
            <w:tcW w:w="567" w:type="dxa"/>
            <w:tcBorders>
              <w:left w:val="nil"/>
              <w:right w:val="nil"/>
            </w:tcBorders>
            <w:textDirection w:val="btLr"/>
          </w:tcPr>
          <w:p w14:paraId="49BC9292" w14:textId="77777777" w:rsidR="00F51742" w:rsidRDefault="00F51742" w:rsidP="00F51742">
            <w:pPr>
              <w:pStyle w:val="Tablecontent"/>
              <w:ind w:left="113" w:right="113"/>
            </w:pPr>
          </w:p>
        </w:tc>
      </w:tr>
      <w:tr w:rsidR="00F51742" w14:paraId="6373E0B2" w14:textId="77777777" w:rsidTr="00B97DB0">
        <w:trPr>
          <w:cantSplit/>
          <w:trHeight w:val="3236"/>
        </w:trPr>
        <w:tc>
          <w:tcPr>
            <w:tcW w:w="567" w:type="dxa"/>
            <w:textDirection w:val="btLr"/>
          </w:tcPr>
          <w:p w14:paraId="2B01293D" w14:textId="029C742A" w:rsidR="00F51742" w:rsidRPr="00BC30B0" w:rsidRDefault="00F51742" w:rsidP="00F51742">
            <w:pPr>
              <w:pStyle w:val="Tablecontent"/>
              <w:ind w:left="113" w:right="113"/>
            </w:pPr>
            <w:r w:rsidRPr="007F3617">
              <w:rPr>
                <w:i/>
              </w:rPr>
              <w:t>Pterocles gutturalis</w:t>
            </w:r>
            <w:r w:rsidR="00BC30B0">
              <w:t xml:space="preserve"> *</w:t>
            </w:r>
          </w:p>
        </w:tc>
        <w:tc>
          <w:tcPr>
            <w:tcW w:w="567" w:type="dxa"/>
            <w:textDirection w:val="btLr"/>
          </w:tcPr>
          <w:p w14:paraId="6697C57A" w14:textId="4E56C64E" w:rsidR="00F51742" w:rsidRPr="00BC30B0" w:rsidRDefault="00F51742" w:rsidP="00F51742">
            <w:pPr>
              <w:pStyle w:val="Tablecontent"/>
              <w:ind w:left="113" w:right="113"/>
            </w:pPr>
            <w:r w:rsidRPr="007F3617">
              <w:rPr>
                <w:i/>
              </w:rPr>
              <w:t>Pygoscelis adeliae</w:t>
            </w:r>
            <w:r w:rsidR="00BC30B0">
              <w:t xml:space="preserve"> *</w:t>
            </w:r>
          </w:p>
        </w:tc>
        <w:tc>
          <w:tcPr>
            <w:tcW w:w="567" w:type="dxa"/>
            <w:textDirection w:val="btLr"/>
          </w:tcPr>
          <w:p w14:paraId="677FBBA0" w14:textId="6D11A8BB" w:rsidR="00F51742" w:rsidRPr="007F3617" w:rsidRDefault="00F51742" w:rsidP="00F51742">
            <w:pPr>
              <w:pStyle w:val="Tablecontent"/>
              <w:ind w:left="113" w:right="113"/>
              <w:rPr>
                <w:i/>
              </w:rPr>
            </w:pPr>
            <w:r w:rsidRPr="007F3617">
              <w:rPr>
                <w:i/>
              </w:rPr>
              <w:t>Python bivittatus</w:t>
            </w:r>
          </w:p>
        </w:tc>
        <w:tc>
          <w:tcPr>
            <w:tcW w:w="567" w:type="dxa"/>
            <w:textDirection w:val="btLr"/>
          </w:tcPr>
          <w:p w14:paraId="2A4DCEF4" w14:textId="59831135" w:rsidR="00F51742" w:rsidRPr="007F3617" w:rsidRDefault="00F51742" w:rsidP="00F51742">
            <w:pPr>
              <w:pStyle w:val="Tablecontent"/>
              <w:ind w:left="113" w:right="113"/>
              <w:rPr>
                <w:i/>
              </w:rPr>
            </w:pPr>
            <w:r w:rsidRPr="007F3617">
              <w:rPr>
                <w:i/>
              </w:rPr>
              <w:t>Serinus canaria</w:t>
            </w:r>
          </w:p>
        </w:tc>
        <w:tc>
          <w:tcPr>
            <w:tcW w:w="567" w:type="dxa"/>
            <w:textDirection w:val="btLr"/>
          </w:tcPr>
          <w:p w14:paraId="06093AB7" w14:textId="37A282C0" w:rsidR="00F51742" w:rsidRPr="00BC30B0" w:rsidRDefault="00F51742" w:rsidP="00F51742">
            <w:pPr>
              <w:pStyle w:val="Tablecontent"/>
              <w:ind w:left="113" w:right="113"/>
            </w:pPr>
            <w:r w:rsidRPr="007F3617">
              <w:rPr>
                <w:i/>
              </w:rPr>
              <w:t>Struthio camelus australis</w:t>
            </w:r>
            <w:r w:rsidR="00BC30B0">
              <w:t xml:space="preserve"> *</w:t>
            </w:r>
          </w:p>
        </w:tc>
        <w:tc>
          <w:tcPr>
            <w:tcW w:w="567" w:type="dxa"/>
            <w:textDirection w:val="btLr"/>
          </w:tcPr>
          <w:p w14:paraId="2B1E2A51" w14:textId="438E72DF" w:rsidR="00F51742" w:rsidRPr="007F3617" w:rsidRDefault="00F51742" w:rsidP="00F51742">
            <w:pPr>
              <w:pStyle w:val="Tablecontent"/>
              <w:ind w:left="113" w:right="113"/>
              <w:rPr>
                <w:i/>
              </w:rPr>
            </w:pPr>
            <w:r w:rsidRPr="007F3617">
              <w:rPr>
                <w:i/>
              </w:rPr>
              <w:t>Sturnus vulgaris</w:t>
            </w:r>
          </w:p>
        </w:tc>
        <w:tc>
          <w:tcPr>
            <w:tcW w:w="567" w:type="dxa"/>
            <w:textDirection w:val="btLr"/>
          </w:tcPr>
          <w:p w14:paraId="3F4A22DE" w14:textId="31B00C57" w:rsidR="00F51742" w:rsidRPr="00BC30B0" w:rsidRDefault="00F51742" w:rsidP="00F51742">
            <w:pPr>
              <w:pStyle w:val="Tablecontent"/>
              <w:ind w:left="113" w:right="113"/>
            </w:pPr>
            <w:r w:rsidRPr="007F3617">
              <w:rPr>
                <w:i/>
              </w:rPr>
              <w:t xml:space="preserve">Taeniopygia </w:t>
            </w:r>
            <w:r w:rsidR="00BC30B0">
              <w:rPr>
                <w:i/>
              </w:rPr>
              <w:t>guttat</w:t>
            </w:r>
            <w:r w:rsidR="002F2F31">
              <w:rPr>
                <w:i/>
              </w:rPr>
              <w:t>a</w:t>
            </w:r>
            <w:r w:rsidR="00BC30B0">
              <w:t xml:space="preserve"> *</w:t>
            </w:r>
          </w:p>
        </w:tc>
        <w:tc>
          <w:tcPr>
            <w:tcW w:w="567" w:type="dxa"/>
            <w:textDirection w:val="btLr"/>
          </w:tcPr>
          <w:p w14:paraId="1A287664" w14:textId="1CA56C67" w:rsidR="00F51742" w:rsidRPr="007F3617" w:rsidRDefault="00F51742" w:rsidP="00F51742">
            <w:pPr>
              <w:pStyle w:val="Tablecontent"/>
              <w:ind w:left="113" w:right="113"/>
              <w:rPr>
                <w:i/>
              </w:rPr>
            </w:pPr>
            <w:r w:rsidRPr="007F3617">
              <w:rPr>
                <w:i/>
              </w:rPr>
              <w:t>Tauraco erythrolophus</w:t>
            </w:r>
          </w:p>
        </w:tc>
        <w:tc>
          <w:tcPr>
            <w:tcW w:w="567" w:type="dxa"/>
            <w:textDirection w:val="btLr"/>
          </w:tcPr>
          <w:p w14:paraId="1D52A8B5" w14:textId="113C7693" w:rsidR="00F51742" w:rsidRPr="007F3617" w:rsidRDefault="00F51742" w:rsidP="00F51742">
            <w:pPr>
              <w:pStyle w:val="Tablecontent"/>
              <w:ind w:left="113" w:right="113"/>
              <w:rPr>
                <w:i/>
              </w:rPr>
            </w:pPr>
            <w:r w:rsidRPr="007F3617">
              <w:rPr>
                <w:i/>
              </w:rPr>
              <w:t>Thamnophis sirtalis</w:t>
            </w:r>
          </w:p>
        </w:tc>
        <w:tc>
          <w:tcPr>
            <w:tcW w:w="567" w:type="dxa"/>
            <w:textDirection w:val="btLr"/>
          </w:tcPr>
          <w:p w14:paraId="071EDB15" w14:textId="2AD316FE" w:rsidR="00F51742" w:rsidRPr="00BC30B0" w:rsidRDefault="00F51742" w:rsidP="00F51742">
            <w:pPr>
              <w:pStyle w:val="Tablecontent"/>
              <w:ind w:left="113" w:right="113"/>
            </w:pPr>
            <w:r w:rsidRPr="007F3617">
              <w:rPr>
                <w:i/>
              </w:rPr>
              <w:t>Tinamus guttatus</w:t>
            </w:r>
            <w:r w:rsidR="00BC30B0">
              <w:t xml:space="preserve"> *</w:t>
            </w:r>
          </w:p>
        </w:tc>
        <w:tc>
          <w:tcPr>
            <w:tcW w:w="567" w:type="dxa"/>
            <w:textDirection w:val="btLr"/>
          </w:tcPr>
          <w:p w14:paraId="45C7785D" w14:textId="6184449C" w:rsidR="00F51742" w:rsidRPr="00BC30B0" w:rsidRDefault="00F51742" w:rsidP="00F51742">
            <w:pPr>
              <w:pStyle w:val="Tablecontent"/>
              <w:ind w:left="113" w:right="113"/>
            </w:pPr>
            <w:r w:rsidRPr="007F3617">
              <w:rPr>
                <w:i/>
              </w:rPr>
              <w:t>Tyto alba</w:t>
            </w:r>
            <w:r w:rsidR="00BC30B0">
              <w:t xml:space="preserve"> *</w:t>
            </w:r>
          </w:p>
        </w:tc>
        <w:tc>
          <w:tcPr>
            <w:tcW w:w="567" w:type="dxa"/>
            <w:textDirection w:val="btLr"/>
          </w:tcPr>
          <w:p w14:paraId="1061696C" w14:textId="5B6FFE25" w:rsidR="00F51742" w:rsidRPr="007F3617" w:rsidRDefault="00F51742" w:rsidP="00F51742">
            <w:pPr>
              <w:pStyle w:val="Tablecontent"/>
              <w:ind w:left="113" w:right="113"/>
              <w:rPr>
                <w:i/>
              </w:rPr>
            </w:pPr>
            <w:r w:rsidRPr="007F3617">
              <w:rPr>
                <w:i/>
              </w:rPr>
              <w:t>Zonotrichia albicollis</w:t>
            </w:r>
          </w:p>
        </w:tc>
        <w:tc>
          <w:tcPr>
            <w:tcW w:w="567" w:type="dxa"/>
            <w:textDirection w:val="btLr"/>
          </w:tcPr>
          <w:p w14:paraId="0415FB5A" w14:textId="7275C341" w:rsidR="00F51742" w:rsidRPr="007F3617" w:rsidRDefault="00F51742" w:rsidP="00F51742">
            <w:pPr>
              <w:pStyle w:val="Tablecontent"/>
              <w:ind w:left="113" w:right="113"/>
              <w:rPr>
                <w:i/>
              </w:rPr>
            </w:pPr>
            <w:r w:rsidRPr="007F3617">
              <w:rPr>
                <w:i/>
              </w:rPr>
              <w:t>Zosterops lateralis melanops</w:t>
            </w:r>
          </w:p>
        </w:tc>
        <w:tc>
          <w:tcPr>
            <w:tcW w:w="567" w:type="dxa"/>
            <w:tcBorders>
              <w:right w:val="nil"/>
            </w:tcBorders>
            <w:textDirection w:val="btLr"/>
          </w:tcPr>
          <w:p w14:paraId="5A585820" w14:textId="77777777" w:rsidR="00F51742" w:rsidRDefault="00F51742" w:rsidP="00F51742">
            <w:pPr>
              <w:pStyle w:val="Tablecontent"/>
              <w:ind w:left="113" w:right="113"/>
            </w:pPr>
          </w:p>
        </w:tc>
        <w:tc>
          <w:tcPr>
            <w:tcW w:w="567" w:type="dxa"/>
            <w:tcBorders>
              <w:left w:val="nil"/>
              <w:right w:val="nil"/>
            </w:tcBorders>
            <w:textDirection w:val="btLr"/>
          </w:tcPr>
          <w:p w14:paraId="0A39B8D1" w14:textId="77777777" w:rsidR="00F51742" w:rsidRDefault="00F51742" w:rsidP="00F51742">
            <w:pPr>
              <w:pStyle w:val="Tablecontent"/>
              <w:ind w:left="113" w:right="113"/>
            </w:pPr>
          </w:p>
        </w:tc>
      </w:tr>
    </w:tbl>
    <w:p w14:paraId="5115FDB4" w14:textId="66B13EE6" w:rsidR="008D326B" w:rsidRDefault="008D326B" w:rsidP="00391005">
      <w:pPr>
        <w:pStyle w:val="ListParagraph"/>
      </w:pPr>
      <w:r>
        <w:lastRenderedPageBreak/>
        <w:t>Each genome was analysed with RepeatMasker specifying the “-species vertebrates</w:t>
      </w:r>
      <w:r w:rsidR="00CF605A">
        <w:t xml:space="preserve"> -</w:t>
      </w:r>
      <w:r>
        <w:t>nolow” flags, and the LTR retrotransposon-annotated positions were extracted. This generic analysis was extended with a second RepeatMasker analysis which used a custom library built from the structurally intact Galgal4 LTR retrotransposons identified by the LocaTR pipeline. Annotated positions from these two methods were combined, and putative elements with high homology to other repeat classes were removed.</w:t>
      </w:r>
    </w:p>
    <w:p w14:paraId="38C6EE2C" w14:textId="44B59971" w:rsidR="005F4E6D" w:rsidRDefault="005F4E6D" w:rsidP="00391005">
      <w:pPr>
        <w:pStyle w:val="ListParagraph"/>
      </w:pPr>
      <w:r>
        <w:t xml:space="preserve">Annotated LTR retrotransposon content was correlated with genome length, scaffold N50 length and contig N50 length, and values were mapped to a cladogram based on the known phylogeny </w:t>
      </w:r>
      <w:r>
        <w:fldChar w:fldCharType="begin" w:fldLock="1"/>
      </w:r>
      <w:r w:rsidR="00ED0EEE">
        <w:instrText>ADDIN CSL_CITATION { "citationItems" : [ { "id" : "ITEM-1", "itemData" : { "DOI" : "10.1186/s13742-014-0038-1", "ISSN" : "2047-217X", "PMID" : "25741440", "abstract" : "BACKGROUND: Determining the evolutionary relationships among the major lineages of extant birds has been one of the biggest challenges in systematic biology. To address this challenge, we assembled or collected the genomes of 48 avian species spanning most orders of birds, including all Neognathae and two of the five Palaeognathae orders. We used these genomes to construct a genome-scale avian phylogenetic tree and perform comparative genomic analyses.\n\nFINDINGS: Here we present the datasets associated with the phylogenomic analyses, which include sequence alignment files consisting of nucleotides, amino acids, indels, and transposable elements, as well as tree files containing gene trees and species trees. Inferring an accurate phylogeny required generating: 1) A well annotated data set across species based on genome synteny; 2) Alignments with unaligned or incorrectly overaligned sequences filtered out; and 3) Diverse data sets, including genes and their inferred trees, indels, and transposable elements. Our total evidence nucleotide tree (TENT) data set (consisting of exons, introns, and UCEs) gave what we consider our most reliable species tree when using the concatenation-based ExaML algorithm or when using statistical binning with the coalescence-based MP-EST algorithm (which we refer to as MP-EST*). Other data sets, such as the coding sequence of some exons, revealed other properties of genome evolution, namely convergence.\n\nCONCLUSIONS: The Avian Phylogenomics Project is the largest vertebrate phylogenomics project to date that we are aware of. The sequence, alignment, and tree data are expected to accelerate analyses in phylogenomics and other related areas.", "author" : [ { "dropping-particle" : "", "family" : "Jarvis", "given" : "Erich D", "non-dropping-particle" : "", "parse-names" : false, "suffix" : "" }, { "dropping-particle" : "", "family" : "Mirarab", "given" : "Siavash", "non-dropping-particle" : "", "parse-names" : false, "suffix" : "" }, { "dropping-particle" : "", "family" : "Aberer", "given" : "Andre J", "non-dropping-particle" : "", "parse-names" : false, "suffix" : "" }, { "dropping-particle" : "", "family" : "Li", "given" : "Bo", "non-dropping-particle" : "", "parse-names" : false, "suffix" : "" }, { "dropping-particle" : "", "family" : "Houde", "given" : "Peter", "non-dropping-particle" : "", "parse-names" : false, "suffix" : "" }, { "dropping-particle" : "", "family" : "Li", "given" : "Cai", "non-dropping-particle" : "", "parse-names" : false, "suffix" : "" }, { "dropping-particle" : "", "family" : "Ho", "given" : "Simon Y W", "non-dropping-particle" : "", "parse-names" : false, "suffix" : "" }, { "dropping-particle" : "", "family" : "Faircloth", "given" : "Brant C", "non-dropping-particle" : "", "parse-names" : false, "suffix" : "" }, { "dropping-particle" : "", "family" : "Nabholz", "given" : "Benoit", "non-dropping-particle" : "", "parse-names" : false, "suffix" : "" }, { "dropping-particle" : "", "family" : "Howard", "given" : "Jason T", "non-dropping-particle" : "", "parse-names" : false, "suffix" : "" }, { "dropping-particle" : "", "family" : "Suh", "given" : "Alexander", "non-dropping-particle" : "", "parse-names" : false, "suffix" : "" }, { "dropping-particle" : "", "family" : "Weber", "given" : "Claudia C", "non-dropping-particle" : "", "parse-names" : false, "suffix" : "" }, { "dropping-particle" : "", "family" : "Fonseca", "given" : "Rute R", "non-dropping-particle" : "da", "parse-names" : false, "suffix" : "" }, { "dropping-particle" : "", "family" : "Alfaro-N\u00fa\u00f1ez", "given" : "Alonzo", "non-dropping-particle" : "", "parse-names" : false, "suffix" : "" }, { "dropping-particle" : "", "family" : "Narula", "given" : "Nitish", "non-dropping-particle" : "", "parse-names" : false, "suffix" : "" }, { "dropping-particle" : "", "family" : "Liu", "given" : "Liang", "non-dropping-particle" : "", "parse-names" : false, "suffix" : "" }, { "dropping-particle" : "", "family" : "Burt", "given" : "Dave", "non-dropping-particle" : "", "parse-names" : false, "suffix" : "" }, { "dropping-particle" : "", "family" : "Ellegren", "given" : "Hans", "non-dropping-particle" : "", "parse-names" : false, "suffix" : "" }, { "dropping-particle" : "V", "family" : "Edwards", "given" : "Scott", "non-dropping-particle" : "", "parse-names" : false, "suffix" : "" }, { "dropping-particle" : "", "family" : "Stamatakis", "given" : "Alexandros", "non-dropping-particle" : "", "parse-names" : false, "suffix" : "" }, { "dropping-particle" : "", "family" : "Mindell", "given" : "David P", "non-dropping-particle" : "", "parse-names" : false, "suffix" : "" }, { "dropping-particle" : "", "family" : "Cracraft", "given" : "Joel", "non-dropping-particle" : "", "parse-names" : false, "suffix" : "" }, { "dropping-particle" : "", "family" : "Braun", "given" : "Edward L", "non-dropping-particle" : "", "parse-names" : false, "suffix" : "" }, { "dropping-particle" : "", "family" : "Warnow", "given" : "Tandy", "non-dropping-particle" : "", "parse-names" : false, "suffix" : "" }, { "dropping-particle" : "", "family" : "Jun", "given" : "Wang", "non-dropping-particle" : "", "parse-names" : false, "suffix" : "" }, { "dropping-particle" : "", "family" : "Gilbert", "given" : "M Thomas Pius", "non-dropping-particle" : "", "parse-names" : false, "suffix" : "" }, { "dropping-particle" : "", "family" : "Zhang", "given" : "Guojie", "non-dropping-particle" : "", "parse-names" : false, "suffix" : "" } ], "container-title" : "GigaScience", "id" : "ITEM-1", "issued" : { "date-parts" : [ [ "2015", "1" ] ] }, "page" : "4", "title" : "Phylogenomic analyses data of the avian phylogenomics project.", "type" : "article-journal", "volume" : "4" }, "uris" : [ "http://www.mendeley.com/documents/?uuid=33220b9a-56fc-4d42-b581-e4eb2b63ca4b" ] }, { "id" : "ITEM-2", "itemData" : { "DOI" : "10.1111/zsc.12213", "ISSN" : "14636409", "author" : [ { "dropping-particle" : "", "family" : "Suh", "given" : "Alexander", "non-dropping-particle" : "", "parse-names" : false, "suffix" : "" } ], "container-title" : "Zoologica Scripta", "id" : "ITEM-2", "issue" : "October", "issued" : { "date-parts" : [ [ "2016" ] ] }, "page" : "50-62", "title" : "The phylogenomic forest of bird trees contains a hard polytomy at the root of Neoaves", "type" : "article-journal", "volume" : "45" }, "uris" : [ "http://www.mendeley.com/documents/?uuid=c693cb77-1f94-43e1-94bd-65908eba3671" ] } ], "mendeley" : { "formattedCitation" : "(Jarvis et al. 2015; Suh 2016)", "plainTextFormattedCitation" : "(Jarvis et al. 2015; Suh 2016)", "previouslyFormattedCitation" : "(Jarvis et al. 2015; Suh 2016)" }, "properties" : { "noteIndex" : 0 }, "schema" : "https://github.com/citation-style-language/schema/raw/master/csl-citation.json" }</w:instrText>
      </w:r>
      <w:r>
        <w:fldChar w:fldCharType="separate"/>
      </w:r>
      <w:r w:rsidRPr="005F4E6D">
        <w:rPr>
          <w:noProof/>
        </w:rPr>
        <w:t>(Jarvis et al. 2015; Suh 2016)</w:t>
      </w:r>
      <w:r>
        <w:fldChar w:fldCharType="end"/>
      </w:r>
      <w:r>
        <w:t>.</w:t>
      </w:r>
    </w:p>
    <w:p w14:paraId="48A0576A" w14:textId="77777777" w:rsidR="00600158" w:rsidRPr="008D326B" w:rsidRDefault="00600158" w:rsidP="00391005">
      <w:pPr>
        <w:pStyle w:val="ListParagraph"/>
      </w:pPr>
    </w:p>
    <w:p w14:paraId="53B2B389" w14:textId="4463C409" w:rsidR="00C46774" w:rsidRDefault="00C46774" w:rsidP="00C46774">
      <w:pPr>
        <w:pStyle w:val="Heading3"/>
      </w:pPr>
      <w:bookmarkStart w:id="125" w:name="_Toc485721583"/>
      <w:bookmarkStart w:id="126" w:name="_Toc486787163"/>
      <w:bookmarkStart w:id="127" w:name="_Toc486787311"/>
      <w:r>
        <w:t>LTR retrotransposon identification using LocaTR</w:t>
      </w:r>
      <w:bookmarkEnd w:id="125"/>
      <w:bookmarkEnd w:id="126"/>
      <w:bookmarkEnd w:id="127"/>
    </w:p>
    <w:p w14:paraId="00D996D7" w14:textId="1EBD0993" w:rsidR="0098628B" w:rsidRPr="00496A74" w:rsidRDefault="008D326B" w:rsidP="00391005">
      <w:pPr>
        <w:pStyle w:val="ListParagraph"/>
      </w:pPr>
      <w:r>
        <w:t>LTR retrotransposon</w:t>
      </w:r>
      <w:r w:rsidR="00280F68">
        <w:t>s were</w:t>
      </w:r>
      <w:r w:rsidR="004C1EF9">
        <w:t xml:space="preserve"> annotated in each of the </w:t>
      </w:r>
      <w:r w:rsidR="00280F68">
        <w:t>seven</w:t>
      </w:r>
      <w:r w:rsidR="004C1EF9">
        <w:t>ty-three</w:t>
      </w:r>
      <w:r w:rsidR="0054606B">
        <w:t xml:space="preserve"> sauropsid genomes using</w:t>
      </w:r>
      <w:r>
        <w:t xml:space="preserve"> the LocaT</w:t>
      </w:r>
      <w:r w:rsidR="00FF1160">
        <w:t>R pipeline</w:t>
      </w:r>
      <w:r w:rsidR="005F4E6D">
        <w:t>. Th</w:t>
      </w:r>
      <w:r w:rsidR="00496A74">
        <w:t>e</w:t>
      </w:r>
      <w:r w:rsidR="005F4E6D">
        <w:t xml:space="preserve"> total LTR retrotransposon content values were correlated with genome length, scaffold N50 length and contig N50 length. </w:t>
      </w:r>
      <w:r w:rsidR="0098628B">
        <w:t xml:space="preserve">The number of </w:t>
      </w:r>
      <w:r w:rsidR="00496A74">
        <w:t>SIEs was scaled by genome size</w:t>
      </w:r>
      <w:r w:rsidR="0098628B">
        <w:t xml:space="preserve"> and correlated with contig and scaffold N50 valu</w:t>
      </w:r>
      <w:r w:rsidR="00496A74">
        <w:t>es</w:t>
      </w:r>
      <w:r w:rsidR="0098628B">
        <w:t xml:space="preserve">. </w:t>
      </w:r>
      <w:r w:rsidR="00496A74">
        <w:t>All metrics were log</w:t>
      </w:r>
      <w:r w:rsidR="00496A74">
        <w:rPr>
          <w:vertAlign w:val="subscript"/>
        </w:rPr>
        <w:t>10</w:t>
      </w:r>
      <w:r w:rsidR="00496A74">
        <w:t xml:space="preserve"> transformed</w:t>
      </w:r>
      <w:r w:rsidR="00FF1160">
        <w:t xml:space="preserve"> for normality</w:t>
      </w:r>
      <w:r w:rsidR="00496A74">
        <w:t xml:space="preserve">. </w:t>
      </w:r>
    </w:p>
    <w:p w14:paraId="55CFD2C2" w14:textId="77777777" w:rsidR="00FE2022" w:rsidRDefault="0098628B" w:rsidP="00391005">
      <w:pPr>
        <w:pStyle w:val="ListParagraph"/>
      </w:pPr>
      <w:r>
        <w:t>Total content values were mapped to a cladogr</w:t>
      </w:r>
      <w:r w:rsidR="00496A74">
        <w:t>am based on the known phylogeny</w:t>
      </w:r>
      <w:r>
        <w:t>.</w:t>
      </w:r>
      <w:r w:rsidR="00496A74">
        <w:t xml:space="preserve"> A GLM was constructed to identify significant variables which explained the observed distribution of LTR retrotransposon content. Total </w:t>
      </w:r>
      <w:r w:rsidR="00CC3676">
        <w:t>c</w:t>
      </w:r>
      <w:r w:rsidR="00496A74">
        <w:t>ontent was fitted as the response v</w:t>
      </w:r>
      <w:r w:rsidR="00CC3676">
        <w:t>ariable, and the model</w:t>
      </w:r>
      <w:r w:rsidR="00496A74">
        <w:t xml:space="preserve"> consisted of taxonomic groupings, scaled SIE values, contig N50 length </w:t>
      </w:r>
      <w:r w:rsidR="00CC3676">
        <w:t xml:space="preserve">and genome length (the last three </w:t>
      </w:r>
      <w:r w:rsidR="00496A74">
        <w:t>as covariates</w:t>
      </w:r>
      <w:r w:rsidR="00CC3676">
        <w:t>)</w:t>
      </w:r>
      <w:r w:rsidR="00496A74">
        <w:t>. Eight t</w:t>
      </w:r>
      <w:r w:rsidR="00CC3676">
        <w:t>axonomic grouping</w:t>
      </w:r>
      <w:r w:rsidR="00496A74">
        <w:t xml:space="preserve">s were fitted to best match the avian lineages at the K/T extinction event: Paleognathae, Galliformes, Columbea, Caprimulgiformes and Otidimorphae, </w:t>
      </w:r>
      <w:r w:rsidR="00CC3676">
        <w:t xml:space="preserve">Cursorimorphae and Opisthocomiformes, </w:t>
      </w:r>
      <w:r w:rsidR="00496A74">
        <w:t>Aequornithia and Phaethantimorphae, Afroaves, and Australaves.</w:t>
      </w:r>
    </w:p>
    <w:p w14:paraId="056F1897" w14:textId="77777777" w:rsidR="00FE2022" w:rsidRDefault="00FE2022" w:rsidP="00391005">
      <w:pPr>
        <w:pStyle w:val="ListParagraph"/>
      </w:pPr>
    </w:p>
    <w:p w14:paraId="164F1DCD" w14:textId="77777777" w:rsidR="00FE2022" w:rsidRDefault="00FE2022" w:rsidP="00391005">
      <w:pPr>
        <w:pStyle w:val="ListParagraph"/>
      </w:pPr>
    </w:p>
    <w:p w14:paraId="60AB583F" w14:textId="77777777" w:rsidR="00FE2022" w:rsidRDefault="00FE2022" w:rsidP="00391005">
      <w:pPr>
        <w:pStyle w:val="ListParagraph"/>
      </w:pPr>
    </w:p>
    <w:p w14:paraId="2E11B365" w14:textId="77777777" w:rsidR="00FE2022" w:rsidRDefault="00FE2022" w:rsidP="00391005">
      <w:pPr>
        <w:pStyle w:val="ListParagraph"/>
      </w:pPr>
    </w:p>
    <w:p w14:paraId="0AFA2111" w14:textId="4F0280BD" w:rsidR="00920FC5" w:rsidRDefault="00496A74" w:rsidP="00391005">
      <w:pPr>
        <w:pStyle w:val="ListParagraph"/>
      </w:pPr>
      <w:r>
        <w:lastRenderedPageBreak/>
        <w:t xml:space="preserve">  </w:t>
      </w:r>
    </w:p>
    <w:p w14:paraId="38D33A7B" w14:textId="77777777" w:rsidR="00920FC5" w:rsidRDefault="00920FC5" w:rsidP="00391005">
      <w:pPr>
        <w:pStyle w:val="ListParagraph"/>
        <w:sectPr w:rsidR="00920FC5" w:rsidSect="00504068">
          <w:pgSz w:w="11906" w:h="16838"/>
          <w:pgMar w:top="1134" w:right="1418" w:bottom="2268" w:left="2268" w:header="709" w:footer="1066" w:gutter="0"/>
          <w:cols w:space="708"/>
          <w:docGrid w:linePitch="360"/>
        </w:sectPr>
      </w:pPr>
    </w:p>
    <w:p w14:paraId="1A774818" w14:textId="1D8B1118" w:rsidR="00920FC5" w:rsidRDefault="00E30178" w:rsidP="00920FC5">
      <w:pPr>
        <w:pStyle w:val="Heading1"/>
      </w:pPr>
      <w:r>
        <w:lastRenderedPageBreak/>
        <w:t xml:space="preserve"> </w:t>
      </w:r>
      <w:bookmarkStart w:id="128" w:name="_Toc485721584"/>
      <w:bookmarkStart w:id="129" w:name="_Toc486787164"/>
      <w:bookmarkStart w:id="130" w:name="_Toc486787312"/>
      <w:r>
        <w:t>A new look at the LTR retrotransposon content of the chicken genome</w:t>
      </w:r>
      <w:bookmarkEnd w:id="128"/>
      <w:bookmarkEnd w:id="129"/>
      <w:bookmarkEnd w:id="130"/>
    </w:p>
    <w:p w14:paraId="6BAFCCFB" w14:textId="3DB35889" w:rsidR="00F84444" w:rsidRDefault="006C7AD2" w:rsidP="00D4225A">
      <w:pPr>
        <w:pStyle w:val="Heading2"/>
      </w:pPr>
      <w:bookmarkStart w:id="131" w:name="_Ref478204925"/>
      <w:bookmarkStart w:id="132" w:name="_Toc485721585"/>
      <w:bookmarkStart w:id="133" w:name="_Toc486787165"/>
      <w:bookmarkStart w:id="134" w:name="_Toc486787313"/>
      <w:r>
        <w:t>Introduction</w:t>
      </w:r>
      <w:bookmarkEnd w:id="131"/>
      <w:bookmarkEnd w:id="132"/>
      <w:bookmarkEnd w:id="133"/>
      <w:bookmarkEnd w:id="134"/>
    </w:p>
    <w:p w14:paraId="63E0BD26" w14:textId="4ED3E2DD" w:rsidR="00527407" w:rsidRDefault="00E30178" w:rsidP="00391005">
      <w:pPr>
        <w:pStyle w:val="ListParagraph"/>
      </w:pPr>
      <w:r>
        <w:t xml:space="preserve">Since the release of the first draft of the chicken genome, there have been four major studies which have improved the knowledge of its overall LTR retrotransposon content. </w:t>
      </w:r>
      <w:r w:rsidR="00B45012">
        <w:t>Initial work by the International Chicken Genome Consortium (2004) used homology-based approaches to identify ERVs from all three retroviral classes, and Wic</w:t>
      </w:r>
      <w:r w:rsidR="00FF1160">
        <w:t>ker and colleagues (2005) used Cot-</w:t>
      </w:r>
      <w:r w:rsidR="00B45012">
        <w:t>based cloning and sequencing (CBCS) to identify the highest copy number LTR retrotransposon</w:t>
      </w:r>
      <w:r w:rsidR="007F76D0">
        <w:t xml:space="preserve"> elements in the chicken genome. These were initially classified as </w:t>
      </w:r>
      <w:r w:rsidR="007F76D0" w:rsidRPr="00FF1160">
        <w:t xml:space="preserve">gypsy </w:t>
      </w:r>
      <w:r w:rsidR="007F76D0">
        <w:t xml:space="preserve">elements, but were later </w:t>
      </w:r>
      <w:r w:rsidR="005B1D4A">
        <w:t>re</w:t>
      </w:r>
      <w:r w:rsidR="007F76D0">
        <w:t>classified a</w:t>
      </w:r>
      <w:r w:rsidR="00D1536E">
        <w:t>s endogenous GGERVL spumavirus</w:t>
      </w:r>
      <w:r w:rsidR="00B45012">
        <w:t xml:space="preserve"> </w:t>
      </w:r>
      <w:r w:rsidR="007F76D0">
        <w:t xml:space="preserve">sequences </w:t>
      </w:r>
      <w:r w:rsidR="007F76D0">
        <w:fldChar w:fldCharType="begin" w:fldLock="1"/>
      </w:r>
      <w:r w:rsidR="00D41AF1">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rsidR="007F76D0">
        <w:fldChar w:fldCharType="separate"/>
      </w:r>
      <w:r w:rsidR="007F76D0" w:rsidRPr="007F76D0">
        <w:rPr>
          <w:noProof/>
        </w:rPr>
        <w:t>(Bolisetty et al. 2012)</w:t>
      </w:r>
      <w:r w:rsidR="007F76D0">
        <w:fldChar w:fldCharType="end"/>
      </w:r>
      <w:r w:rsidR="00B45012">
        <w:t>. Work by Huda and colleagues</w:t>
      </w:r>
      <w:r w:rsidR="00B45012">
        <w:rPr>
          <w:i/>
        </w:rPr>
        <w:t xml:space="preserve"> </w:t>
      </w:r>
      <w:r w:rsidR="00B45012">
        <w:t>(2008) and, most recently, Bolisetty and colleagues (2012), expanded identification by including structure-based methodologies</w:t>
      </w:r>
      <w:r w:rsidR="00FF1160">
        <w:t xml:space="preserve"> </w:t>
      </w:r>
      <w:r w:rsidR="005B1D4A">
        <w:t xml:space="preserve">which </w:t>
      </w:r>
      <w:r w:rsidR="00FF1160">
        <w:t>tak</w:t>
      </w:r>
      <w:r w:rsidR="005B1D4A">
        <w:t>e</w:t>
      </w:r>
      <w:r w:rsidR="00FF1160">
        <w:t xml:space="preserve"> advantage of the archetypal LTR retrotransposon structure. Overall, this </w:t>
      </w:r>
      <w:r w:rsidR="0038262F">
        <w:t>enabled</w:t>
      </w:r>
      <w:r w:rsidR="00B45012">
        <w:t xml:space="preserve"> the characterisation of 492 structurally intact elements and</w:t>
      </w:r>
      <w:r w:rsidR="00EE5B1C">
        <w:t xml:space="preserve"> </w:t>
      </w:r>
      <w:r w:rsidR="005B1D4A">
        <w:t xml:space="preserve">the </w:t>
      </w:r>
      <w:r w:rsidR="00B45012">
        <w:t>annotation of 1.35 % of the genome as LTR retrotransposon-derived elements.</w:t>
      </w:r>
      <w:r w:rsidR="00527407">
        <w:t xml:space="preserve"> </w:t>
      </w:r>
    </w:p>
    <w:p w14:paraId="61E2A4BC" w14:textId="4B59B928" w:rsidR="00614585" w:rsidRDefault="00261149" w:rsidP="00391005">
      <w:pPr>
        <w:pStyle w:val="ListParagraph"/>
      </w:pPr>
      <w:r>
        <w:t>Despite thes</w:t>
      </w:r>
      <w:r w:rsidR="00527407">
        <w:t>e studies, this</w:t>
      </w:r>
      <w:r>
        <w:t xml:space="preserve"> overall</w:t>
      </w:r>
      <w:r w:rsidR="00EE5B1C">
        <w:t xml:space="preserve"> figure remains three times lower</w:t>
      </w:r>
      <w:r>
        <w:t xml:space="preserve"> than the content of mammalian genomes, even when scaled for genome size. </w:t>
      </w:r>
      <w:r w:rsidR="00614585">
        <w:t>I</w:t>
      </w:r>
      <w:r w:rsidR="00527407">
        <w:t>n addition</w:t>
      </w:r>
      <w:r w:rsidR="00614585">
        <w:t xml:space="preserve">, </w:t>
      </w:r>
      <w:r w:rsidR="00527407">
        <w:t>Bol</w:t>
      </w:r>
      <w:r w:rsidR="00614585">
        <w:t>isetty and colleagues (2012) found</w:t>
      </w:r>
      <w:r w:rsidR="00527407">
        <w:t xml:space="preserve"> that</w:t>
      </w:r>
      <w:r w:rsidR="00614585">
        <w:t xml:space="preserve"> the</w:t>
      </w:r>
      <w:r w:rsidR="00527407">
        <w:t xml:space="preserve"> Neoaves had LTR retrotransposon content much more comparable to mammals, and suggested that this ‘deficit’ of LTR retrotransposon</w:t>
      </w:r>
      <w:r w:rsidR="00614585">
        <w:t>s</w:t>
      </w:r>
      <w:r w:rsidR="00527407">
        <w:t xml:space="preserve"> in chicken</w:t>
      </w:r>
      <w:r w:rsidR="00614585">
        <w:t xml:space="preserve"> may be specific to the Galliformes. </w:t>
      </w:r>
      <w:r>
        <w:t>So, have all the</w:t>
      </w:r>
      <w:r w:rsidR="00614585">
        <w:t xml:space="preserve"> chicken</w:t>
      </w:r>
      <w:r>
        <w:t xml:space="preserve"> LTR retrotransposons been successfully </w:t>
      </w:r>
      <w:r w:rsidR="00614585">
        <w:t xml:space="preserve">identified, and is the apparent paucity of these elements </w:t>
      </w:r>
      <w:r>
        <w:t>biologically representative</w:t>
      </w:r>
      <w:r w:rsidR="00527407">
        <w:t xml:space="preserve"> or simply a result of an incomplete annotation</w:t>
      </w:r>
      <w:r>
        <w:t>?</w:t>
      </w:r>
      <w:r w:rsidR="00614585">
        <w:t xml:space="preserve"> </w:t>
      </w:r>
    </w:p>
    <w:p w14:paraId="76E78138" w14:textId="445F4D8F" w:rsidR="00CF3C87" w:rsidRDefault="00527407" w:rsidP="00391005">
      <w:pPr>
        <w:pStyle w:val="ListParagraph"/>
      </w:pPr>
      <w:r>
        <w:t>Since t</w:t>
      </w:r>
      <w:r w:rsidR="00261149">
        <w:t xml:space="preserve">he </w:t>
      </w:r>
      <w:r w:rsidR="00614585">
        <w:t>work of Bolisetty and colleagues (2012), a new chic</w:t>
      </w:r>
      <w:r>
        <w:t>ken genome assembly has been released (Galgal4), and previous work has shown that there has been a marked increase in repeat content annotation with each revised assembly. In addition, previous identification studies have been heavily homology-based or have only used one structure-based identification program, so it is possible that whole subsets of elements, and those that are lineage-specific, may have been missed completel</w:t>
      </w:r>
      <w:r w:rsidR="00614585">
        <w:t xml:space="preserve">y. It is therefore necessary to undertake a review of the available methodologies and undertake a new, more comprehensive identification of LTR retrotransposon sequence in the chicken genome. </w:t>
      </w:r>
    </w:p>
    <w:p w14:paraId="3F049431" w14:textId="10CF9B6D" w:rsidR="000A74CC" w:rsidRDefault="00CF3C87" w:rsidP="0088121E">
      <w:pPr>
        <w:pStyle w:val="Heading3"/>
      </w:pPr>
      <w:bookmarkStart w:id="135" w:name="_Ref483492786"/>
      <w:bookmarkStart w:id="136" w:name="_Toc485721586"/>
      <w:bookmarkStart w:id="137" w:name="_Toc486787166"/>
      <w:bookmarkStart w:id="138" w:name="_Toc486787314"/>
      <w:r>
        <w:lastRenderedPageBreak/>
        <w:t>Review of the available identification methodologies</w:t>
      </w:r>
      <w:bookmarkEnd w:id="135"/>
      <w:bookmarkEnd w:id="136"/>
      <w:bookmarkEnd w:id="137"/>
      <w:bookmarkEnd w:id="138"/>
    </w:p>
    <w:p w14:paraId="3E68284A" w14:textId="64393511" w:rsidR="00CF3C87" w:rsidRDefault="00CF3C87" w:rsidP="00CF3C87">
      <w:pPr>
        <w:pStyle w:val="Heading4"/>
      </w:pPr>
      <w:r>
        <w:t>Homology-based approaches</w:t>
      </w:r>
    </w:p>
    <w:p w14:paraId="6322D4E1" w14:textId="452615EE" w:rsidR="007B38C6" w:rsidRDefault="000F008D" w:rsidP="00391005">
      <w:pPr>
        <w:pStyle w:val="ListParagraph"/>
      </w:pPr>
      <w:r>
        <w:t xml:space="preserve">LTR retrotransposons have largely been </w:t>
      </w:r>
      <w:r w:rsidR="002C6558">
        <w:t xml:space="preserve">studied independently in a </w:t>
      </w:r>
      <w:r>
        <w:t>species-specific manner, but the increased availability of genomic sequence in the last fifteen years has led to the development of multiple repeat databases</w:t>
      </w:r>
      <w:r w:rsidR="00073493">
        <w:t xml:space="preserve">. It is common practice to begin any </w:t>
      </w:r>
      <w:r w:rsidR="007B38C6">
        <w:rPr>
          <w:i/>
        </w:rPr>
        <w:t xml:space="preserve">de novo </w:t>
      </w:r>
      <w:r w:rsidR="00073493">
        <w:t xml:space="preserve">repeat annotation with RepeatMasker </w:t>
      </w:r>
      <w:r w:rsidR="00073493">
        <w:fldChar w:fldCharType="begin" w:fldLock="1"/>
      </w:r>
      <w:r w:rsidR="007B38C6">
        <w:instrText>ADDIN CSL_CITATION { "citationItems" : [ { "id" : "ITEM-1", "itemData" : { "author" : [ { "dropping-particle" : "", "family" : "Smit", "given" : "AFA", "non-dropping-particle" : "", "parse-names" : false, "suffix" : "" }, { "dropping-particle" : "", "family" : "Hubley", "given" : "R", "non-dropping-particle" : "", "parse-names" : false, "suffix" : "" }, { "dropping-particle" : "", "family" : "Green", "given" : "P", "non-dropping-particle" : "", "parse-names" : false, "suffix" : "" } ], "id" : "ITEM-1", "issue" : "Available: http://repeatmasker.org", "issued" : { "date-parts" : [ [ "2013" ] ] }, "title" : "RepeatMasker Open-4.0.3", "type" : "article-journal" }, "uris" : [ "http://www.mendeley.com/documents/?uuid=023ab28e-73a7-4726-8aea-79ec19c2421b" ] } ], "mendeley" : { "formattedCitation" : "(Smit et al. 2013)", "plainTextFormattedCitation" : "(Smit et al. 2013)", "previouslyFormattedCitation" : "(Smit et al. 2013)" }, "properties" : { "noteIndex" : 0 }, "schema" : "https://github.com/citation-style-language/schema/raw/master/csl-citation.json" }</w:instrText>
      </w:r>
      <w:r w:rsidR="00073493">
        <w:fldChar w:fldCharType="separate"/>
      </w:r>
      <w:r w:rsidR="00073493" w:rsidRPr="000F008D">
        <w:rPr>
          <w:noProof/>
        </w:rPr>
        <w:t>(Smit et al. 2013)</w:t>
      </w:r>
      <w:r w:rsidR="00073493">
        <w:fldChar w:fldCharType="end"/>
      </w:r>
      <w:r w:rsidR="007B38C6">
        <w:t xml:space="preserve">, which identifies all repetitive DNA in the genome assembly and classifies it according to the RepBase libraries </w:t>
      </w:r>
      <w:r w:rsidR="007B38C6">
        <w:fldChar w:fldCharType="begin" w:fldLock="1"/>
      </w:r>
      <w:r w:rsidR="007B38C6">
        <w:instrText>ADDIN CSL_CITATION { "citationItems" : [ { "id" : "ITEM-1", "itemData" : { "DOI" : "10.1159/000084979", "ISBN" : "1650961448", "ISSN" : "1424-859X", "PMID" : "16093699", "abstract" : "Repbase Update is a comprehensive database of repetitive elements from diverse eukaryotic organisms. Currently, it contains over 3600 annotated sequences representing different families and subfamilies of repeats, many of which are unreported anywhere else. Each sequence is accompanied by a short description and references to the original contributors. Repbase Update includes Repbase Reports, an electronic journal publishing newly discovered transposable elements, and the Transposon Pub, a web-based browser of selected chromosomal maps of transposable elements. Sequences from Repbase Update are used to screen and annotate repetitive elements using programs such as Censor and RepeatMasker. Repbase Update is available on the worldwide web at http://www.girinst.org/Repbase_Update.html.", "author" : [ { "dropping-particle" : "", "family" : "Jurka", "given" : "J", "non-dropping-particle" : "", "parse-names" : false, "suffix" : "" }, { "dropping-particle" : "V", "family" : "Kapitonov", "given" : "V", "non-dropping-particle" : "", "parse-names" : false, "suffix" : "" }, { "dropping-particle" : "", "family" : "Pavlicek", "given" : "A", "non-dropping-particle" : "", "parse-names" : false, "suffix" : "" }, { "dropping-particle" : "", "family" : "Klonowski", "given" : "P", "non-dropping-particle" : "", "parse-names" : false, "suffix" : "" }, { "dropping-particle" : "", "family" : "Kohany", "given" : "O", "non-dropping-particle" : "", "parse-names" : false, "suffix" : "" }, { "dropping-particle" : "", "family" : "Walichiewicz", "given" : "J", "non-dropping-particle" : "", "parse-names" : false, "suffix" : "" } ], "container-title" : "Cytogenetic and genome research", "id" : "ITEM-1", "issued" : { "date-parts" : [ [ "2005", "1" ] ] }, "note" : "Read", "page" : "462-7", "title" : "Repbase Update, a database of eukaryotic repetitive elements.", "type" : "article-journal", "volume" : "110" }, "uris" : [ "http://www.mendeley.com/documents/?uuid=e115107c-047d-44c0-a505-3bea3f8ac7a2" ] } ], "mendeley" : { "formattedCitation" : "(Jurka et al. 2005)", "plainTextFormattedCitation" : "(Jurka et al. 2005)", "previouslyFormattedCitation" : "(Jurka et al. 2005)" }, "properties" : { "noteIndex" : 0 }, "schema" : "https://github.com/citation-style-language/schema/raw/master/csl-citation.json" }</w:instrText>
      </w:r>
      <w:r w:rsidR="007B38C6">
        <w:fldChar w:fldCharType="separate"/>
      </w:r>
      <w:r w:rsidR="007B38C6" w:rsidRPr="000F008D">
        <w:rPr>
          <w:noProof/>
        </w:rPr>
        <w:t>(Jurka et al. 2005)</w:t>
      </w:r>
      <w:r w:rsidR="007B38C6">
        <w:fldChar w:fldCharType="end"/>
      </w:r>
      <w:r w:rsidR="007B38C6">
        <w:t xml:space="preserve">. However, it is usual to then further extend the annotation with custom-built libraries or standalone BLAST searches </w:t>
      </w:r>
      <w:r w:rsidR="007B38C6">
        <w:fldChar w:fldCharType="begin" w:fldLock="1"/>
      </w:r>
      <w:r w:rsidR="007B38C6">
        <w:instrText>ADDIN CSL_CITATION { "citationItems" : [ { "id" : "ITEM-1", "itemData" : { "DOI" : "10.1016/S0022-2836(05)80360-2", "ISSN" : "0022-2836", "PMID" : "2231712", "abstract" : "A new approach to rapid sequence comparison, basic local alignment search tool (BLAST), directly approximates alignments that optimize a measure of local similarity, the maximal segment pair (MSP) score. Recent mathematical results on the stochastic properties of MSP scores allow an analysis of the performance of this method as well as the statistical significance of alignments it generates. The basic algorithm is simple and robust; it can be implemented in a number of ways and applied in a variety of contexts including straightforward DNA and protein sequence database searches, motif searches, gene identification searches, and in the analysis of multiple regions of similarity in long DNA sequences. In addition to its flexibility and tractability to mathematical analysis, BLAST is an order of magnitude faster than existing sequence comparison tools of comparable sensitivity.", "author" : [ { "dropping-particle" : "", "family" : "Altschul", "given" : "S F", "non-dropping-particle" : "", "parse-names" : false, "suffix" : "" }, { "dropping-particle" : "", "family" : "Gish", "given" : "W", "non-dropping-particle" : "", "parse-names" : false, "suffix" : "" }, { "dropping-particle" : "", "family" : "Miller", "given" : "W", "non-dropping-particle" : "", "parse-names" : false, "suffix" : "" }, { "dropping-particle" : "", "family" : "Myers", "given" : "E W", "non-dropping-particle" : "", "parse-names" : false, "suffix" : "" }, { "dropping-particle" : "", "family" : "Lipman", "given" : "D J", "non-dropping-particle" : "", "parse-names" : false, "suffix" : "" } ], "container-title" : "Journal of molecular biology", "id" : "ITEM-1", "issue" : "3", "issued" : { "date-parts" : [ [ "1990", "10", "5" ] ] }, "page" : "403-10", "title" : "Basic local alignment search tool.", "type" : "article-journal", "volume" : "215" }, "uris" : [ "http://www.mendeley.com/documents/?uuid=0188c6d8-06ae-4ebf-a9af-c569717e2063" ] } ], "mendeley" : { "formattedCitation" : "(Altschul et al. 1990)", "plainTextFormattedCitation" : "(Altschul et al. 1990)", "previouslyFormattedCitation" : "(Altschul et al. 1990)" }, "properties" : { "noteIndex" : 0 }, "schema" : "https://github.com/citation-style-language/schema/raw/master/csl-citation.json" }</w:instrText>
      </w:r>
      <w:r w:rsidR="007B38C6">
        <w:fldChar w:fldCharType="separate"/>
      </w:r>
      <w:r w:rsidR="007B38C6" w:rsidRPr="007B38C6">
        <w:rPr>
          <w:noProof/>
        </w:rPr>
        <w:t>(Altschul et al. 1990)</w:t>
      </w:r>
      <w:r w:rsidR="007B38C6">
        <w:fldChar w:fldCharType="end"/>
      </w:r>
      <w:r w:rsidR="007B38C6">
        <w:t xml:space="preserve"> using full or partial reference sequences from databases such as </w:t>
      </w:r>
      <w:r>
        <w:t xml:space="preserve">HERVd </w:t>
      </w:r>
      <w:r>
        <w:fldChar w:fldCharType="begin" w:fldLock="1"/>
      </w:r>
      <w:r>
        <w:instrText>ADDIN CSL_CITATION { "citationItems" : [ { "id" : "ITEM-1", "itemData" : { "DOI" : "10.1093/nar/gkh075", "ISSN" : "1362-4962", "PMID" : "14681356", "abstract" : "An elaboration of HERVd (http://herv.img.cas.cz) is being carried out in two directions. One of them is the integration and better classification of families that diverge considerably from typical retroviral genomes. This leads to a more precise identification of members with individual families. The second improvement is better accessibility of the database and connection with human genome annotation.", "author" : [ { "dropping-particle" : "", "family" : "Paces", "given" : "Jan", "non-dropping-particle" : "", "parse-names" : false, "suffix" : "" }, { "dropping-particle" : "", "family" : "Pavl\u00edcek", "given" : "Adam", "non-dropping-particle" : "", "parse-names" : false, "suffix" : "" }, { "dropping-particle" : "", "family" : "Zika", "given" : "Radek", "non-dropping-particle" : "", "parse-names" : false, "suffix" : "" }, { "dropping-particle" : "V", "family" : "Kapitonov", "given" : "Vladimir", "non-dropping-particle" : "", "parse-names" : false, "suffix" : "" }, { "dropping-particle" : "", "family" : "Jurka", "given" : "Jerzy", "non-dropping-particle" : "", "parse-names" : false, "suffix" : "" }, { "dropping-particle" : "", "family" : "Paces", "given" : "V\u00e1clav", "non-dropping-particle" : "", "parse-names" : false, "suffix" : "" } ], "container-title" : "Nucleic acids research", "id" : "ITEM-1", "issue" : "Database issue", "issued" : { "date-parts" : [ [ "2004", "1", "1" ] ] }, "note" : "Read.\nSimple update info on the HERVd launch paper of 2002.", "page" : "D50", "title" : "HERVd: the Human Endogenous RetroViruses Database: update.", "type" : "article-journal", "volume" : "32" }, "uris" : [ "http://www.mendeley.com/documents/?uuid=e7d751d3-5b01-47b9-8ac6-8428441aadc2" ] } ], "mendeley" : { "formattedCitation" : "(Paces et al. 2004)", "plainTextFormattedCitation" : "(Paces et al. 2004)", "previouslyFormattedCitation" : "(Paces et al. 2004)" }, "properties" : { "noteIndex" : 0 }, "schema" : "https://github.com/citation-style-language/schema/raw/master/csl-citation.json" }</w:instrText>
      </w:r>
      <w:r>
        <w:fldChar w:fldCharType="separate"/>
      </w:r>
      <w:r w:rsidRPr="000F008D">
        <w:rPr>
          <w:noProof/>
        </w:rPr>
        <w:t>(Paces et al. 2004)</w:t>
      </w:r>
      <w:r>
        <w:fldChar w:fldCharType="end"/>
      </w:r>
      <w:r>
        <w:t>, R</w:t>
      </w:r>
      <w:r w:rsidR="007B38C6">
        <w:t xml:space="preserve">etOryza </w:t>
      </w:r>
      <w:r w:rsidR="007B38C6">
        <w:fldChar w:fldCharType="begin" w:fldLock="1"/>
      </w:r>
      <w:r w:rsidR="007B38C6">
        <w:instrText>ADDIN CSL_CITATION { "citationItems" : [ { "id" : "ITEM-1", "itemData" : { "DOI" : "10.1093/nar/gkl780", "ISBN" : "1362-4962 (Electronic)", "ISSN" : "03051048", "PMID" : "17071960", "abstract" : "Long terminal repeat (LTR)-retrotransposons comprise a significant portion of the rice genome. Their complete characterization is thus necessary if the sequenced genome is to be annotated correctly. In addition, because LTR-retrotransposons can influence the expression of neighboring genes, the complete identification of these elements in the rice genome is essential in order to study their putative functional interactions with the plant genes. The aims of the database are to (i) Assemble a comprehensive dataset of LTR-retrotransposons that includes not only abundant elements, but also low copy number elements. (ii) Provide an interface to efficiently access the resources stored in the database. This interface should also allow the community to annotate these elements. (iii) Provide a means for identifying LTR-retrotransposons inserted near genes. Here we present the results, where 242 complete LTR-retrotransposons have been structurally and functionally annotated. A web interface to the database has been made available (http://www.retroryza.org/), through which the user can annotate a sequence or search for LTR-retrotransposons in the neighborhood of a gene of interest.", "author" : [ { "dropping-particle" : "", "family" : "Chaparro", "given" : "Cristian", "non-dropping-particle" : "", "parse-names" : false, "suffix" : "" }, { "dropping-particle" : "", "family" : "Guyot", "given" : "Romain", "non-dropping-particle" : "", "parse-names" : false, "suffix" : "" }, { "dropping-particle" : "", "family" : "Zuccolo", "given" : "Andrea", "non-dropping-particle" : "", "parse-names" : false, "suffix" : "" }, { "dropping-particle" : "", "family" : "Pi\u00e9gu", "given" : "Beno\u00eet", "non-dropping-particle" : "", "parse-names" : false, "suffix" : "" }, { "dropping-particle" : "", "family" : "Panaud", "given" : "Olivier", "non-dropping-particle" : "", "parse-names" : false, "suffix" : "" } ], "container-title" : "Nucleic Acids Research", "id" : "ITEM-1", "issue" : "SUPPL. 1", "issued" : { "date-parts" : [ [ "2007" ] ] }, "page" : "66-70", "title" : "RetrOryza: A database of the rice LTR-retrotransposons", "type" : "article-journal", "volume" : "35" }, "uris" : [ "http://www.mendeley.com/documents/?uuid=08b29052-a39c-4656-9bb0-d2c1a33b0b18" ] } ], "mendeley" : { "formattedCitation" : "(Chaparro et al. 2007)", "plainTextFormattedCitation" : "(Chaparro et al. 2007)", "previouslyFormattedCitation" : "(Chaparro et al. 2007)" }, "properties" : { "noteIndex" : 0 }, "schema" : "https://github.com/citation-style-language/schema/raw/master/csl-citation.json" }</w:instrText>
      </w:r>
      <w:r w:rsidR="007B38C6">
        <w:fldChar w:fldCharType="separate"/>
      </w:r>
      <w:r w:rsidR="007B38C6" w:rsidRPr="007B38C6">
        <w:rPr>
          <w:noProof/>
        </w:rPr>
        <w:t>(Chaparro et al. 2007)</w:t>
      </w:r>
      <w:r w:rsidR="007B38C6">
        <w:fldChar w:fldCharType="end"/>
      </w:r>
      <w:r>
        <w:t xml:space="preserve">, and GyDB </w:t>
      </w:r>
      <w:r>
        <w:fldChar w:fldCharType="begin" w:fldLock="1"/>
      </w:r>
      <w:r>
        <w:instrText>ADDIN CSL_CITATION { "citationItems" : [ { "id" : "ITEM-1",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"ITEM-1", "issue" : "Database issue", "issued" : { "date-parts" : [ [ "2011", "1" ] ] }, "page" : "D70-4", "title" : "The Gypsy Database (GyDB) of mobile genetic elements: release 2.0.", "type" : "article-journal", "volume" : "39" }, "uris" : [ "http://www.mendeley.com/documents/?uuid=2201aeec-e22e-4c31-9b3c-c918eda40ebe" ] } ], "mendeley" : { "formattedCitation" : "(Llorens et al. 2011)", "plainTextFormattedCitation" : "(Llorens et al. 2011)", "previouslyFormattedCitation" : "(Llorens et al. 2011)" }, "properties" : { "noteIndex" : 0 }, "schema" : "https://github.com/citation-style-language/schema/raw/master/csl-citation.json" }</w:instrText>
      </w:r>
      <w:r>
        <w:fldChar w:fldCharType="separate"/>
      </w:r>
      <w:r w:rsidRPr="000F008D">
        <w:rPr>
          <w:noProof/>
        </w:rPr>
        <w:t>(Llorens et al. 2011)</w:t>
      </w:r>
      <w:r>
        <w:fldChar w:fldCharType="end"/>
      </w:r>
      <w:r w:rsidR="007B38C6">
        <w:t xml:space="preserve">, depending on the desired study species. </w:t>
      </w:r>
    </w:p>
    <w:p w14:paraId="08C0C8D7" w14:textId="7C4B0E8E" w:rsidR="00CF3C87" w:rsidRDefault="007B38C6" w:rsidP="00391005">
      <w:pPr>
        <w:pStyle w:val="ListParagraph"/>
      </w:pPr>
      <w:r>
        <w:t>This homology-based approach profits from such an extensive knowledge</w:t>
      </w:r>
      <w:r w:rsidR="00FF1160">
        <w:t xml:space="preserve"> </w:t>
      </w:r>
      <w:r>
        <w:t>base, enabling confident LTR retrotransposon annotation even when</w:t>
      </w:r>
      <w:r w:rsidR="00AF316C">
        <w:t xml:space="preserve"> present</w:t>
      </w:r>
      <w:r>
        <w:t xml:space="preserve"> in low copy number or truncated forms. However, identified elements are a product of the reference sequences used to find them, and there is significant bias towards well described repeat classes from extensively studied species and younger</w:t>
      </w:r>
      <w:r w:rsidR="00CD1D8B">
        <w:t>, more complete</w:t>
      </w:r>
      <w:r>
        <w:t xml:space="preserve"> insertions </w:t>
      </w:r>
      <w:r>
        <w:fldChar w:fldCharType="begin" w:fldLock="1"/>
      </w:r>
      <w:r w:rsidR="00261149">
        <w:instrText>ADDIN CSL_CITATION { "citationItems" : [ { "id" : "ITEM-1", "itemData" : { "DOI" : "10.1093/bib/bbm048", "ISSN" : "1477-4054", "PMID" : "17932080", "abstract" : "The contribution of transposable elements (TEs) to genome structure and evolution as well as their impact on genome sequencing, assembly, annotation and alignment has generated increasing interest in developing new methods for their computational analysis. Here we review the diversity of innovative approaches to identify and annotate TEs in the post-genomic era, covering both the discovery of new TE families and the detection of individual TE copies in genome sequences. These approaches span a broad spectrum in computational biology including de novo, homology-based, structure-based and comparative genomic methods. We conclude that the integration and visualization of multiple approaches and the development of new conceptual representations for TE annotation will further advance the computational analysis of this dynamic component of the genome.", "author" : [ { "dropping-particle" : "", "family" : "Bergman", "given" : "Casey M", "non-dropping-particle" : "", "parse-names" : false, "suffix" : "" }, { "dropping-particle" : "", "family" : "Quesneville", "given" : "Hadi", "non-dropping-particle" : "", "parse-names" : false, "suffix" : "" } ], "container-title" : "Briefings in bioinformatics", "id" : "ITEM-1", "issue" : "6", "issued" : { "date-parts" : [ [ "2007", "11" ] ] }, "note" : "Review approaches to identify and annotate TEs.\n\n        \nStructure based methods:\n- rely on detecting specific models of architecture, rather than the results of transposition\n- less biased by similarity to known elements\n- individual models must be built for each type of TE and some types of TE are more strongly structured than others", "page" : "382-92", "title" : "Discovering and detecting transposable elements in genome sequences.", "type" : "article-journal", "volume" : "8" }, "uris" : [ "http://www.mendeley.com/documents/?uuid=06b49abf-cfcf-4eb5-b43d-bdac6ac6ccd1" ] } ], "mendeley" : { "formattedCitation" : "(Bergman &amp; Quesneville 2007)", "plainTextFormattedCitation" : "(Bergman &amp; Quesneville 2007)", "previouslyFormattedCitation" : "(Bergman &amp; Quesneville 2007)" }, "properties" : { "noteIndex" : 0 }, "schema" : "https://github.com/citation-style-language/schema/raw/master/csl-citation.json" }</w:instrText>
      </w:r>
      <w:r>
        <w:fldChar w:fldCharType="separate"/>
      </w:r>
      <w:r w:rsidRPr="007B38C6">
        <w:rPr>
          <w:noProof/>
        </w:rPr>
        <w:t>(Bergman &amp; Quesneville 2007)</w:t>
      </w:r>
      <w:r>
        <w:fldChar w:fldCharType="end"/>
      </w:r>
      <w:r>
        <w:t>. Additionally, heterogeneous conservation of repetitive sequence returns fragmented hits, rather than complete elements, and there is often a bias tow</w:t>
      </w:r>
      <w:r w:rsidR="00CD1D8B">
        <w:t>ards retroviral-like domains such as</w:t>
      </w:r>
      <w:r>
        <w:t xml:space="preserve"> </w:t>
      </w:r>
      <w:r>
        <w:rPr>
          <w:i/>
        </w:rPr>
        <w:t>reverse transcriptase</w:t>
      </w:r>
      <w:r>
        <w:t xml:space="preserve">, leading to the detection of other retrotransposing elements such as LINEs. Crucially, homology-based identification alone is non-exhaustive and </w:t>
      </w:r>
      <w:r w:rsidR="00CD1D8B">
        <w:t xml:space="preserve">is </w:t>
      </w:r>
      <w:r>
        <w:t xml:space="preserve">unlikely to detect lineage-specific repeats.  </w:t>
      </w:r>
    </w:p>
    <w:p w14:paraId="6F6DA913" w14:textId="693464CB" w:rsidR="000F008D" w:rsidRDefault="000F008D" w:rsidP="00391005">
      <w:pPr>
        <w:pStyle w:val="ListParagraph"/>
      </w:pPr>
    </w:p>
    <w:p w14:paraId="697F9620" w14:textId="6567EC7A" w:rsidR="00CF3C87" w:rsidRDefault="00CF3C87" w:rsidP="00CF3C87">
      <w:pPr>
        <w:pStyle w:val="Heading4"/>
      </w:pPr>
      <w:r>
        <w:t>Structure-based approaches</w:t>
      </w:r>
    </w:p>
    <w:p w14:paraId="5EE7F95B" w14:textId="2EA5AB84" w:rsidR="00CF3C87" w:rsidRDefault="002551D8" w:rsidP="00391005">
      <w:pPr>
        <w:pStyle w:val="ListParagraph"/>
      </w:pPr>
      <w:r>
        <w:t xml:space="preserve">The conserved archetypal structure of LTR retrotransposons enables element identification independent of sequence homology, by instead modelling the element based on various distance and similarity constraints. Such approaches initially identify LTRs by their U3-R-U5 conserved structure, including polyadenylation signals, transcription factor binding sites and the transcription start site, and their demarcation by short inverted repeats. Candidate LTRs are then paired on distance and similarity </w:t>
      </w:r>
      <w:r>
        <w:lastRenderedPageBreak/>
        <w:t xml:space="preserve">constraints with annotated pairs only classified as LTR retrotransposons when validated by the presence of further motifs which satisfy location, size and reading frame </w:t>
      </w:r>
      <w:r w:rsidR="00F15E5B">
        <w:t>requirements. This stipulation</w:t>
      </w:r>
      <w:r>
        <w:t xml:space="preserve"> for </w:t>
      </w:r>
      <w:r w:rsidR="00F15E5B">
        <w:t xml:space="preserve">identification of </w:t>
      </w:r>
      <w:r>
        <w:t xml:space="preserve">candidate LTR pairs means that intact LTR retrotransposon discovery is heavily dependent on assembly quality, particularly its contiguity and true resolution of high copy number repeats. </w:t>
      </w:r>
    </w:p>
    <w:p w14:paraId="33E0C85C" w14:textId="2CD71187" w:rsidR="002551D8" w:rsidRDefault="002551D8" w:rsidP="00391005">
      <w:pPr>
        <w:pStyle w:val="ListParagraph"/>
      </w:pPr>
      <w:r>
        <w:t>The first structure-based identification method</w:t>
      </w:r>
      <w:r w:rsidR="00F15E5B">
        <w:t xml:space="preserve">, LTR_STRUC (LS) </w:t>
      </w:r>
      <w:r w:rsidR="00F15E5B">
        <w:fldChar w:fldCharType="begin" w:fldLock="1"/>
      </w:r>
      <w:r w:rsidR="00B160D6">
        <w:instrText>ADDIN CSL_CITATION { "citationItems" : [ { "id" : "ITEM-1", "itemData" : { "DOI" : "10.1093/bioinformatics/btf878", "ISSN" : "1367-4803", "abstract" : "Motivation: Long terminal repeat (LTR) retrotransposons constitute a substantial fraction of most eukaryotic genomes and are believed to have a significant im- pact on genome structure and function. Conventional methods used to search for LTR retrotransposons in genome databases are labor intensive. We present an efficient, reliable and automated method to identify and analyze members of this important class of transposable elements. Results: We have developed a new data-mining pro- gram, LTR STRUC (LTR retrotransposon structure program) which identifies and automatically analyzes LTRretrotransposons in genome databases by searching for structural features characteristic of such elements. LTR STRUC has significant advantages over conventional search methods in the case of LTR retrotransposon families having low sequence homology to known queries or families with atypical structure (e.g. non-autonomous elements lacking canonical retroviral ORFs) and is thus a discovery tool that complements established methods. LTR STRUC finds LTR retrotransposons using an algo- rithm that encompasses a number of tasks that would otherwise have to be initiated individually by the user. Foreach LTR retrotransposon found, LTR STRUC auto- matically generates an analysis of a variety of structural features of biological interest. Availability: The LTR STRUC program is currently avail- able as a console application free of charge to academic users from the authors.", "author" : [ { "dropping-particle" : "", "family" : "McCarthy", "given" : "E. M.", "non-dropping-particle" : "", "parse-names" : false, "suffix" : "" }, { "dropping-particle" : "", "family" : "McDonald", "given" : "J. F.", "non-dropping-particle" : "", "parse-names" : false, "suffix" : "" } ], "container-title" : "Bioinformatics", "id" : "ITEM-1", "issue" : "3", "issued" : { "date-parts" : [ [ "2003", "2", "12" ] ] }, "note" : "LTR_STRUC identifies putative LTRs and then looks for other features which define retrotransposons - dinucleotide repeats at the outer edge of LTRs and the PBS and PPT.\nWhen LTRs insert a short 4-6bp segment of host DNA is replicated creating a target site repeat &amp;quot;TSR&amp;quot;.\n\n        \nLocating elements in comparable to existing techniques (2003) but in identifying them it is superior (especially when they are novel).\n\n        \nMost identified have LTRs with greater than 90% similarity - allows recognition of inserts to within 60-100mya? Ish. Unlikely to detect below 75%, sometimes can match 80% similarity.\n\n        \nCannot find retrotransposons that span contigs - as the algorithm searches for both ends before stating a hit --&amp;gt; for the same reason it can&amp;#039;t locate solos or truncated sequence.\nDescribes mian utility is for discovery and initial analysis of new families of retrotransposons.", "page" : "362-367", "title" : "LTR_STRUC: a novel search and identification program for LTR retrotransposons", "type" : "article-journal", "volume" : "19" }, "uris" : [ "http://www.mendeley.com/documents/?uuid=b61a9d94-3042-4bb2-8f34-39b2363886f1" ] } ], "mendeley" : { "formattedCitation" : "(McCarthy &amp; McDonald 2003)", "plainTextFormattedCitation" : "(McCarthy &amp; McDonald 2003)", "previouslyFormattedCitation" : "(McCarthy &amp; McDonald 2003)" }, "properties" : { "noteIndex" : 0 }, "schema" : "https://github.com/citation-style-language/schema/raw/master/csl-citation.json" }</w:instrText>
      </w:r>
      <w:r w:rsidR="00F15E5B">
        <w:fldChar w:fldCharType="separate"/>
      </w:r>
      <w:r w:rsidR="00F15E5B" w:rsidRPr="00F15E5B">
        <w:rPr>
          <w:noProof/>
        </w:rPr>
        <w:t>(McCarthy &amp; McDonald 2003)</w:t>
      </w:r>
      <w:r w:rsidR="00F15E5B">
        <w:fldChar w:fldCharType="end"/>
      </w:r>
      <w:r w:rsidR="00F15E5B">
        <w:t>, set the trend for a range of related but increasingly sophisticated programs with equally unwieldy names. LS identifies putative LTRs by seeding random alignments between two points within a set distance constraint, and extending the alignment until scores drop beneath a predefined threshold. Alignment ends are fine-tuned by identification of the target site duplications (TSDs), which border the L</w:t>
      </w:r>
      <w:r w:rsidR="0070227E">
        <w:t>TR, and the neighbouring Primer</w:t>
      </w:r>
      <w:r w:rsidR="00F15E5B">
        <w:t xml:space="preserve"> Binding Site (PBS) and Polypurine tract (PPT) at the inner edge of the 5’ and 3’ LTRs respectively. LS predominantly identifies LTR pairs with greater than 90 % homology, e</w:t>
      </w:r>
      <w:r w:rsidR="000C0990">
        <w:t xml:space="preserve">nabling </w:t>
      </w:r>
      <w:r w:rsidR="00F15E5B">
        <w:t xml:space="preserve">high specificity, but with </w:t>
      </w:r>
      <w:r w:rsidR="00CE3E91">
        <w:t xml:space="preserve">limited </w:t>
      </w:r>
      <w:r w:rsidR="00F15E5B">
        <w:t xml:space="preserve">sensitivity. This can be improved with a poorly defined ‘sensitivity scale’, allowing identification of LTR pairs with 75 % identity, but with a large associated increase in the false positive rate. </w:t>
      </w:r>
    </w:p>
    <w:p w14:paraId="2C32EEFE" w14:textId="77777777" w:rsidR="00B160D6" w:rsidRDefault="00B160D6" w:rsidP="00391005">
      <w:pPr>
        <w:pStyle w:val="ListParagraph"/>
      </w:pPr>
      <w:r>
        <w:t xml:space="preserve">Despite its release in 2003, LS continues to be used successfully for diverse LTR retrotransposon family annotation </w:t>
      </w:r>
      <w:r>
        <w:fldChar w:fldCharType="begin" w:fldLock="1"/>
      </w:r>
      <w:r>
        <w:instrText>ADDIN CSL_CITATION { "citationItems" : [ { "id" : "ITEM-1", "itemData" : { "DOI" : "10.1186/gb-2004-5-3-r14", "ISSN" : "1465-6914", "PMID" : "15003117", "abstract" : "BACKGROUND: Long terminal repeat (LTR) retrotransposons make up a large fraction of the typical mammalian genome. They comprise about 8% of the human genome and approximately 10% of the mouse genome. On account of their abundance, LTR retrotransposons are believed to hold major significance for genome structure and function. Recent advances in genome sequencing of a variety of model organisms has provided an unprecedented opportunity to evaluate better the diversity of LTR retrotransposons resident in eukaryotic genomes.\n\nRESULTS: Using a new data-mining program, LTR_STRUC, in conjunction with conventional techniques, we have mined the GenBank mouse (Mus musculus) database and the more complete Ensembl mouse dataset for LTR retrotransposons. We report here that the M. musculus genome contains at least 21 separate families of LTR retrotransposons; 13 of these families are described here for the first time.\n\nCONCLUSIONS: All families of mouse LTR retrotransposons are members of the gypsy-like superfamily of retroviral-like elements. Several different families of unrelated non-autonomous elements were identified, suggesting that the evolution of non-autonomy may be a common event. High sequence similarity between several LTR retrotransposons identified in this study and those found in distantly-related species suggests that horizontal transfer has been a significant factor in the evolution of mouse LTR retrotransposons.", "author" : [ { "dropping-particle" : "", "family" : "McCarthy", "given" : "Eugene M", "non-dropping-particle" : "", "parse-names" : false, "suffix" : "" }, { "dropping-particle" : "", "family" : "McDonald", "given" : "John F", "non-dropping-particle" : "", "parse-names" : false, "suffix" : "" } ], "container-title" : "Genome biology", "id" : "ITEM-1", "issue" : "3", "issued" : { "date-parts" : [ [ "2004", "1" ] ] }, "note" : "Read.", "page" : "R14", "title" : "Long terminal repeat retrotransposons of Mus musculus.", "type" : "article-journal", "volume" : "5" }, "uris" : [ "http://www.mendeley.com/documents/?uuid=0eb079f4-ddf7-4a3b-ad98-8a6dc3b39406" ] }, { "id" : "ITEM-2", "itemData" : { "DOI" : "10.1186/gb-2006-7-6-r51", "ISSN" : "1465-6914", "PMID" : "16805923", "abstract" : "BACKGROUND: Retrotransposons, the most abundant and widespread class of eukaryotic transposable elements, are believed to play a significant role in mutation and disease and to have contributed significantly to the evolution of genome structure and function. The recent sequencing of the chimpanzee genome is providing an unprecedented opportunity to study the functional significance of these elements in two closely related primate species and to better evaluate their role in primate evolution.\n\nRESULTS: We report here that the chimpanzee genome contains at least 42 separate families of endogenous retroviruses, nine of which were not previously identified. All but two (CERV 1/PTERV1 and CERV 2) of the 42 families of chimpanzee endogenous retroviruses were found to have orthologs in humans. Molecular analysis (PCR and Southern hybridization) of CERV 2 elements demonstrates that this family is present in chimpanzee, bonobo, gorilla and old-world monkeys but absent in human, orangutan and new-world monkeys. A survey of endogenous retroviral positional variation between chimpanzees and humans determined that approximately 7% of all chimpanzee-human INDEL variation is associated with endogenous retroviral sequences.\n\nCONCLUSION: Nine families of chimpanzee endogenous retroviruses have been transpositionally active since chimpanzees and humans diverged from a common ancestor. Seven of these transpositionally active families have orthologs in humans, one of which has also been transpositionally active in humans since the human-chimpanzee divergence about six million years ago. Comparative analyses of orthologous regions of the human and chimpanzee genomes have revealed that a significant portion of INDEL variation between chimpanzees and humans is attributable to endogenous retroviruses and may be of evolutionary significance.", "author" : [ { "dropping-particle" : "", "family" : "Polavarapu", "given" : "Nalini", "non-dropping-particle" : "", "parse-names" : false, "suffix" : "" }, { "dropping-particle" : "", "family" : "Bowen", "given" : "Nathan J", "non-dropping-particle" : "", "parse-names" : false, "suffix" : "" }, { "dropping-particle" : "", "family" : "McDonald", "given" : "John F", "non-dropping-particle" : "", "parse-names" : false, "suffix" : "" } ], "container-title" : "Genome biology", "id" : "ITEM-2", "issue" : "6", "issued" : { "date-parts" : [ [ "2006", "1" ] ] }, "note" : "read", "page" : "R51", "title" : "Identification, characterization and comparative genomics of chimpanzee endogenous retroviruses.", "type" : "article-journal", "volume" : "7" }, "uris" : [ "http://www.mendeley.com/documents/?uuid=bba86045-1e50-4206-b119-5686f195e3d6" ] }, { "id" : "ITEM-3", "itemData" : { "DOI" : "10.1186/1745-6150-3-9", "ISSN" : "1745-6150", "PMID" : "18361801", "abstract" : "We analyzed the chicken (Gallus gallus) genome sequence to search for previously uncharacterized endogenous retrovirus (ERV) sequences using ab initio and combined evidence approaches. We discovered 11 novel families of ERVs that occupy more than 21 million base pairs, approximately 2%, of the chicken genome. These novel families include a number of recently active full-length elements possessing identical long terminal repeats (LTRs) as well as intact gag and pol open reading frames. The abundance and diversity of chicken ERVs we discovered underscore the utility of an approach that combines multiple methods for the identification of interspersed repeats in vertebrate genomes.", "author" : [ { "dropping-particle" : "", "family" : "Huda", "given" : "Ahsan", "non-dropping-particle" : "", "parse-names" : false, "suffix" : "" }, { "dropping-particle" : "", "family" : "Polavarapu", "given" : "Nalini", "non-dropping-particle" : "", "parse-names" : false, "suffix" : "" }, { "dropping-particle" : "", "family" : "Jordan", "given" : "I King", "non-dropping-particle" : "", "parse-names" : false, "suffix" : "" }, { "dropping-particle" : "", "family" : "McDonald", "given" : "John F", "non-dropping-particle" : "", "parse-names" : false, "suffix" : "" } ], "container-title" : "Biology direct", "id" : "ITEM-3", "issue" : "9", "issued" : { "date-parts" : [ [ "2008", "1" ] ] }, "note" : "Paper records the finding of new ERVs in the chicken genome. It also details some of the methods for finding these kinds of sequences de novo \u2013 talks about LTR_STRUC and RepeatMasker (papers downloaded). Paper states key features usually found with retroviral elements: characteristic repeats and characteristic sizes. Reminder that at the point of insertion the 5\u2019 and 3\u2019 LTRs should be identical.", "title" : "Endogenous retroviruses of the chicken genome.", "type" : "article-journal", "volume" : "3" }, "uris" : [ "http://www.mendeley.com/documents/?uuid=9b2a35cf-d5a3-4f90-b55d-7cb0c3d3ff52" ] }, { "id" : "ITEM-4", "itemData" : { "DOI" : "10.1128/JVI.00106-10", "ISSN" : "1098-5514", "PMID" : "20686017", "abstract" : "Endogenous retroviruses (ERVs) are the proviral phase of exogenous retroviruses that become integrated into a host germ line. They can play an important role in the host genome. Bioinformatic tools have been used to detect ERVs in several vertebrates, primarily primates and rodents. Less information is available regarding ERVs in other mammalian groups, and the source of this information is basically experimental. We analyzed the genome of the cow (Bos taurus) using three different methods. A BLAST-based method detected 928 possible ERVs, LTR_STRUC detected 4,487 elements flanked by long terminal repeats (LTRs), and Retrotector detected 9,698 ERVs. The ERVs were not homogeneously distributed across chromosomes; the number of ERVs was positively correlated with chromosomal size and negatively correlated with chromosomal GC content. The bovine ERVs (BoERVs) were classified into 24 putative families, with 20 of them not previously described. One of these new families, BoERV1, was the most abundant family and appeared to be specific to ruminants. An analysis of representatives of ERV families from rodents, primates, and ruminants showed a phylogenetic relationship following their hosts' relationships. This study demonstrates the importance of using multiple methods when trying to identify new ERVs and shows that the number of bovine ERV families is not as limited as previously thought.", "author" : [ { "dropping-particle" : "", "family" : "Garcia-Etxebarria", "given" : "Koldo", "non-dropping-particle" : "", "parse-names" : false, "suffix" : "" }, { "dropping-particle" : "", "family" : "Jugo", "given" : "Bego\u00f1a Marina", "non-dropping-particle" : "", "parse-names" : false, "suffix" : "" } ], "container-title" : "Journal of virology", "id" : "ITEM-4", "issue" : "20", "issued" : { "date-parts" : [ [ "2010", "10" ] ] }, "note" : "Read", "page" : "10852-62", "title" : "Genome-wide detection and characterization of endogenous retroviruses in Bos taurus.", "type" : "article-journal", "volume" : "84" }, "uris" : [ "http://www.mendeley.com/documents/?uuid=b20b8539-fc3d-4217-9923-c7273609fb38" ] }, { "id" : "ITEM-5", "itemData" : { "DOI" : "10.1016/j.virol.2012.08.047", "ISSN" : "1096-0341", "PMID" : "23026066", "abstract" : "Endogenous retroviruses (ERVs) are proviral phases of exogenous retroviruses that have become incorporated into the host genome. Little is known about ERVs in the horse genome. By combining 3 bioinformatic approaches, we detected 1947 putative ERVs in the horse genome. These equine ERVs are not scattered randomly across the genome and are especially abundant in the X chromosome. Based on phylogenetic relationships, some of these equine ERVs were classified into 15 previously uncharacterized families of Classes I, II and III. Compared with the cow and other species, the horse genome appears to container fewer ERVs. Although this could be due to limitations of the detection process, it could also stem from characteristics of the horse genome or the effect of the domestication process.", "author" : [ { "dropping-particle" : "", "family" : "Garcia-Etxebarria", "given" : "Koldo", "non-dropping-particle" : "", "parse-names" : false, "suffix" : "" }, { "dropping-particle" : "", "family" : "Jugo", "given" : "Bego\u00f1a M", "non-dropping-particle" : "", "parse-names" : false, "suffix" : "" } ], "container-title" : "Virology", "id" : "ITEM-5", "issued" : { "date-parts" : [ [ "2012", "12", "5" ] ] }, "note" : "Great paper with lots of details about methods and proposals as to why there may be a 'deficit' of ERVs in the horse compared to the cow.\nGood read.", "page" : "59-67", "title" : "Detection and characterization of endogenous retroviruses in the horse genome by in silico analysis.", "type" : "article-journal", "volume" : "434" }, "uris" : [ "http://www.mendeley.com/documents/?uuid=bdcb91f5-00e8-4969-865f-e30ea1609537" ] } ], "mendeley" : { "formattedCitation" : "(McCarthy &amp; McDonald 2004; Polavarapu et al. 2006; Huda et al. 2008; Garcia-Etxebarria &amp; Jugo 2010; Garcia-Etxebarria &amp; Jugo 2012)", "plainTextFormattedCitation" : "(McCarthy &amp; McDonald 2004; Polavarapu et al. 2006; Huda et al. 2008; Garcia-Etxebarria &amp; Jugo 2010; Garcia-Etxebarria &amp; Jugo 2012)", "previouslyFormattedCitation" : "(McCarthy &amp; McDonald 2004; Polavarapu et al. 2006; Huda et al. 2008; Garcia-Etxebarria &amp; Jugo 2010; Garcia-Etxebarria &amp; Jugo 2012)" }, "properties" : { "noteIndex" : 0 }, "schema" : "https://github.com/citation-style-language/schema/raw/master/csl-citation.json" }</w:instrText>
      </w:r>
      <w:r>
        <w:fldChar w:fldCharType="separate"/>
      </w:r>
      <w:r w:rsidRPr="00B160D6">
        <w:rPr>
          <w:noProof/>
        </w:rPr>
        <w:t>(McCarthy &amp; McDonald 2004; Polavarapu et al. 2006; Huda et al. 2008; Garcia-Etxebarria &amp; Jugo 2010; Garcia-Etxebarria &amp; Jugo 2012)</w:t>
      </w:r>
      <w:r>
        <w:fldChar w:fldCharType="end"/>
      </w:r>
      <w:r>
        <w:t xml:space="preserve">, but is unable to complete exhaustive identification. Increased sensitivity and processing speed was introduced with the related LTR_par </w:t>
      </w:r>
      <w:r>
        <w:fldChar w:fldCharType="begin" w:fldLock="1"/>
      </w:r>
      <w:r>
        <w:instrText>ADDIN CSL_CITATION { "citationItems" : [ { "id" : "ITEM-1", "itemData" : { "abstract" : "LTR retrotransposons constitute one of the most abundant classes of repetitive elements in eukaryotic genomes. In this paper, we present a new algorithm for detection of full- length LTR retrotransposons in genomic sequences. The algorithm identifies regions in a genomic sequence that show structural characteristics of LTR retrotransposons. Three key components distinguish our algorithm from that of current software \u2014 (i) a novel method that preprocesses the entire genomic sequence in linear time and produces high quality pairs of LTR candidates in run-time that is constant per pair, (ii) a thorough alignment-based evaluation of candidate pairs to ensure high quality prediction, and (iii) a robust parameter set encompassing both structural constraints and quality con- trols providing users with a high degree of flexibility. We implemented our algorithm into a software program called LTR par, which can be run on both serial and paral- lel computers. Validation of our software against the yeast genome indicates superior results in both quality and performance when compared to existing software. Additional validations are presented on rice BACs and chimpanzee genome.", "author" : [ { "dropping-particle" : "", "family" : "Kalyanaraman", "given" : "Anantharaman", "non-dropping-particle" : "", "parse-names" : false, "suffix" : "" }, { "dropping-particle" : "", "family" : "Aluru", "given" : "Srinivas", "non-dropping-particle" : "", "parse-names" : false, "suffix" : "" } ], "container-title" : "Journal of Bioinformatics and \u2026", "id" : "ITEM-1", "issue" : "2", "issued" : { "date-parts" : [ [ "2006" ] ] }, "note" : "Present LTR_par - another structural characteristic recognition tool: focus on full length.\nSoftware available from the authors.\n\n        \nA lot quicker than LTR_STRUC.\nUses a distance range of 100-15000bp and states that this is sufficient in practice. \n\n        \nSearch focus:\n- LTR homology\n- distance constraint\n- TSR\n- LTR dinucleotide flanking motif\n- genes and PBS/PPT\n\n        \nSuggests the greedy LTR_STRUC LTR aligning algorithm is likely to miss some LTR pairs. \nLTR_par reduces time by making the search more efficient. It also more accurately models mutations in the LTR and TSR regions - increasing sensitivity.\n\n        \nAuthor&amp;#039;s validation of LTR_par suggests that it has better sensitivity than LTR_STRUC, but LTR_STRUC has a better specificity. The authors argue that in de novo studies ensuring a reduced number of false positives is more important (better sensitivity). \n\n        \n\n        \n\n      ", "page" : "197-216", "title" : "Efficient algorithms and software for detection of full-length LTR retrotransposons", "type" : "article-journal", "volume" : "4" }, "uris" : [ "http://www.mendeley.com/documents/?uuid=4c1dc5ae-684a-47a1-bcd9-805cc14f3eaa" ] } ], "mendeley" : { "formattedCitation" : "(Kalyanaraman &amp; Aluru 2006)", "plainTextFormattedCitation" : "(Kalyanaraman &amp; Aluru 2006)", "previouslyFormattedCitation" : "(Kalyanaraman &amp; Aluru 2006)" }, "properties" : { "noteIndex" : 0 }, "schema" : "https://github.com/citation-style-language/schema/raw/master/csl-citation.json" }</w:instrText>
      </w:r>
      <w:r>
        <w:fldChar w:fldCharType="separate"/>
      </w:r>
      <w:r w:rsidRPr="00B160D6">
        <w:rPr>
          <w:noProof/>
        </w:rPr>
        <w:t>(Kalyanaraman &amp; Aluru 2006)</w:t>
      </w:r>
      <w:r>
        <w:fldChar w:fldCharType="end"/>
      </w:r>
      <w:r>
        <w:t xml:space="preserve"> and the web-based LTR_FINDER </w:t>
      </w:r>
      <w:r>
        <w:fldChar w:fldCharType="begin" w:fldLock="1"/>
      </w:r>
      <w:r>
        <w:instrText>ADDIN CSL_CITATION { "citationItems" : [ { "id" : "ITEM-1", "itemData" : { "DOI" : "10.1093/nar/gkm286", "ISSN" : "1362-4962", "PMID" : "17485477", "abstract" : "Long terminal repeat retrotransposons (LTR elements) are ubiquitous eukaryotic transposable elements. They play important roles in the evolution of genes and genomes. Ever-growing amount of genomic sequences of many organisms present a great challenge to fast identifying them. That is the first and indispensable step to study their structure, distribution, functions and other biological impacts. However, until today, tools for efficient LTR retrotransposon discovery are very limited. Thus, we developed LTR_FINDER web server. Given DNA sequences, it predicts locations and structure of full-length LTR retrotransposons accurately by considering common structural features. LTR_FINDER is a system capable of scanning large-scale sequences rapidly and the first web server for ab initio LTR retrotransposon finding. We illustrate its usage and performance on the genome of Saccharomyces cerevisiae. The web server is freely accessible at http://tlife.fudan.edu.cn/ltr_finder/.", "author" : [ { "dropping-particle" : "", "family" : "Xu", "given" : "Zhao", "non-dropping-particle" : "", "parse-names" : false, "suffix" : "" }, { "dropping-particle" : "", "family" : "Wang", "given" : "Hao", "non-dropping-particle" : "", "parse-names" : false, "suffix" : "" } ], "container-title" : "Nucleic acids research", "id" : "ITEM-1", "issue" : "Web Server issue", "issued" : { "date-parts" : [ [ "2007", "7" ] ] }, "note" : "Present the LTR_FINDER web server which predicts full length LTR retortransposons using common structural features. This is the first web server for this purpose, freely available - http://tlife.fudan. edu.cn/ltr_finder/\n\n        \nProvides output with LTR sizes, element locations, LTR homology, sharpness (reliability of boundary locations) etc. Also visualises output. \n\n        \nLTR_FINDER first selects possible LTR pairs. Then signals near the LTR borders - PBS &amp;amp; PPT. Then looks for the RT gene (as it is most widely shared) and then gathers all information to score the hit.\n\n        \nThe figures from the paper suggest a very clear, useful output. \nIt is also possible to make the server flag up hits that are in/near sequences of interest such as genes, tRNAs or centromeres. \n\n        \nOne issue is that the online file allowance is only 50MB. This means, for the chicken, that chromosomes 1-5 and Z could not be analysed. It would be dangerous to cut up the file in case you separated a potential element. You can also download the source code - link from web address above.", "page" : "W265-8", "title" : "LTR_FINDER: an efficient tool for the prediction of full-length LTR retrotransposons.", "type" : "article-journal", "volume" : "35" }, "uris" : [ "http://www.mendeley.com/documents/?uuid=4d458592-2ad8-477a-870d-e661913ab174" ] } ], "mendeley" : { "formattedCitation" : "(Xu &amp; Wang 2007)", "plainTextFormattedCitation" : "(Xu &amp; Wang 2007)", "previouslyFormattedCitation" : "(Xu &amp; Wang 2007)" }, "properties" : { "noteIndex" : 0 }, "schema" : "https://github.com/citation-style-language/schema/raw/master/csl-citation.json" }</w:instrText>
      </w:r>
      <w:r>
        <w:fldChar w:fldCharType="separate"/>
      </w:r>
      <w:r w:rsidRPr="00B160D6">
        <w:rPr>
          <w:noProof/>
        </w:rPr>
        <w:t>(Xu &amp; Wang 2007)</w:t>
      </w:r>
      <w:r>
        <w:fldChar w:fldCharType="end"/>
      </w:r>
      <w:r>
        <w:t xml:space="preserve">. These incorporated the use of suffix arrays for rapid seed extension, and the capability to manage multi-fasta files, span contig gaps and analyse the complementary strand; features lacking in LS which required additional accessory scripting. </w:t>
      </w:r>
    </w:p>
    <w:p w14:paraId="46D9E0CE" w14:textId="2D658A60" w:rsidR="00CF3C87" w:rsidRDefault="00B160D6" w:rsidP="00391005">
      <w:pPr>
        <w:pStyle w:val="ListParagraph"/>
      </w:pPr>
      <w:r>
        <w:t xml:space="preserve">LTR Harvest (LH) </w:t>
      </w:r>
      <w:r>
        <w:fldChar w:fldCharType="begin" w:fldLock="1"/>
      </w:r>
      <w:r w:rsidR="00825D1A">
        <w:instrText>ADDIN CSL_CITATION { "citationItems" : [ { "id" : "ITEM-1", "itemData" : { "DOI" : "10.1186/1471-2105-9-18", "ISSN" : "1471-2105", "PMID" : "18194517", "abstract" : "BACKGROUND: Transposable elements are abundant in eukaryotic genomes and it is believed that they have a significant impact on the evolution of gene and chromosome structure. While there are several completed eukaryotic genome projects, there are only few high quality genome wide annotations of transposable elements. Therefore, there is a considerable demand for computational identification of transposable elements. LTR retrotransposons, an important subclass of transposable elements, are well suited for computational identification, as they contain long terminal repeats (LTRs).\n\nRESULTS: We have developed a software tool LTRharvest for the de novo detection of full length LTR retrotransposons in large sequence sets. LTRharvest efficiently delivers high quality annotations based on known LTR transposon features like length, distance, and sequence motifs. A quality validation of LTRharvest against a gold standard annotation for Saccharomyces cerevisae and Drosophila melanogaster shows a sensitivity of up to 90% and 97% and specificity of 100% and 72%, respectively. This is comparable or slightly better than annotations for previous software tools. The main advantage of LTRharvest over previous tools is (a) its ability to efficiently handle large datasets from finished or unfinished genome projects, (b) its flexibility in incorporating known sequence features into the prediction, and (c) its availability as an open source software.\n\nCONCLUSION: LTRharvest is an efficient software tool delivering high quality annotation of LTR retrotransposons. It can, for example, process the largest human chromosome in approx. 8 minutes on a Linux PC with 4 GB of memory. Its flexibility and small space and run-time requirements makes LTRharvest a very competitive candidate for future LTR retrotransposon annotation projects. Moreover, the structured design and implementation and the availability as open source provides an excellent base for incorporating novel concepts to further improve prediction of LTR retrotransposons.", "author" : [ { "dropping-particle" : "", "family" : "Ellinghaus", "given" : "David", "non-dropping-particle" : "", "parse-names" : false, "suffix" : "" }, { "dropping-particle" : "", "family" : "Kurtz", "given" : "Stefan", "non-dropping-particle" : "", "parse-names" : false, "suffix" : "" }, { "dropping-particle" : "", "family" : "Willhoeft", "given" : "Ute", "non-dropping-particle" : "", "parse-names" : false, "suffix" : "" } ], "container-title" : "BMC bioinformatics", "id" : "ITEM-1", "issued" : { "date-parts" : [ [ "2008", "1" ] ] }, "note" : "Paper introduces LTR Harvest and then compares it to LTR_STRUC, LTR_par, LTR_Rho and LTR_FINDER.\n\n\nPart of Genome Tools download. \n\n\nPaper suggests that (up to 2008 at least) the best known program for Repeat searching was RepeatMasker - suggests that RepeatMasker annotation is slow for large vertebrate genomes. Repeatmasker uses known libraries of repeats - many TE families are known to be lineage specific - half of all human repeats arose after the mouse/human divergence. There are few up to date resources of repeats in non model organisms. Even models such as chicken lack a good repeat library. \n\n\nSoftware such as Vmatch, RECON, RAP &amp;amp; PILER were developed to look at all repeats. Generally found that this then creates lots of work classifying the types of repeats. As they are so different, it is better to create programs to search for certain repeat types. \n\n\nLTR retrotransposons have many described canonical features. Some are species specific such as conserved dinucleotide repeats found in yeast at the 5' and 3' end of elements.\n\n\nLTR_STRUC and LTR_par are similar, but par uses a faster algorithm. Harvest uses the same LTR model as par, but with a different composition of algorithms and features. \n\n\nHarvest models:\n- LTR length constraint\n- element distance constraint\n- LTR similarity constraint\n- target site duplications (TSDs)\n- LTR dinucleotide palindromic motifs\nThis again means that solo LTR sequences are not detected in the initial step. \n\n\nHarvest requires the genome tools program 'suffixerator' as part of its processing. This creates the 'suffix array' used for searching. This is the computationally time consuming part of the process. The actual search for hits takes minutes. This allows you to run multiple parameter sets quickly with one suffix array construction. Recommended that the default parameters should only be changed once the user has knowledge of species-specific features of LTR retrotransposons in the organism of study. \n\n\nEach level of the workflow in fig2 acts as a cut off. If you require a hit to have a TSD result for example, you can screen all those hits which do not have this. \n\n\nRecommend that after running this program you should do post-processing to confirm hits and eradicate false positives:\n- cluster reported predictions using Vmatch - positives will group, false positives will exist as singles\n- characterise domains\n- compare sequences to RepBase - least favourable option", "page" : "18", "title" : "LTRharvest, an efficient and flexible software for de novo detection of LTR retrotransposons.", "type" : "article-journal", "volume" : "9" }, "uris" : [ "http://www.mendeley.com/documents/?uuid=6b36a6e7-3016-4149-9760-619c00bc1e18" ] } ], "mendeley" : { "formattedCitation" : "(Ellinghaus et al. 2008)", "plainTextFormattedCitation" : "(Ellinghaus et al. 2008)", "previouslyFormattedCitation" : "(Ellinghaus et al. 2008)" }, "properties" : { "noteIndex" : 0 }, "schema" : "https://github.com/citation-style-language/schema/raw/master/csl-citation.json" }</w:instrText>
      </w:r>
      <w:r>
        <w:fldChar w:fldCharType="separate"/>
      </w:r>
      <w:r w:rsidRPr="00B160D6">
        <w:rPr>
          <w:noProof/>
        </w:rPr>
        <w:t>(Ellinghaus et al. 2008)</w:t>
      </w:r>
      <w:r>
        <w:fldChar w:fldCharType="end"/>
      </w:r>
      <w:r>
        <w:t xml:space="preserve"> advanced LTR retrotransposon annotation and largely replaced these latter two programs, using the search criteria of LTR_par but optimised for large genomes and memory efficiency. Additionally, users </w:t>
      </w:r>
      <w:r w:rsidR="00CE3E91">
        <w:t>can</w:t>
      </w:r>
      <w:r>
        <w:t xml:space="preserve"> specify a wide range of options to adapt the program’s sensitivity, and completing the multiple analyses is fast, as the suffix array is created once and then stored. This enables the full analysis of gigabase size genomes with multiple parameter setups in minutes, rather than </w:t>
      </w:r>
      <w:r>
        <w:lastRenderedPageBreak/>
        <w:t xml:space="preserve">hours or days, following one computationally expensive step. Superficially, the ease of performing multiple analyses may seem a bonus, but it is, in fact, a necessity. Slight parameter alterations have a dramatic effect on both the number of putative LTR retrotransposons identified and the observed false positive rate, the latter commonly reaching over 60 % </w:t>
      </w:r>
      <w:r>
        <w:fldChar w:fldCharType="begin" w:fldLock="1"/>
      </w:r>
      <w:r w:rsidR="008E0D51">
        <w:instrText>ADDIN CSL_CITATION { "citationItems" : [ { "id" : "ITEM-1", "itemData" : { "DOI" : "10.1038/hdy.2009.165", "ISSN" : "1365-2540", "PMID" : "19935826", "abstract" : "The production of genome sequences has led to another important advance in their annotation, which is closely linked to the exact determination of their content in terms of repeats, among which are transposable elements (TEs). The evolutionary implications and the presence of coding regions in some TEs can confuse gene annotation, and also hinder the process of genome assembly, making particularly crucial to be able to annotate and classify them correctly in genome sequences. This review is intended to provide an overview as comprehensive as possible of the automated methods currently used to annotate and classify TEs in sequenced genomes. Different categories of programs exist according to their methodology and the repeat, which they can identify. I describe here the main characteristics of the programs, their main goals and the difficulties they can entail. The drawbacks of the different methods are also highlighted to help biologists who are unfamiliar with algorithmic methods to understand this methodology better. Globally, using several different programs and carrying out a cross comparison of their results has the best chance of finding reliable results as any single program. However, this makes it essential to verify the results provided by each program independently. The ideal solution would be to test all programs against the same data set to obtain a true comparison of their actual performance.", "author" : [ { "dropping-particle" : "", "family" : "Lerat", "given" : "E", "non-dropping-particle" : "", "parse-names" : false, "suffix" : "" } ], "container-title" : "Heredity", "id" : "ITEM-1", "issue" : "6", "issued" : { "date-parts" : [ [ "2010", "6" ] ] }, "note" : "In depth review of the available resources.", "page" : "520-33", "publisher" : "Nature Publishing Group", "title" : "Identifying repeats and transposable elements in sequenced genomes: how to find your way through the dense forest of programs.", "type" : "article-journal", "volume" : "104" }, "uris" : [ "http://www.mendeley.com/documents/?uuid=1c20e63b-6ed5-46e4-8caa-af696641a770" ] } ], "mendeley" : { "formattedCitation" : "(Lerat 2010)", "plainTextFormattedCitation" : "(Lerat 2010)", "previouslyFormattedCitation" : "(Lerat 2010)" }, "properties" : { "noteIndex" : 0 }, "schema" : "https://github.com/citation-style-language/schema/raw/master/csl-citation.json" }</w:instrText>
      </w:r>
      <w:r>
        <w:fldChar w:fldCharType="separate"/>
      </w:r>
      <w:r w:rsidRPr="00B160D6">
        <w:rPr>
          <w:noProof/>
        </w:rPr>
        <w:t>(Lerat 2010)</w:t>
      </w:r>
      <w:r>
        <w:fldChar w:fldCharType="end"/>
      </w:r>
      <w:r>
        <w:t xml:space="preserve">, hence the ‘suggestion’ from the authors for ‘thorough’ putative element validation. Unlike all other available structure-based programs however, LH is actively curated and has associated validation software, LTR Digest (LD) </w:t>
      </w:r>
      <w:r>
        <w:fldChar w:fldCharType="begin" w:fldLock="1"/>
      </w:r>
      <w:r>
        <w:instrText>ADDIN CSL_CITATION { "citationItems" : [ { "id" : "ITEM-1", "itemData" : { "DOI" : "10.1093/nar/gkp759", "ISSN" : "1362-4962", "PMID" : "19786494", "abstract" : "Long terminal repeat (LTR) retrotransposons and endogenous retroviruses (ERVs) are transposable elements in eukaryotic genomes well suited for computational identification. De novo identification tools determine the position of potential LTR retrotransposon or ERV insertions in genomic sequences. For further analysis, it is desirable to obtain an annotation of the internal structure of such candidates. This article presents LTRdigest, a novel software tool for automated annotation of internal features of putative LTR retrotransposons. It uses local alignment and hidden Markov model-based algorithms to detect retrotransposon-associated protein domains as well as primer binding sites and polypurine tracts. As an example, we used LTRdigest results to identify 88 (near) full-length ERVs in the chromosome 4 sequence of Mus musculus, separating them from truncated insertions and other repeats. Furthermore, we propose a work flow for the use of LTRdigest in de novo LTR retrotransposon classification and perform an exemplary de novo analysis on the Drosophila melanogaster genome as a proof of concept. Using a new method solely based on the annotations generated by LTRdigest, 518 potential LTR retrotransposons were automatically assigned to 62 candidate groups. Representative sequences from 41 of these 62 groups were matched to reference sequences with &gt;80% global sequence similarity.", "author" : [ { "dropping-particle" : "", "family" : "Steinbiss", "given" : "Sascha", "non-dropping-particle" : "", "parse-names" : false, "suffix" : "" }, { "dropping-particle" : "", "family" : "Willhoeft", "given" : "Ute", "non-dropping-particle" : "", "parse-names" : false, "suffix" : "" }, { "dropping-particle" : "", "family" : "Gremme", "given" : "Gordon", "non-dropping-particle" : "", "parse-names" : false, "suffix" : "" }, { "dropping-particle" : "", "family" : "Kurtz", "given" : "Stefan", "non-dropping-particle" : "", "parse-names" : false, "suffix" : "" } ], "container-title" : "Nucleic acids research", "id" : "ITEM-1", "issue" : "21", "issued" : { "date-parts" : [ [ "2009", "11" ] ] }, "note" : "Invertebrates ERVs are commonly used synonymously with LTR retrotransposons.\n\n        \nHomology based methods (such as RepeatMasker) work best on genomes in which repeats have already been identified - as sequences of a large number of TE families are species specific. \n\n        \nTypical de novo tools rely on the repetitive structure of LTRs. But there are other domains which can be used:\n- polyproteins from gag/pol/env\n- PPT (polypurine tract) directly upstream from the inner 3&amp;#039; LTR boundary, about 8-22bp, purine rich (A/G) - sometimes associated with a U-box (uracil rich)\n- PBS (primer binding site) near the inner 5&amp;#039; LTR boundary\n\n        \nFinding PBS and PPT is implemented in the LTR_FINDER and RetroTector programs\n\n        \nLTRDigest presented as a way to detect and annotate internal features of LTR retrotransposon candidates. This can be used to help discriminate between full length elements and truncated ones with internal insertions. \n\n        \nSuggest that identification of these larger, more complete elements can then be used to help create libraries of solo LTRs etc. \n\n        \n\n        \nPBS Detection:\nDone by detecting regions complentary to host tRNA. Search area can be restricted as it is expected that it will fall nearby to the inner 5&amp;#039; LTR boundary. Use only high scoring alignments (using conservative alignment scores - user definable) done using the Smith-Waterman algorithm. Extra constraints such as minimum length and maximum allowed offsets are also used. \n\n        \nPPT Detection:\nDescribed by base composition of both the PPT and U-box, as well as their length and position near the 3&amp;#039; LTR inner boundary. Use a HMM to identify regions with a purine-rich base composition. Program reports both the PPT domain and the U-box region (if present).\n\n        \nProtein domain detection:\nuse of pHMMs.\nConsider the protein domains as the strongest evidence orientating the candidate. So the candidate domain with the smallest E value is used to dictate the orientation of the whole candidate.. Then PBS, then PPT.", "page" : "7002-13", "title" : "Fine-grained annotation and classification of de novo predicted LTR retrotransposons.", "type" : "article-journal", "volume" : "37" }, "uris" : [ "http://www.mendeley.com/documents/?uuid=f716d131-e207-490e-b38c-623fa51667c6" ] } ], "mendeley" : { "formattedCitation" : "(Steinbiss et al. 2009)", "plainTextFormattedCitation" : "(Steinbiss et al. 2009)", "previouslyFormattedCitation" : "(Steinbiss et al. 2009)" }, "properties" : { "noteIndex" : 0 }, "schema" : "https://github.com/citation-style-language/schema/raw/master/csl-citation.json" }</w:instrText>
      </w:r>
      <w:r>
        <w:fldChar w:fldCharType="separate"/>
      </w:r>
      <w:r w:rsidRPr="00B160D6">
        <w:rPr>
          <w:noProof/>
        </w:rPr>
        <w:t>(Steinbiss et al. 2009)</w:t>
      </w:r>
      <w:r>
        <w:fldChar w:fldCharType="end"/>
      </w:r>
      <w:r>
        <w:t xml:space="preserve">, which uses built-in and user-specified profile Hidden Markov Models (pHMMs) for the PPT and retroviral-like domains, and species-specific tRNA pHMMs to identify and categorise the PBS. Additionally, the identification (LH) and validation (LD) steps can be integrated into one analysis using the LTRsift pipeline </w:t>
      </w:r>
      <w:r>
        <w:fldChar w:fldCharType="begin" w:fldLock="1"/>
      </w:r>
      <w:r w:rsidR="00637F43">
        <w:instrText>ADDIN CSL_CITATION { "citationItems" : [ { "id" : "ITEM-1", "itemData" : { "DOI" : "10.1186/1759-8753-3-18", "ISSN" : "1759-8753", "PMID" : "23131050", "abstract" : "UNLABELLED: \n\nBACKGROUND: Long terminal repeat (LTR) retrotransposons are a class of eukaryotic mobile elements characterized by a distinctive sequence similarity-based structure. Hence they are well suited for computational identification. Current software allows for a comprehensive genome-wide de novo detection of such elements. The obvious next step is the classification of newly detected candidates resulting in (super-)families. Such a de novo classification approach based on sequence-based clustering of transposon features has been proposed before, resulting in a preliminary assignment of candidates to families as a basis for subsequent manual refinement. However, such a classification workflow is typically split across a heterogeneous set of glue scripts and generic software (for example, spreadsheets), making it tedious for a human expert to inspect, curate and export the putative families produced by the workflow.\n\nRESULTS: We have developed LTRsift, an interactive graphical software tool for semi-automatic postprocessing of de novo predicted LTR retrotransposon annotations. Its user-friendly interface offers customizable filtering and classification functionality, displaying the putative candidate groups, their members and their internal structure in a hierarchical fashion. To ease manual work, it also supports graphical user interface-driven reassignment, splitting and further annotation of candidates. Export of grouped candidate sets in standard formats is possible. In two case studies, we demonstrate how LTRsift can be employed in the context of a genome-wide LTR retrotransposon survey effort.\n\nCONCLUSIONS: LTRsift is a useful and convenient tool for semi-automated classification of newly detected LTR retrotransposons based on their internal features. Its efficient implementation allows for convenient and seamless filtering and classification in an integrated environment. Developed for life scientists, it is helpful in postprocessing and refining the output of software for predicting LTR retrotransposons up to the stage of preparing full-length reference sequence libraries. The LTRsift software is freely available at http://www.zbh.uni-hamburg.de/LTRsift under an open-source license.", "author" : [ { "dropping-particle" : "", "family" : "Steinbiss", "given" : "Sascha", "non-dropping-particle" : "", "parse-names" : false, "suffix" : "" }, { "dropping-particle" : "", "family" : "Kastens", "given" : "Sascha", "non-dropping-particle" : "", "parse-names" : false, "suffix" : "" }, { "dropping-particle" : "", "family" : "Kurtz", "given" : "Stefan", "non-dropping-particle" : "", "parse-names" : false, "suffix" : "" } ], "container-title" : "Mobile DNA", "id" : "ITEM-1", "issue" : "1", "issued" : { "date-parts" : [ [ "2012", "1" ] ] }, "note" : "Intended that LTRsift processes the results of LTRdigest.\nPut all results through LTRdigest to get everything together in one place in LTRsift.\nThis would allow the creation of reference libraries that would be used in the searches in the other avian genomes.", "page" : "18", "title" : "LTRsift: a graphical user interface for semi-automatic classification and postprocessing of de novo detected LTR retrotransposons.", "type" : "article-journal", "volume" : "3" }, "uris" : [ "http://www.mendeley.com/documents/?uuid=25f775a7-eff8-4838-861e-cd9e469a918f" ] } ], "mendeley" : { "formattedCitation" : "(Steinbiss et al. 2012)", "plainTextFormattedCitation" : "(Steinbiss et al. 2012)", "previouslyFormattedCitation" : "(Steinbiss et al. 2012)" }, "properties" : { "noteIndex" : 0 }, "schema" : "https://github.com/citation-style-language/schema/raw/master/csl-citation.json" }</w:instrText>
      </w:r>
      <w:r>
        <w:fldChar w:fldCharType="separate"/>
      </w:r>
      <w:r w:rsidRPr="00B160D6">
        <w:rPr>
          <w:noProof/>
        </w:rPr>
        <w:t>(Steinbiss et al. 2012)</w:t>
      </w:r>
      <w:r>
        <w:fldChar w:fldCharType="end"/>
      </w:r>
      <w:r>
        <w:t>. However, val</w:t>
      </w:r>
      <w:r w:rsidR="00533AF7">
        <w:t>idation is convoluted, requiring</w:t>
      </w:r>
      <w:r>
        <w:t xml:space="preserve"> installation of multiple accesso</w:t>
      </w:r>
      <w:r w:rsidR="00CE3E91">
        <w:t>ry programs, and remains</w:t>
      </w:r>
      <w:r>
        <w:t xml:space="preserve"> highly subjective, based on arbitrary thresholds and the selection of ‘appropriate’ pHMMs. The latter is of </w:t>
      </w:r>
      <w:r w:rsidR="00D01C2C">
        <w:t>great importance</w:t>
      </w:r>
      <w:r>
        <w:t>, as bias towards known sequence should be avoided. Ill-considered v</w:t>
      </w:r>
      <w:r w:rsidR="00533AF7">
        <w:t>alidation will likely</w:t>
      </w:r>
      <w:r>
        <w:t xml:space="preserve"> increase the false negative rate without marked reduction of the false positive rate.</w:t>
      </w:r>
    </w:p>
    <w:p w14:paraId="044CB545" w14:textId="41CF8F67" w:rsidR="008E0D51" w:rsidRDefault="00637F43" w:rsidP="00391005">
      <w:pPr>
        <w:pStyle w:val="ListParagraph"/>
      </w:pPr>
      <w:r>
        <w:t xml:space="preserve">Besides this related family of programs, two others are commonly used. MGEScan_LTR (MGS; initially named LTR_Rho) </w:t>
      </w:r>
      <w:r>
        <w:fldChar w:fldCharType="begin" w:fldLock="1"/>
      </w:r>
      <w:r>
        <w:instrText>ADDIN CSL_CITATION { "citationItems" : [ { "id" : "ITEM-1", "itemData" : { "DOI" : "10.1186/1471-2164-8-90", "ISBN" : "1471216489", "ISSN" : "1471-2164", "PMID" : "17407597", "abstract" : "BACKGROUND: LTR retrotransposons are a class of mobile genetic elements containing two similar long terminal repeats (LTRs). Currently, LTR retrotransposons are annotated in eukaryotic genomes mainly through the conventional homology searching approach. Hence, it is limited to annotating known elements.\n\nRESULTS: In this paper, we report a de novo computational method that can identify new LTR retrotransposons without relying on a library of known elements. Specifically, our method identifies intact LTR retrotransposons by using an approximate string matching technique and protein domain analysis. In addition, it identifies partially deleted or solo LTRs using profile Hidden Markov Models (pHMMs). As a result, this method can de novo identify all types of LTR retrotransposons. We tested this method on the two pairs of eukaryotic genomes, C. elegans vs. C. briggsae and D. melanogaster vs. D. pseudoobscura. LTR retrotransposons in C. elegans and D. melanogaster have been intensively studied using conventional annotation methods. Comparing with previous work, we identified new intact LTR retroelements and new putative families, which may imply that there may still be new retroelements that are left to be discovered even in well-studied organisms. To assess the sensitivity and accuracy of our method, we compared our results with a previously published method, LTR_STRUC, which predominantly identifies full-length LTR retrotransposons. In summary, both methods identified comparable number of intact LTR retroelements. But our method can identify nearly all known elements in C. elegans, while LTR_STRUCT missed about 1/3 of them. Our method also identified more known LTR retroelements than LTR_STRUCT in the D. melanogaster genome. We also identified some LTR retroelements in the other two genomes, C. briggsae and D. pseudoobscura, which have not been completely finished. In contrast, the conventional method failed to identify those elements. Finally, the phylogenetic and chromosomal distributions of the identified elements are discussed.\n\nCONCLUSION: We report a novel method for de novo identification of LTR retrotransposons in eukaryotic genomes with favorable performance over the existing methods.", "author" : [ { "dropping-particle" : "", "family" : "Rho", "given" : "Mina", "non-dropping-particle" : "", "parse-names" : false, "suffix" : "" }, { "dropping-particle" : "", "family" : "Choi", "given" : "Jeong-Hyeon", "non-dropping-particle" : "", "parse-names" : false, "suffix" : "" }, { "dropping-particle" : "", "family" : "Kim", "given" : "Sun", "non-dropping-particle" : "", "parse-names" : false, "suffix" : "" }, { "dropping-particle" : "", "family" : "Lynch", "given" : "Michael", "non-dropping-particle" : "", "parse-names" : false, "suffix" : "" }, { "dropping-particle" : "", "family" : "Tang", "given" : "Haixu", "non-dropping-particle" : "", "parse-names" : false, "suffix" : "" } ], "container-title" : "BMC genomics", "id" : "ITEM-1", "issued" : { "date-parts" : [ [ "2007", "1" ] ] }, "note" : "Software developed - eventually called MGEScan_LTR\nIdentifies both intact elements using string matching and protein domain analysis. AND identifies truncated elements or solo LTRs using profile Hidden Markov Models (pHMMs). \nCompared to LTR_STRUC this program identifies 50% more elements and recognised more known elements than LTR_STRUC did. \n\n        \nStages:\n1) identify young and intact elements with LTR pair homology &amp;gt;80% - using distance models and protein domains to provide good element predictions\n2) search for solo LTRs using a BAG clustered sequence set of the LTRs found in stage 1 and using whole sequence pHMMs from the LTR clusters to search for matching LTRs\n3) identify old elements with lower LTR pair identity using a phylogenetic analysis\n\n        \nAlthough the authors stress how much better this model is than LTR_STRUC, Venn diagrams of which models find what hits show that LTR_STRUC, while recognising fewer hits, finds a very different subset of hits, not all of which overlap with this analysis - again, necessity for using multiple analyses.", "page" : "90", "title" : "De novo identification of LTR retrotransposons in eukaryotic genomes.", "type" : "article-journal", "volume" : "8" }, "uris" : [ "http://www.mendeley.com/documents/?uuid=b04b9174-8ccb-4f72-9017-ebbdcd5a46e0" ] } ], "mendeley" : { "formattedCitation" : "(Rho et al. 2007)", "plainTextFormattedCitation" : "(Rho et al. 2007)", "previouslyFormattedCitation" : "(Rho et al. 2007)" }, "properties" : { "noteIndex" : 0 }, "schema" : "https://github.com/citation-style-language/schema/raw/master/csl-citation.json" }</w:instrText>
      </w:r>
      <w:r>
        <w:fldChar w:fldCharType="separate"/>
      </w:r>
      <w:r w:rsidRPr="00637F43">
        <w:rPr>
          <w:noProof/>
        </w:rPr>
        <w:t>(Rho et al. 2007)</w:t>
      </w:r>
      <w:r>
        <w:fldChar w:fldCharType="end"/>
      </w:r>
      <w:r>
        <w:t xml:space="preserve"> was developed to remove all sequence bias in LTR models and instead focus on motif structure, requiring ‘maximal exact matches’ (blocks of exact identity) of at least 40 bp between putative LTRs before extending the sequence alignment. This often limits LTR pair homology to 80 %, but all identified LTRs are clustered and pHMMs constructed for subsequent detection of related, but more divergent LTRs. The authors accept the potential for elevated false positive rates, but also identified that MGS detects a very different subset of LTR retrotransposons when compared </w:t>
      </w:r>
      <w:r w:rsidR="007919AB">
        <w:t>with</w:t>
      </w:r>
      <w:r>
        <w:t xml:space="preserve"> LS or LTR_par; a result also seen when later compared to LH </w:t>
      </w:r>
      <w:r>
        <w:fldChar w:fldCharType="begin" w:fldLock="1"/>
      </w:r>
      <w:r w:rsidR="008E0D51">
        <w:instrText>ADDIN CSL_CITATION { "citationItems" : [ { "id" : "ITEM-1", "itemData" : { "DOI" : "10.1038/hdy.2009.165", "ISSN" : "1365-2540", "PMID" : "19935826", "abstract" : "The production of genome sequences has led to another important advance in their annotation, which is closely linked to the exact determination of their content in terms of repeats, among which are transposable elements (TEs). The evolutionary implications and the presence of coding regions in some TEs can confuse gene annotation, and also hinder the process of genome assembly, making particularly crucial to be able to annotate and classify them correctly in genome sequences. This review is intended to provide an overview as comprehensive as possible of the automated methods currently used to annotate and classify TEs in sequenced genomes. Different categories of programs exist according to their methodology and the repeat, which they can identify. I describe here the main characteristics of the programs, their main goals and the difficulties they can entail. The drawbacks of the different methods are also highlighted to help biologists who are unfamiliar with algorithmic methods to understand this methodology better. Globally, using several different programs and carrying out a cross comparison of their results has the best chance of finding reliable results as any single program. However, this makes it essential to verify the results provided by each program independently. The ideal solution would be to test all programs against the same data set to obtain a true comparison of their actual performance.", "author" : [ { "dropping-particle" : "", "family" : "Lerat", "given" : "E", "non-dropping-particle" : "", "parse-names" : false, "suffix" : "" } ], "container-title" : "Heredity", "id" : "ITEM-1", "issue" : "6", "issued" : { "date-parts" : [ [ "2010", "6" ] ] }, "note" : "In depth review of the available resources.", "page" : "520-33", "publisher" : "Nature Publishing Group", "title" : "Identifying repeats and transposable elements in sequenced genomes: how to find your way through the dense forest of programs.", "type" : "article-journal", "volume" : "104" }, "uris" : [ "http://www.mendeley.com/documents/?uuid=1c20e63b-6ed5-46e4-8caa-af696641a770" ] } ], "mendeley" : { "formattedCitation" : "(Lerat 2010)", "plainTextFormattedCitation" : "(Lerat 2010)", "previouslyFormattedCitation" : "(Lerat 2010)" }, "properties" : { "noteIndex" : 0 }, "schema" : "https://github.com/citation-style-language/schema/raw/master/csl-citation.json" }</w:instrText>
      </w:r>
      <w:r>
        <w:fldChar w:fldCharType="separate"/>
      </w:r>
      <w:r w:rsidRPr="00637F43">
        <w:rPr>
          <w:noProof/>
        </w:rPr>
        <w:t>(Lerat 2010)</w:t>
      </w:r>
      <w:r>
        <w:fldChar w:fldCharType="end"/>
      </w:r>
      <w:r>
        <w:t>.</w:t>
      </w:r>
      <w:r w:rsidR="008E0D51">
        <w:t xml:space="preserve"> </w:t>
      </w:r>
    </w:p>
    <w:p w14:paraId="74719DBD" w14:textId="5D85C54C" w:rsidR="00B160D6" w:rsidRDefault="008E0D51" w:rsidP="00391005">
      <w:pPr>
        <w:pStyle w:val="ListParagraph"/>
      </w:pPr>
      <w:r>
        <w:t>Another, different identification approach is that of RetroTector (R</w:t>
      </w:r>
      <w:r w:rsidR="003A3EAD">
        <w:t>e</w:t>
      </w:r>
      <w:r>
        <w:t>T</w:t>
      </w:r>
      <w:r w:rsidR="003A3EAD">
        <w:t>e</w:t>
      </w:r>
      <w:r>
        <w:t xml:space="preserve">) </w:t>
      </w:r>
      <w:r>
        <w:fldChar w:fldCharType="begin" w:fldLock="1"/>
      </w:r>
      <w:r>
        <w:instrText>ADDIN CSL_CITATION { "citationItems" : [ { "id" : "ITEM-1", "itemData" : { "DOI" : "10.1093/nar/gkm515", "ISSN" : "1362-4962", "PMID" : "17636050", "abstract" : "Eukaryotic genomes contain many endogenous retroviral sequences (ERVs). ERVs are often severely mutated, therefore difficult to detect. A platform independent (Java) program package, RetroTector (ReTe), was constructed. It has three basic modules: (i) detection of candidate long terminal repeats (LTRs), (ii) detection of chains of conserved retroviral motifs fulfilling distance constraints and (iii) attempted reconstruction of original retroviral protein sequences, combining alignment, codon statistics and properties of protein ends. Other features are prediction of additional open reading frames, automated database collection, graphical presentation and automatic classification. ReTe favors elements &gt;1000-bp long due to its dependence on order of and distances between retroviral fragments. It detects single or low-copy-number elements. ReTe assigned a 'retroviral' score of 890-2827 to 10 exogenous retroviruses from seven genera, and accurately predicted their genes. In a simulated model, ReTe was robust against mutational decay. The human genome was analyzed in 1-2 days on a LINUX cluster. Retroviral sequences were detected in divergent vertebrate genomes. Most ReTe detected chains were coincident with Repeatmasker output and the HERVd database. ReTe did not report most of the evolutionary old HERV-L related and MalR sequences, and is not yet tailored for single LTR detection. Nevertheless, ReTe rationally detects and annotates many retroviral sequences.", "author" : [ { "dropping-particle" : "", "family" : "Sperber", "given" : "G\u00f6ran O", "non-dropping-particle" : "", "parse-names" : false, "suffix" : "" }, { "dropping-particle" : "", "family" : "Airola", "given" : "Tove", "non-dropping-particle" : "", "parse-names" : false, "suffix" : "" }, { "dropping-particle" : "", "family" : "Jern", "given" : "Patric", "non-dropping-particle" : "", "parse-names" : false, "suffix" : "" }, { "dropping-particle" : "", "family" : "Blomberg", "given" : "Jonas", "non-dropping-particle" : "", "parse-names" : false, "suffix" : "" } ], "container-title" : "Nucleic acids research", "id" : "ITEM-1", "issue" : "15", "issued" : { "date-parts" : [ [ "2007", "1" ] ] }, "note" : "extensively annotated on doc 4 in the planning and brainstorming folder.", "page" : "4964-76", "title" : "Automated recognition of retroviral sequences in genomic data--RetroTector.", "type" : "article-journal", "volume" : "35" }, "uris" : [ "http://www.mendeley.com/documents/?uuid=5a105799-8f88-42b6-889a-c9977f1ab6de" ] } ], "mendeley" : { "formattedCitation" : "(Sperber et al. 2007)", "plainTextFormattedCitation" : "(Sperber et al. 2007)", "previouslyFormattedCitation" : "(Sperber et al. 2007)" }, "properties" : { "noteIndex" : 0 }, "schema" : "https://github.com/citation-style-language/schema/raw/master/csl-citation.json" }</w:instrText>
      </w:r>
      <w:r>
        <w:fldChar w:fldCharType="separate"/>
      </w:r>
      <w:r w:rsidRPr="008E0D51">
        <w:rPr>
          <w:noProof/>
        </w:rPr>
        <w:t>(Sperber et al. 2007)</w:t>
      </w:r>
      <w:r>
        <w:fldChar w:fldCharType="end"/>
      </w:r>
      <w:r>
        <w:t xml:space="preserve"> which links retroviral-like motifs through ‘fragment threading’. Whilst powerful, it is perhaps the most limited by existing sequence, as LTR searching depends on trained pHMMs and motif recognition is based on a series of sequence libraries. Initially designed for primate ERVs, the application of R</w:t>
      </w:r>
      <w:r w:rsidR="003A3EAD">
        <w:t>e</w:t>
      </w:r>
      <w:r>
        <w:t>T</w:t>
      </w:r>
      <w:r w:rsidR="003A3EAD">
        <w:t>e</w:t>
      </w:r>
      <w:r>
        <w:t xml:space="preserve"> has diversified to other animal species </w:t>
      </w:r>
      <w:r>
        <w:fldChar w:fldCharType="begin" w:fldLock="1"/>
      </w:r>
      <w:r>
        <w:instrText>ADDIN CSL_CITATION { "citationItems" : [ { "id" : "ITEM-1", "itemData" : { "DOI" : "10.1128/JVI.00106-10", "ISSN" : "1098-5514", "PMID" : "20686017", "abstract" : "Endogenous retroviruses (ERVs) are the proviral phase of exogenous retroviruses that become integrated into a host germ line. They can play an important role in the host genome. Bioinformatic tools have been used to detect ERVs in several vertebrates, primarily primates and rodents. Less information is available regarding ERVs in other mammalian groups, and the source of this information is basically experimental. We analyzed the genome of the cow (Bos taurus) using three different methods. A BLAST-based method detected 928 possible ERVs, LTR_STRUC detected 4,487 elements flanked by long terminal repeats (LTRs), and Retrotector detected 9,698 ERVs. The ERVs were not homogeneously distributed across chromosomes; the number of ERVs was positively correlated with chromosomal size and negatively correlated with chromosomal GC content. The bovine ERVs (BoERVs) were classified into 24 putative families, with 20 of them not previously described. One of these new families, BoERV1, was the most abundant family and appeared to be specific to ruminants. An analysis of representatives of ERV families from rodents, primates, and ruminants showed a phylogenetic relationship following their hosts' relationships. This study demonstrates the importance of using multiple methods when trying to identify new ERVs and shows that the number of bovine ERV families is not as limited as previously thought.", "author" : [ { "dropping-particle" : "", "family" : "Garcia-Etxebarria", "given" : "Koldo", "non-dropping-particle" : "", "parse-names" : false, "suffix" : "" }, { "dropping-particle" : "", "family" : "Jugo", "given" : "Bego\u00f1a Marina", "non-dropping-particle" : "", "parse-names" : false, "suffix" : "" } ], "container-title" : "Journal of virology", "id" : "ITEM-1", "issue" : "20", "issued" : { "date-parts" : [ [ "2010", "10" ] ] }, "note" : "Read", "page" : "10852-62", "title" : "Genome-wide detection and characterization of endogenous retroviruses in Bos taurus.", "type" : "article-journal", "volume" : "84" }, "uris" : [ "http://www.mendeley.com/documents/?uuid=b20b8539-fc3d-4217-9923-c7273609fb38" ] }, { "id" : "ITEM-2", "itemData" : { "DOI" : "10.1016/j.virol.2012.08.047", "ISSN" : "1096-0341", "PMID" : "23026066", "abstract" : "Endogenous retroviruses (ERVs) are proviral phases of exogenous retroviruses that have become incorporated into the host genome. Little is known about ERVs in the horse genome. By combining 3 bioinformatic approaches, we detected 1947 putative ERVs in the horse genome. These equine ERVs are not scattered randomly across the genome and are especially abundant in the X chromosome. Based on phylogenetic relationships, some of these equine ERVs were classified into 15 previously uncharacterized families of Classes I, II and III. Compared with the cow and other species, the horse genome appears to container fewer ERVs. Although this could be due to limitations of the detection process, it could also stem from characteristics of the horse genome or the effect of the domestication process.", "author" : [ { "dropping-particle" : "", "family" : "Garcia-Etxebarria", "given" : "Koldo", "non-dropping-particle" : "", "parse-names" : false, "suffix" : "" }, { "dropping-particle" : "", "family" : "Jugo", "given" : "Bego\u00f1a M", "non-dropping-particle" : "", "parse-names" : false, "suffix" : "" } ], "container-title" : "Virology", "id" : "ITEM-2", "issued" : { "date-parts" : [ [ "2012", "12", "5" ] ] }, "note" : "Great paper with lots of details about methods and proposals as to why there may be a 'deficit' of ERVs in the horse compared to the cow.\nGood read.", "page" : "59-67", "title" : "Detection and characterization of endogenous retroviruses in the horse genome by in silico analysis.", "type" : "article-journal", "volume" : "434" }, "uris" : [ "http://www.mendeley.com/documents/?uuid=bdcb91f5-00e8-4969-865f-e30ea1609537" ] } ], "mendeley" : { "formattedCitation" : "(Garcia-Etxebarria &amp; Jugo 2010; Garcia-Etxebarria &amp; Jugo 2012)", "plainTextFormattedCitation" : "(Garcia-Etxebarria &amp; Jugo 2010; Garcia-Etxebarria &amp; Jugo 2012)", "previouslyFormattedCitation" : "(Garcia-Etxebarria &amp; Jugo 2010; Garcia-Etxebarria &amp; Jugo 2012)" }, "properties" : { "noteIndex" : 0 }, "schema" : "https://github.com/citation-style-language/schema/raw/master/csl-citation.json" }</w:instrText>
      </w:r>
      <w:r>
        <w:fldChar w:fldCharType="separate"/>
      </w:r>
      <w:r w:rsidRPr="008E0D51">
        <w:rPr>
          <w:noProof/>
        </w:rPr>
        <w:t>(Garcia-Etxebarria &amp; Jugo 2010; Garcia-Etxebarria &amp; Jugo 2012)</w:t>
      </w:r>
      <w:r>
        <w:fldChar w:fldCharType="end"/>
      </w:r>
      <w:r>
        <w:t xml:space="preserve">, including </w:t>
      </w:r>
      <w:r>
        <w:lastRenderedPageBreak/>
        <w:t xml:space="preserve">chicken </w:t>
      </w:r>
      <w:r>
        <w:fldChar w:fldCharType="begin" w:fldLock="1"/>
      </w:r>
      <w:r>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fldChar w:fldCharType="separate"/>
      </w:r>
      <w:r w:rsidRPr="008E0D51">
        <w:rPr>
          <w:noProof/>
        </w:rPr>
        <w:t>(Bolisetty et al. 2012)</w:t>
      </w:r>
      <w:r>
        <w:fldChar w:fldCharType="end"/>
      </w:r>
      <w:r>
        <w:t>, but the reliance on motif libraries is evident: identification is biased towards young, structurally complete ERVs, rather than from any LTR retrotransposon clade. Perhaps because of this, R</w:t>
      </w:r>
      <w:r w:rsidR="003A3EAD">
        <w:t>e</w:t>
      </w:r>
      <w:r>
        <w:t>T</w:t>
      </w:r>
      <w:r w:rsidR="003A3EAD">
        <w:t>e</w:t>
      </w:r>
      <w:r>
        <w:t xml:space="preserve"> has a relatively low false positive rate, at least in mammalian studies </w:t>
      </w:r>
      <w:r>
        <w:fldChar w:fldCharType="begin" w:fldLock="1"/>
      </w:r>
      <w:r w:rsidR="009A34B9">
        <w:instrText>ADDIN CSL_CITATION { "citationItems" : [ { "id" : "ITEM-1", "itemData" : { "DOI" : "10.1038/hdy.2009.165", "ISSN" : "1365-2540", "PMID" : "19935826", "abstract" : "The production of genome sequences has led to another important advance in their annotation, which is closely linked to the exact determination of their content in terms of repeats, among which are transposable elements (TEs). The evolutionary implications and the presence of coding regions in some TEs can confuse gene annotation, and also hinder the process of genome assembly, making particularly crucial to be able to annotate and classify them correctly in genome sequences. This review is intended to provide an overview as comprehensive as possible of the automated methods currently used to annotate and classify TEs in sequenced genomes. Different categories of programs exist according to their methodology and the repeat, which they can identify. I describe here the main characteristics of the programs, their main goals and the difficulties they can entail. The drawbacks of the different methods are also highlighted to help biologists who are unfamiliar with algorithmic methods to understand this methodology better. Globally, using several different programs and carrying out a cross comparison of their results has the best chance of finding reliable results as any single program. However, this makes it essential to verify the results provided by each program independently. The ideal solution would be to test all programs against the same data set to obtain a true comparison of their actual performance.", "author" : [ { "dropping-particle" : "", "family" : "Lerat", "given" : "E", "non-dropping-particle" : "", "parse-names" : false, "suffix" : "" } ], "container-title" : "Heredity", "id" : "ITEM-1", "issue" : "6", "issued" : { "date-parts" : [ [ "2010", "6" ] ] }, "note" : "In depth review of the available resources.", "page" : "520-33", "publisher" : "Nature Publishing Group", "title" : "Identifying repeats and transposable elements in sequenced genomes: how to find your way through the dense forest of programs.", "type" : "article-journal", "volume" : "104" }, "uris" : [ "http://www.mendeley.com/documents/?uuid=1c20e63b-6ed5-46e4-8caa-af696641a770" ] }, { "id" : "ITEM-2", "itemData" : { "author" : [ { "dropping-particle" : "", "family" : "Garcia-Etxebarria", "given" : "K", "non-dropping-particle" : "", "parse-names" : false, "suffix" : "" }, { "dropping-particle" : "", "family" : "Sistiaga-Poveda", "given" : "M", "non-dropping-particle" : "", "parse-names" : false, "suffix" : "" }, { "dropping-particle" : "", "family" : "Jugo", "given" : "BM", "non-dropping-particle" : "", "parse-names" : false, "suffix" : "" } ], "container-title" : "Current Genomics", "id" : "ITEM-2", "issued" : { "date-parts" : [ [ "2014" ] ] }, "note" : "Recent in silico developments and genomic availability means that more domestic animals have been studied. \n\n\nOverview of work done in identification of these elements in domestic species. Chicken part reviews initial ID from the reference genome of ALVEs, EAVs and HERV-I related. Also mentions ID of ChiRV1 and OVEX1. Mentions the LTR_STRUC analysis and the ReTe analysis and their results.\n\n\nMentions expression data. Only looks at Ovex1, ChiRV1 and subsequent analysis done on ReTe identified elements. \n\n\nSuggests some future directions for challenges/avenues of work etc.", "page" : "256-265", "title" : "Endogenous Retroviruses in Domestic Animals", "type" : "article-journal", "volume" : "15" }, "uris" : [ "http://www.mendeley.com/documents/?uuid=5895243e-22ea-44ab-8bda-c82a33206101" ] } ], "mendeley" : { "formattedCitation" : "(Lerat 2010; Garcia-Etxebarria et al. 2014)", "plainTextFormattedCitation" : "(Lerat 2010; Garcia-Etxebarria et al. 2014)", "previouslyFormattedCitation" : "(Lerat 2010; Garcia-Etxebarria et al. 2014)" }, "properties" : { "noteIndex" : 0 }, "schema" : "https://github.com/citation-style-language/schema/raw/master/csl-citation.json" }</w:instrText>
      </w:r>
      <w:r>
        <w:fldChar w:fldCharType="separate"/>
      </w:r>
      <w:r w:rsidRPr="008E0D51">
        <w:rPr>
          <w:noProof/>
        </w:rPr>
        <w:t>(Lerat 2010; Garcia-Etxebarria et al. 2014)</w:t>
      </w:r>
      <w:r>
        <w:fldChar w:fldCharType="end"/>
      </w:r>
      <w:r w:rsidR="009A34B9">
        <w:t>, aided by</w:t>
      </w:r>
      <w:r>
        <w:t xml:space="preserve"> ‘brooms’ to mask (‘sweep’) LINEs and SINEs before the identification of putative LTRs. LTR searches favour speed over sensitivity, rapidly narrowing the sea</w:t>
      </w:r>
      <w:r w:rsidR="0072394E">
        <w:t>r</w:t>
      </w:r>
      <w:r>
        <w:t>ch space for later computationally-intensive annotation of inner motifs. R</w:t>
      </w:r>
      <w:r w:rsidR="003A3EAD">
        <w:t>e</w:t>
      </w:r>
      <w:r>
        <w:t>T</w:t>
      </w:r>
      <w:r w:rsidR="003A3EAD">
        <w:t>e</w:t>
      </w:r>
      <w:r>
        <w:t xml:space="preserve"> also identifies a markedly different element subset compared to MGS and the LS/LH family of programs. </w:t>
      </w:r>
    </w:p>
    <w:p w14:paraId="1C703E9F" w14:textId="6EBEB5CE" w:rsidR="00B160D6" w:rsidRDefault="009A34B9" w:rsidP="00391005">
      <w:pPr>
        <w:pStyle w:val="ListParagraph"/>
      </w:pPr>
      <w:r>
        <w:t xml:space="preserve">Whilst these programs differ in the order and importance of the validating domains, and their computational complexity, they all share the initial requirement for candidate LTR pair identification. Truncated or solo LTR elements will not be detected by these methods and neither will LTR retrotransposons which lack the archetypal structure, such as DIRS elements for which a specific, homology-based approach has been developed (ReDoSt; Piednoël et al. 2011). Efforts to develop novel structure-based methods have not been hugely successful. Benachenhou and colleagues </w:t>
      </w:r>
      <w:r>
        <w:fldChar w:fldCharType="begin" w:fldLock="1"/>
      </w:r>
      <w:r>
        <w:instrText>ADDIN CSL_CITATION { "citationItems" : [ { "id" : "ITEM-1", "itemData" : { "DOI" : "10.1371/journal.pone.0005179", "ISSN" : "1932-6203", "PMID" : "19365549", "abstract" : "BACKGROUND: Retroviral LTRs, paired or single, influence the transcription of both retroviral and non-retroviral genomic sequences. Vertebrate genomes contain many thousand endogenous retroviruses (ERVs) and their LTRs. Single LTRs are difficult to detect from genomic sequences without recourse to repetitiveness or presence in a proviral structure. Understanding of LTR structure increases understanding of LTR function, and of functional genomics. Here we develop models of orthoretroviral LTRs useful for detection in genomes and for structural analysis.\n\nPRINCIPAL FINDINGS: Although mutated, ERV LTRs are more numerous and diverse than exogenous retroviral (XRV) LTRs. Hidden Markov models (HMMs), and alignments based on them, were created for HML- (human MMTV-like), general-beta-, gamma- and lentiretroviruslike LTRs, plus a general-vertebrate LTR model. Training sets were XRV LTRs and RepBase LTR consensuses. The HML HMM was most sensitive and detected 87% of the HML LTRs in human chromosome 19 at 96% specificity. By combining all HMMs with a low cutoff, for screening, 71% of all LTRs found by RepeatMasker in chromosome 19 were found. HMM consensus sequences had a conserved modular LTR structure. Target site duplications (TG-CA), TATA (occasionally absent), an AATAAA box and a T-rich region were prominent features. Most of the conservation was located in, or adjacent to, R and U5, with evidence for stem loops. Several of the long HML LTRs contained long ORFs inserted after the second A rich module. HMM consensus alignment allowed comparison of functional features like transcriptional start sites (sense and antisense) between XRVs and ERVs.\n\nCONCLUSION: The modular conserved and redundant orthoretroviral LTR structure with three A-rich regions is reminiscent of structurally relaxed Giardia promoters. The five HMMs provided a novel broad range, repeat-independent, ab initio LTR detection, with prospects for greater generalisation, and insight into LTR structure, which may aid development of LTR-targeted pharmaceuticals.", "author" : [ { "dropping-particle" : "", "family" : "Benachenhou", "given" : "Farid", "non-dropping-particle" : "", "parse-names" : false, "suffix" : "" }, { "dropping-particle" : "", "family" : "Jern", "given" : "Patric", "non-dropping-particle" : "", "parse-names" : false, "suffix" : "" }, { "dropping-particle" : "", "family" : "Oja", "given" : "Merja", "non-dropping-particle" : "", "parse-names" : false, "suffix" : "" }, { "dropping-particle" : "", "family" : "Sperber", "given" : "G\u00f6ran", "non-dropping-particle" : "", "parse-names" : false, "suffix" : "" }, { "dropping-particle" : "", "family" : "Blikstad", "given" : "Vidar", "non-dropping-particle" : "", "parse-names" : false, "suffix" : "" }, { "dropping-particle" : "", "family" : "Somervuo", "given" : "Panu", "non-dropping-particle" : "", "parse-names" : false, "suffix" : "" }, { "dropping-particle" : "", "family" : "Kaski", "given" : "Samuel", "non-dropping-particle" : "", "parse-names" : false, "suffix" : "" }, { "dropping-particle" : "", "family" : "Blomberg", "given" : "Jonas", "non-dropping-particle" : "", "parse-names" : false, "suffix" : "" } ], "container-title" : "PloS one", "id" : "ITEM-1", "issue" : "4", "issued" : { "date-parts" : [ [ "2009", "1", "13" ] ] }, "page" : "e5179", "publisher" : "Public Library of Science", "title" : "Evolutionary conservation of orthoretroviral long terminal repeats (LTRs) and ab initio detection of single LTRs in genomic data.", "type" : "article-journal", "volume" : "4" }, "uris" : [ "http://www.mendeley.com/documents/?uuid=e5d47268-f5f4-40ca-8662-07792fcd7ba2" ] }, { "id" : "ITEM-2", "itemData" : { "DOI" : "10.1016/j.gene.2009.07.002", "ISSN" : "1879-0038", "PMID" : "19595747", "abstract" : "LTRs are sequence elements in retroviruses and retrotransposons which are difficult to align due to their variability. One way of handling such cases is to use Hidden Markov Models (HMMs). In this work HMMs of LTRs were constructed for three groups of orthoretroviruses: the betaretroviruslike human MMTV-like (HML) endogenous retroviruses, the lentiviruses, including HIV, and gammaretroviruslike human endogenous retroviruses (HERVs). The HMM-generated LTR alignments and the phylogenetic trees constructed from them were compared with trees based on alignments of the pol gene at the nucleic acid level. The majority of branches in the LTR and pol based trees had the same order for the three retroviral genera, showing that HMM methods are successful in aligning and constructing phylogenies of LTRs. The HML LTR tree deviated somewhat from the pol tree for the groups HML3, HML7 and HML6. Among the gammaretroviruslike proviruses, the exogenous Mouse Leukemia Virus (MLV) was highly related to HERV-T in the pol based tree, but not in the LTR based tree. Aside from these differences, the similarity between the trees indicates that LTRs and pol coevolved in a largely monophyletic way.", "author" : [ { "dropping-particle" : "", "family" : "Benachenhou", "given" : "Farid", "non-dropping-particle" : "", "parse-names" : false, "suffix" : "" }, { "dropping-particle" : "", "family" : "Blikstad", "given" : "Vidar", "non-dropping-particle" : "", "parse-names" : false, "suffix" : "" }, { "dropping-particle" : "", "family" : "Blomberg", "given" : "Jonas", "non-dropping-particle" : "", "parse-names" : false, "suffix" : "" } ], "container-title" : "Gene", "id" : "ITEM-2", "issue" : "2", "issued" : { "date-parts" : [ [ "2009", "12", "15" ] ] }, "page" : "134-8", "title" : "The phylogeny of orthoretroviral long terminal repeats (LTRs).", "type" : "article-journal", "volume" : "448" }, "uris" : [ "http://www.mendeley.com/documents/?uuid=9d1d0913-87fb-4723-9544-ca1661e27824" ] } ], "mendeley" : { "formattedCitation" : "(Benachenhou, Jern, et al. 2009; Benachenhou, Blikstad, et al. 2009)", "manualFormatting" : "(2009a; 2009b)", "plainTextFormattedCitation" : "(Benachenhou, Jern, et al. 2009; Benachenhou, Blikstad, et al. 2009)", "previouslyFormattedCitation" : "(Benachenhou, Jern, et al. 2009; Benachenhou, Blikstad, et al. 2009)" }, "properties" : { "noteIndex" : 0 }, "schema" : "https://github.com/citation-style-language/schema/raw/master/csl-citation.json" }</w:instrText>
      </w:r>
      <w:r>
        <w:fldChar w:fldCharType="separate"/>
      </w:r>
      <w:r>
        <w:rPr>
          <w:noProof/>
        </w:rPr>
        <w:t>(</w:t>
      </w:r>
      <w:r w:rsidRPr="009A34B9">
        <w:rPr>
          <w:noProof/>
        </w:rPr>
        <w:t>2009</w:t>
      </w:r>
      <w:r>
        <w:rPr>
          <w:noProof/>
        </w:rPr>
        <w:t xml:space="preserve">a; </w:t>
      </w:r>
      <w:r w:rsidRPr="009A34B9">
        <w:rPr>
          <w:noProof/>
        </w:rPr>
        <w:t>2009</w:t>
      </w:r>
      <w:r>
        <w:rPr>
          <w:noProof/>
        </w:rPr>
        <w:t>b</w:t>
      </w:r>
      <w:r w:rsidRPr="009A34B9">
        <w:rPr>
          <w:noProof/>
        </w:rPr>
        <w:t>)</w:t>
      </w:r>
      <w:r>
        <w:fldChar w:fldCharType="end"/>
      </w:r>
      <w:r>
        <w:t xml:space="preserve"> designed pHMMs to specifically identify retroviral LTRs alone. Whilst models fitted individual retroviral genera well, wider application showed that LTRs outside the training groups could not be identified. Furthermore, analyses were computationally complex and had high false positive rates as conserved LTR features, such as poly</w:t>
      </w:r>
      <w:r w:rsidR="00CE3E91">
        <w:t>A regions</w:t>
      </w:r>
      <w:r>
        <w:t xml:space="preserve"> and promoters, are common to other genomic features. In contrast, Ashlock and Datta </w:t>
      </w:r>
      <w:r>
        <w:fldChar w:fldCharType="begin" w:fldLock="1"/>
      </w:r>
      <w:r>
        <w:instrText>ADDIN CSL_CITATION { "citationItems" : [ { "id" : "ITEM-1", "itemData" : { "DOI" : "10.1145/1854776.1854841", "ISBN" : "9781450304382", "abstract" : "Retroviruses are of great importance due to their associations with diseases and their signi\ufb01cance in understanding the evolution of species. In this paper we study the problem of classifying unknown DNA sequence fragments as retroviruses, genes or non-coding DNA sequences. We use a novel set of features generated from the Fourier transform at frequency 1/3 that are based on the amounts of randomness in sequences from these three classes and on their use of the three di\ufb00erent possible reading frames. Our features can be computed e\ufb03ciently and are used to train a random forest. It is shown that these three groups can be distinguished with high (&gt; 90%) accuracy", "author" : [ { "dropping-particle" : "", "family" : "Ashlock", "given" : "Wendy", "non-dropping-particle" : "", "parse-names" : false, "suffix" : "" }, { "dropping-particle" : "", "family" : "Datta", "given" : "Suprakash", "non-dropping-particle" : "", "parse-names" : false, "suffix" : "" } ], "container-title" : "Proceedings of the First ACM International Conference on Bioinformatics and Computational Biology - BCB '10", "id" : "ITEM-1", "issued" : { "date-parts" : [ [ "2010" ] ] }, "note" : "Read", "publisher" : "ACM Press", "publisher-place" : "New York, New York, USA", "title" : "Using Fourier phase analysis on genomic sequences to identify retroviruses", "type" : "article-journal" }, "uris" : [ "http://www.mendeley.com/documents/?uuid=882f0bed-d3b5-499d-b07c-e00317b43a20" ] } ], "mendeley" : { "formattedCitation" : "(Ashlock &amp; Datta 2010)", "manualFormatting" : "(2010)", "plainTextFormattedCitation" : "(Ashlock &amp; Datta 2010)", "previouslyFormattedCitation" : "(Ashlock &amp; Datta 2010)" }, "properties" : { "noteIndex" : 0 }, "schema" : "https://github.com/citation-style-language/schema/raw/master/csl-citation.json" }</w:instrText>
      </w:r>
      <w:r>
        <w:fldChar w:fldCharType="separate"/>
      </w:r>
      <w:r>
        <w:rPr>
          <w:noProof/>
        </w:rPr>
        <w:t>(</w:t>
      </w:r>
      <w:r w:rsidRPr="009A34B9">
        <w:rPr>
          <w:noProof/>
        </w:rPr>
        <w:t>2010)</w:t>
      </w:r>
      <w:r>
        <w:fldChar w:fldCharType="end"/>
      </w:r>
      <w:r>
        <w:t xml:space="preserve"> focused on internal </w:t>
      </w:r>
      <w:r w:rsidR="00E67F06">
        <w:t xml:space="preserve">domain </w:t>
      </w:r>
      <w:r>
        <w:t xml:space="preserve">reading frame patterns </w:t>
      </w:r>
      <w:r w:rsidR="00E67F06">
        <w:t xml:space="preserve">and </w:t>
      </w:r>
      <w:r>
        <w:t>compared t</w:t>
      </w:r>
      <w:r w:rsidR="00E67F06">
        <w:t>hese to</w:t>
      </w:r>
      <w:r>
        <w:t xml:space="preserve"> </w:t>
      </w:r>
      <w:r w:rsidR="00E67F06">
        <w:t xml:space="preserve">patterns observed in </w:t>
      </w:r>
      <w:r>
        <w:t xml:space="preserve">host coding and non-coding DNA. Sensitivity </w:t>
      </w:r>
      <w:r w:rsidR="00E67F06">
        <w:t xml:space="preserve">for retroviral domain detection </w:t>
      </w:r>
      <w:r>
        <w:t>was reported to be g</w:t>
      </w:r>
      <w:r w:rsidR="00E67F06">
        <w:t>reater than 92 %, but</w:t>
      </w:r>
      <w:r>
        <w:t xml:space="preserve"> interpr</w:t>
      </w:r>
      <w:r w:rsidR="00E67F06">
        <w:t xml:space="preserve">etation was complex and </w:t>
      </w:r>
      <w:r w:rsidR="000C0990">
        <w:t>limited by both frame</w:t>
      </w:r>
      <w:r>
        <w:t>shift mutations common in degrad</w:t>
      </w:r>
      <w:r w:rsidR="00E67F06">
        <w:t xml:space="preserve">ed repeats and the </w:t>
      </w:r>
      <w:r>
        <w:t>specific genera</w:t>
      </w:r>
      <w:r w:rsidR="00E67F06">
        <w:t xml:space="preserve"> included</w:t>
      </w:r>
      <w:r>
        <w:t xml:space="preserve"> in model training. </w:t>
      </w:r>
      <w:r w:rsidR="000C0990">
        <w:t>Concordantly, the</w:t>
      </w:r>
      <w:r w:rsidR="00CE3E91">
        <w:t xml:space="preserve"> well-established structure-based methodologies remain the only viable option for genome-wide annotation of all LTR retrotransposon types</w:t>
      </w:r>
      <w:r w:rsidR="00CC16E6">
        <w:t>, as long as they remain structurally intact</w:t>
      </w:r>
      <w:r w:rsidR="00CE3E91">
        <w:t>.</w:t>
      </w:r>
      <w:r>
        <w:t xml:space="preserve"> </w:t>
      </w:r>
    </w:p>
    <w:p w14:paraId="470F779D" w14:textId="77777777" w:rsidR="00B160D6" w:rsidRDefault="00B160D6" w:rsidP="00391005">
      <w:pPr>
        <w:pStyle w:val="ListParagraph"/>
      </w:pPr>
    </w:p>
    <w:p w14:paraId="03FA810C" w14:textId="12F2CD17" w:rsidR="00CF3C87" w:rsidRDefault="00CF3C87" w:rsidP="00CF3C87">
      <w:pPr>
        <w:pStyle w:val="Heading4"/>
      </w:pPr>
      <w:r>
        <w:t>Combining identification strategies</w:t>
      </w:r>
    </w:p>
    <w:p w14:paraId="572499AF" w14:textId="38421691" w:rsidR="00631870" w:rsidRDefault="002B151F" w:rsidP="00391005">
      <w:pPr>
        <w:pStyle w:val="ListParagraph"/>
      </w:pPr>
      <w:r>
        <w:t xml:space="preserve">Homology-based identification is inherently biased towards known sequence, and whilst structure-based methods can identify diverse or lineage-specific LTR retrotransposons, </w:t>
      </w:r>
      <w:r>
        <w:lastRenderedPageBreak/>
        <w:t>they also use motifs and models based on known sequence, and h</w:t>
      </w:r>
      <w:r w:rsidR="00287377">
        <w:t xml:space="preserve">ave a high false positive rate. It should also be noted that the implementation of all these tools is complicated, requiring installation of accessory software, management of SQL databases, and the writing of purpose-built scripts to control batch analysis and program-specific issues such as memory allocation. Analysis is further hindered by incomplete or confusing manuals and unavailability of the source code, as well as non-existent curation and user support, with LH a stark exception. As such, LTR retrotransposon annotation is daunting, particularly as the combination of multiple methodologies is necessary for complete annotation and the avoidance of program-specific biases </w:t>
      </w:r>
      <w:r w:rsidR="00287377">
        <w:fldChar w:fldCharType="begin" w:fldLock="1"/>
      </w:r>
      <w:r w:rsidR="000F008D">
        <w:instrText>ADDIN CSL_CITATION { "citationItems" : [ { "id" : "ITEM-1", "itemData" : { "DOI" : "10.1038/hdy.2009.165", "ISSN" : "1365-2540", "PMID" : "19935826", "abstract" : "The production of genome sequences has led to another important advance in their annotation, which is closely linked to the exact determination of their content in terms of repeats, among which are transposable elements (TEs). The evolutionary implications and the presence of coding regions in some TEs can confuse gene annotation, and also hinder the process of genome assembly, making particularly crucial to be able to annotate and classify them correctly in genome sequences. This review is intended to provide an overview as comprehensive as possible of the automated methods currently used to annotate and classify TEs in sequenced genomes. Different categories of programs exist according to their methodology and the repeat, which they can identify. I describe here the main characteristics of the programs, their main goals and the difficulties they can entail. The drawbacks of the different methods are also highlighted to help biologists who are unfamiliar with algorithmic methods to understand this methodology better. Globally, using several different programs and carrying out a cross comparison of their results has the best chance of finding reliable results as any single program. However, this makes it essential to verify the results provided by each program independently. The ideal solution would be to test all programs against the same data set to obtain a true comparison of their actual performance.", "author" : [ { "dropping-particle" : "", "family" : "Lerat", "given" : "E", "non-dropping-particle" : "", "parse-names" : false, "suffix" : "" } ], "container-title" : "Heredity", "id" : "ITEM-1", "issue" : "6", "issued" : { "date-parts" : [ [ "2010", "6" ] ] }, "note" : "In depth review of the available resources.", "page" : "520-33", "publisher" : "Nature Publishing Group", "title" : "Identifying repeats and transposable elements in sequenced genomes: how to find your way through the dense forest of programs.", "type" : "article-journal", "volume" : "104" }, "uris" : [ "http://www.mendeley.com/documents/?uuid=1c20e63b-6ed5-46e4-8caa-af696641a770" ] }, { "id" : "ITEM-2", "itemData" : { "author" : [ { "dropping-particle" : "", "family" : "Garcia-Etxebarria", "given" : "K", "non-dropping-particle" : "", "parse-names" : false, "suffix" : "" }, { "dropping-particle" : "", "family" : "Sistiaga-Poveda", "given" : "M", "non-dropping-particle" : "", "parse-names" : false, "suffix" : "" }, { "dropping-particle" : "", "family" : "Jugo", "given" : "BM", "non-dropping-particle" : "", "parse-names" : false, "suffix" : "" } ], "container-title" : "Current Genomics", "id" : "ITEM-2", "issued" : { "date-parts" : [ [ "2014" ] ] }, "note" : "Recent in silico developments and genomic availability means that more domestic animals have been studied. \n\n\nOverview of work done in identification of these elements in domestic species. Chicken part reviews initial ID from the reference genome of ALVEs, EAVs and HERV-I related. Also mentions ID of ChiRV1 and OVEX1. Mentions the LTR_STRUC analysis and the ReTe analysis and their results.\n\n\nMentions expression data. Only looks at Ovex1, ChiRV1 and subsequent analysis done on ReTe identified elements. \n\n\nSuggests some future directions for challenges/avenues of work etc.", "page" : "256-265", "title" : "Endogenous Retroviruses in Domestic Animals", "type" : "article-journal", "volume" : "15" }, "uris" : [ "http://www.mendeley.com/documents/?uuid=5895243e-22ea-44ab-8bda-c82a33206101" ] } ], "mendeley" : { "formattedCitation" : "(Lerat 2010; Garcia-Etxebarria et al. 2014)", "plainTextFormattedCitation" : "(Lerat 2010; Garcia-Etxebarria et al. 2014)", "previouslyFormattedCitation" : "(Lerat 2010; Garcia-Etxebarria et al. 2014)" }, "properties" : { "noteIndex" : 0 }, "schema" : "https://github.com/citation-style-language/schema/raw/master/csl-citation.json" }</w:instrText>
      </w:r>
      <w:r w:rsidR="00287377">
        <w:fldChar w:fldCharType="separate"/>
      </w:r>
      <w:r w:rsidR="00287377" w:rsidRPr="00287377">
        <w:rPr>
          <w:noProof/>
        </w:rPr>
        <w:t>(Lerat 2010; Garcia-Etxebarria et al. 2014)</w:t>
      </w:r>
      <w:r w:rsidR="00287377">
        <w:fldChar w:fldCharType="end"/>
      </w:r>
      <w:r w:rsidR="00287377">
        <w:t xml:space="preserve">. </w:t>
      </w:r>
    </w:p>
    <w:p w14:paraId="6DFAC04B" w14:textId="1CB5EC39" w:rsidR="00CF3C87" w:rsidRDefault="002B151F" w:rsidP="00391005">
      <w:pPr>
        <w:pStyle w:val="ListParagraph"/>
      </w:pPr>
      <w:r>
        <w:t xml:space="preserve">Recent work combining two </w:t>
      </w:r>
      <w:r>
        <w:fldChar w:fldCharType="begin" w:fldLock="1"/>
      </w:r>
      <w:r>
        <w:instrText>ADDIN CSL_CITATION { "citationItems" : [ { "id" : "ITEM-1", "itemData" : { "DOI" : "10.1371/journal.pone.0019832", "ISSN" : "1932-6203", "PMID" : "21589882", "abstract" : "Host-retrovirus interactions influence the genomic landscape and have contributed substantially to mammalian genome evolution. To gain further insights, we analyzed a female boxer (Canis familiaris) genome for complexity and integration pattern of canine endogenous retroviruses (CfERV). Intriguingly, the first such in-depth analysis of a carnivore species identified 407 CfERV proviruses that represent only 0.15% of the dog genome. In comparison, the same detection criteria identified about six times more HERV proviruses in the human genome that has been estimated to contain a total of 8% retroviral DNA including solitary LTRs. These observed differences in man and dog are likely due to different mechanisms to purge, restrict and protect their genomes against retroviruses. A novel group of gammaretrovirus-like CfERV with high similarity to HERV-Fc1 was found to have potential for active retrotransposition and possibly lateral transmissions between dog and human as a result of close interactions during at least 10.000 years. The CfERV integration landscape showed a non-uniform intra- and inter-chromosomal distribution. Like in other species, different densities of ERVs were observed. Some chromosomal regions were essentially devoid of CfERVs whereas other regions had large numbers of integrations in agreement with distinct selective pressures at different loci. Most CfERVs were integrated in antisense orientation within 100 kb from annotated protein-coding genes. This integration pattern provides evidence for selection against CfERVs in sense orientation relative to chromosomal genes. In conclusion, this ERV analysis of the first carnivorous species supports the notion that different mammals interact distinctively with endogenous retroviruses and suggests that retroviral lateral transmissions between dog and human may have occurred.", "author" : [ { "dropping-particle" : "", "family" : "Barrio", "given" : "\u00c1lvaro Mart\u00ednez", "non-dropping-particle" : "", "parse-names" : false, "suffix" : "" }, { "dropping-particle" : "", "family" : "Ekerljung", "given" : "Marie", "non-dropping-particle" : "", "parse-names" : false, "suffix" : "" }, { "dropping-particle" : "", "family" : "Jern", "given" : "Patric", "non-dropping-particle" : "", "parse-names" : false, "suffix" : "" }, { "dropping-particle" : "", "family" : "Benachenhou", "given" : "Farid", "non-dropping-particle" : "", "parse-names" : false, "suffix" : "" }, { "dropping-particle" : "", "family" : "Sperber", "given" : "G\u00f6ran O", "non-dropping-particle" : "", "parse-names" : false, "suffix" : "" }, { "dropping-particle" : "", "family" : "Bongcam-Rudloff", "given" : "Erik", "non-dropping-particle" : "", "parse-names" : false, "suffix" : "" }, { "dropping-particle" : "", "family" : "Blomberg", "given" : "Jonas", "non-dropping-particle" : "", "parse-names" : false, "suffix" : "" }, { "dropping-particle" : "", "family" : "Andersson", "given" : "G\u00f6ran", "non-dropping-particle" : "", "parse-names" : false, "suffix" : "" } ], "container-title" : "PloS one", "id" : "ITEM-1", "issue" : "5", "issued" : { "date-parts" : [ [ "2011", "1" ] ] }, "note" : "Use of RetroTector. Identified 407 CfERVs (av=9.187kb, total 3.7Mb) corresponding to 0.15% of the entire dog genome (dog genome = 2.5Gb). This is significantly lower than those sequences detected in mouse (0.8%) and human (2%). In fact, the level is similar to that observed in chicken. \n\n\nGamma and beta were most common. Spuma and gypsy found at low frequencies. This is due to a lack of spuma virus reference sequences in the ReTe library, and the fact that gypsy elements are rare in eutherian genomes.\n\n\nCfERVs within genes are predominantly antisense - similar to human and mouse.\n\n\nPotential for dog-human ERV transfer since domestication.", "page" : "e19832", "title" : "The first sequenced carnivore genome shows complex host-endogenous retrovirus relationships.", "type" : "article-journal", "volume" : "6" }, "uris" : [ "http://www.mendeley.com/documents/?uuid=2057e10b-f53d-4f74-a39c-a4d0482887be" ] }, { "id" : "ITEM-2",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"ITEM-2",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"(Barrio et al. 2011; Bolisetty et al. 2012)", "plainTextFormattedCitation" : "(Barrio et al. 2011; Bolisetty et al. 2012)", "previouslyFormattedCitation" : "(Barrio et al. 2011; Bolisetty et al. 2012)" }, "properties" : { "noteIndex" : 0 }, "schema" : "https://github.com/citation-style-language/schema/raw/master/csl-citation.json" }</w:instrText>
      </w:r>
      <w:r>
        <w:fldChar w:fldCharType="separate"/>
      </w:r>
      <w:r w:rsidRPr="002B151F">
        <w:rPr>
          <w:noProof/>
        </w:rPr>
        <w:t>(Barrio et al. 2011; Bolisetty et al. 2012)</w:t>
      </w:r>
      <w:r>
        <w:fldChar w:fldCharType="end"/>
      </w:r>
      <w:r>
        <w:t xml:space="preserve"> or three </w:t>
      </w:r>
      <w:r>
        <w:fldChar w:fldCharType="begin" w:fldLock="1"/>
      </w:r>
      <w:r w:rsidR="00287377">
        <w:instrText>ADDIN CSL_CITATION { "citationItems" : [ { "id" : "ITEM-1", "itemData" : { "DOI" : "10.1128/JVI.00106-10", "ISSN" : "1098-5514", "PMID" : "20686017", "abstract" : "Endogenous retroviruses (ERVs) are the proviral phase of exogenous retroviruses that become integrated into a host germ line. They can play an important role in the host genome. Bioinformatic tools have been used to detect ERVs in several vertebrates, primarily primates and rodents. Less information is available regarding ERVs in other mammalian groups, and the source of this information is basically experimental. We analyzed the genome of the cow (Bos taurus) using three different methods. A BLAST-based method detected 928 possible ERVs, LTR_STRUC detected 4,487 elements flanked by long terminal repeats (LTRs), and Retrotector detected 9,698 ERVs. The ERVs were not homogeneously distributed across chromosomes; the number of ERVs was positively correlated with chromosomal size and negatively correlated with chromosomal GC content. The bovine ERVs (BoERVs) were classified into 24 putative families, with 20 of them not previously described. One of these new families, BoERV1, was the most abundant family and appeared to be specific to ruminants. An analysis of representatives of ERV families from rodents, primates, and ruminants showed a phylogenetic relationship following their hosts' relationships. This study demonstrates the importance of using multiple methods when trying to identify new ERVs and shows that the number of bovine ERV families is not as limited as previously thought.", "author" : [ { "dropping-particle" : "", "family" : "Garcia-Etxebarria", "given" : "Koldo", "non-dropping-particle" : "", "parse-names" : false, "suffix" : "" }, { "dropping-particle" : "", "family" : "Jugo", "given" : "Bego\u00f1a Marina", "non-dropping-particle" : "", "parse-names" : false, "suffix" : "" } ], "container-title" : "Journal of virology", "id" : "ITEM-1", "issue" : "20", "issued" : { "date-parts" : [ [ "2010", "10" ] ] }, "note" : "Read", "page" : "10852-62", "title" : "Genome-wide detection and characterization of endogenous retroviruses in Bos taurus.", "type" : "article-journal", "volume" : "84" }, "uris" : [ "http://www.mendeley.com/documents/?uuid=b20b8539-fc3d-4217-9923-c7273609fb38" ] }, { "id" : "ITEM-2", "itemData" : { "DOI" : "10.1016/j.virol.2012.08.047", "ISSN" : "1096-0341", "PMID" : "23026066", "abstract" : "Endogenous retroviruses (ERVs) are proviral phases of exogenous retroviruses that have become incorporated into the host genome. Little is known about ERVs in the horse genome. By combining 3 bioinformatic approaches, we detected 1947 putative ERVs in the horse genome. These equine ERVs are not scattered randomly across the genome and are especially abundant in the X chromosome. Based on phylogenetic relationships, some of these equine ERVs were classified into 15 previously uncharacterized families of Classes I, II and III. Compared with the cow and other species, the horse genome appears to container fewer ERVs. Although this could be due to limitations of the detection process, it could also stem from characteristics of the horse genome or the effect of the domestication process.", "author" : [ { "dropping-particle" : "", "family" : "Garcia-Etxebarria", "given" : "Koldo", "non-dropping-particle" : "", "parse-names" : false, "suffix" : "" }, { "dropping-particle" : "", "family" : "Jugo", "given" : "Bego\u00f1a M", "non-dropping-particle" : "", "parse-names" : false, "suffix" : "" } ], "container-title" : "Virology", "id" : "ITEM-2", "issued" : { "date-parts" : [ [ "2012", "12", "5" ] ] }, "note" : "Great paper with lots of details about methods and proposals as to why there may be a 'deficit' of ERVs in the horse compared to the cow.\nGood read.", "page" : "59-67", "title" : "Detection and characterization of endogenous retroviruses in the horse genome by in silico analysis.", "type" : "article-journal", "volume" : "434" }, "uris" : [ "http://www.mendeley.com/documents/?uuid=bdcb91f5-00e8-4969-865f-e30ea1609537" ] } ], "mendeley" : { "formattedCitation" : "(Garcia-Etxebarria &amp; Jugo 2010; Garcia-Etxebarria &amp; Jugo 2012)", "plainTextFormattedCitation" : "(Garcia-Etxebarria &amp; Jugo 2010; Garcia-Etxebarria &amp; Jugo 2012)", "previouslyFormattedCitation" : "(Garcia-Etxebarria &amp; Jugo 2010; Garcia-Etxebarria &amp; Jugo 2012)" }, "properties" : { "noteIndex" : 0 }, "schema" : "https://github.com/citation-style-language/schema/raw/master/csl-citation.json" }</w:instrText>
      </w:r>
      <w:r>
        <w:fldChar w:fldCharType="separate"/>
      </w:r>
      <w:r w:rsidRPr="002B151F">
        <w:rPr>
          <w:noProof/>
        </w:rPr>
        <w:t>(Garcia-Etxebarria &amp; Jugo 2010; Garcia-Etxebarria &amp; Jugo 2012)</w:t>
      </w:r>
      <w:r>
        <w:fldChar w:fldCharType="end"/>
      </w:r>
      <w:r>
        <w:t xml:space="preserve"> identification strategies in </w:t>
      </w:r>
      <w:r w:rsidR="00287377">
        <w:t>animal genomes has</w:t>
      </w:r>
      <w:r>
        <w:t xml:space="preserve"> </w:t>
      </w:r>
      <w:r w:rsidR="00287377">
        <w:t>highlighted the limited</w:t>
      </w:r>
      <w:r>
        <w:t xml:space="preserve"> redundancy between the elements identified by the different methodologies, commonly </w:t>
      </w:r>
      <w:r w:rsidR="00631870">
        <w:t xml:space="preserve">with </w:t>
      </w:r>
      <w:r>
        <w:t xml:space="preserve">more than 80 % of identified elements unique to one approach. Despite this, previous work in the chicken has had a strict </w:t>
      </w:r>
      <w:r w:rsidRPr="00287377">
        <w:rPr>
          <w:i/>
        </w:rPr>
        <w:t>requirement</w:t>
      </w:r>
      <w:r>
        <w:t xml:space="preserve"> for redundancy between programs to validate identified LTR retrotransposons It is therefore highly likely that many genuine elements have been</w:t>
      </w:r>
      <w:r w:rsidR="00631870">
        <w:t xml:space="preserve"> ignored rather than annotated, which may, in part, contribute to the previously reported </w:t>
      </w:r>
      <w:r w:rsidR="00287377">
        <w:t>‘deficit’</w:t>
      </w:r>
      <w:r w:rsidR="00631870">
        <w:t xml:space="preserve"> of these elements</w:t>
      </w:r>
      <w:r w:rsidR="007919AB">
        <w:t xml:space="preserve"> in the chicken when compared with</w:t>
      </w:r>
      <w:r w:rsidR="00631870">
        <w:t xml:space="preserve"> mammals and Neoaves.</w:t>
      </w:r>
    </w:p>
    <w:p w14:paraId="559387F7" w14:textId="2AB76921" w:rsidR="006C7AD2" w:rsidRDefault="006C7AD2" w:rsidP="00391005">
      <w:pPr>
        <w:pStyle w:val="ListParagraph"/>
      </w:pPr>
    </w:p>
    <w:p w14:paraId="5948D853" w14:textId="09EE48E4" w:rsidR="006C7AD2" w:rsidRDefault="006C7AD2" w:rsidP="006C7AD2">
      <w:pPr>
        <w:pStyle w:val="Heading2"/>
      </w:pPr>
      <w:bookmarkStart w:id="139" w:name="_Toc485721587"/>
      <w:bookmarkStart w:id="140" w:name="_Toc486787167"/>
      <w:bookmarkStart w:id="141" w:name="_Toc486787315"/>
      <w:r>
        <w:t>Research Aims</w:t>
      </w:r>
      <w:bookmarkEnd w:id="139"/>
      <w:bookmarkEnd w:id="140"/>
      <w:bookmarkEnd w:id="141"/>
    </w:p>
    <w:p w14:paraId="69369AE7" w14:textId="12E735C7" w:rsidR="00301895" w:rsidRDefault="004E66E4" w:rsidP="00391005">
      <w:pPr>
        <w:pStyle w:val="ListParagraph"/>
      </w:pPr>
      <w:r>
        <w:t xml:space="preserve">This </w:t>
      </w:r>
      <w:r w:rsidR="00267945">
        <w:t>chapter covers three major research aims. Firstly, the development of a</w:t>
      </w:r>
      <w:r w:rsidR="001E1166">
        <w:t xml:space="preserve"> user-friendly</w:t>
      </w:r>
      <w:r w:rsidR="00267945">
        <w:t xml:space="preserve"> bioinformatic pipeline to combine multiple LTR retrotransposon identification strategies into a single integrated approach</w:t>
      </w:r>
      <w:r w:rsidR="00301895">
        <w:t>. Secondly, the</w:t>
      </w:r>
      <w:r w:rsidR="00D572AE">
        <w:t xml:space="preserve"> use</w:t>
      </w:r>
      <w:r w:rsidR="00301895">
        <w:t xml:space="preserve"> of</w:t>
      </w:r>
      <w:r w:rsidR="00D572AE">
        <w:t xml:space="preserve"> this pipeline to identify the LTR retrotransposons of the chicken genome to determine whether previous, incomplete annotation was responsible for the observed deficit of these repeats in chicken compared to other birds</w:t>
      </w:r>
      <w:r w:rsidR="00301895">
        <w:t xml:space="preserve">. Finally, to fully characterise the LTR retrotransposon distribution relative to genes, recombination rate and other LTR retrotransposons, and to assess the extent of LTR retrotransposon expression. </w:t>
      </w:r>
    </w:p>
    <w:p w14:paraId="5CC25A32" w14:textId="0EC473B0" w:rsidR="00FA3415" w:rsidRDefault="00FA3415" w:rsidP="00391005">
      <w:pPr>
        <w:pStyle w:val="ListParagraph"/>
      </w:pPr>
    </w:p>
    <w:p w14:paraId="2196DEE9" w14:textId="5D8F1C69" w:rsidR="00FA3415" w:rsidRDefault="00FA3415" w:rsidP="00FA3415">
      <w:pPr>
        <w:pStyle w:val="Heading2"/>
      </w:pPr>
      <w:bookmarkStart w:id="142" w:name="_Ref478373246"/>
      <w:bookmarkStart w:id="143" w:name="_Toc485721588"/>
      <w:bookmarkStart w:id="144" w:name="_Toc486787168"/>
      <w:bookmarkStart w:id="145" w:name="_Toc486787316"/>
      <w:r>
        <w:lastRenderedPageBreak/>
        <w:t>Statement of publication</w:t>
      </w:r>
      <w:bookmarkEnd w:id="142"/>
      <w:bookmarkEnd w:id="143"/>
      <w:bookmarkEnd w:id="144"/>
      <w:bookmarkEnd w:id="145"/>
    </w:p>
    <w:p w14:paraId="1EC51DD1" w14:textId="037D474A" w:rsidR="006B3E66" w:rsidRDefault="00584B36" w:rsidP="00391005">
      <w:pPr>
        <w:pStyle w:val="ListParagraph"/>
      </w:pPr>
      <w:r>
        <w:t>T</w:t>
      </w:r>
      <w:r w:rsidR="00FA3415">
        <w:t xml:space="preserve">he results presented in this chapter have been published: Mason AS, Fulton JE, Hocking PM &amp; Burt DW (2016), A new look at the LTR retrotransposon content of the chicken genome, </w:t>
      </w:r>
      <w:r w:rsidR="00FA3415">
        <w:rPr>
          <w:i/>
        </w:rPr>
        <w:t>BMC Genomics</w:t>
      </w:r>
      <w:r w:rsidR="00FA3415">
        <w:t xml:space="preserve">, </w:t>
      </w:r>
      <w:r w:rsidR="00FA3415">
        <w:rPr>
          <w:b/>
        </w:rPr>
        <w:t>17</w:t>
      </w:r>
      <w:r>
        <w:t>:688. The</w:t>
      </w:r>
      <w:r w:rsidR="004E66E4">
        <w:t xml:space="preserve"> paper has been included on the CD accompanying</w:t>
      </w:r>
      <w:r w:rsidR="00982F0D">
        <w:t xml:space="preserve"> this thesis in Appendix 3: Paper2</w:t>
      </w:r>
      <w:r w:rsidR="00FA3415">
        <w:t xml:space="preserve">. </w:t>
      </w:r>
    </w:p>
    <w:p w14:paraId="3DACE245" w14:textId="7C78F907" w:rsidR="00FA3415" w:rsidRPr="00FA3415" w:rsidRDefault="00584B36" w:rsidP="00391005">
      <w:pPr>
        <w:pStyle w:val="ListParagraph"/>
      </w:pPr>
      <w:r>
        <w:t xml:space="preserve">Figures, tables and text have been reworked to fit this thesis and </w:t>
      </w:r>
      <w:r w:rsidR="006B3E66">
        <w:t>further</w:t>
      </w:r>
      <w:r>
        <w:t xml:space="preserve"> methodology optimisation, results, figures and tables have been included.</w:t>
      </w:r>
      <w:r w:rsidR="006B3E66">
        <w:t xml:space="preserve"> The final section of the paper on the LTR retrotransposons of the avian phylogeny forms the preliminary </w:t>
      </w:r>
      <w:r w:rsidR="004E66E4">
        <w:t>lineage analysis in</w:t>
      </w:r>
      <w:r w:rsidR="006B3E66">
        <w:t xml:space="preserve"> Chapter 4 of this thesis</w:t>
      </w:r>
      <w:r w:rsidR="004E66E4">
        <w:t xml:space="preserve"> (section </w:t>
      </w:r>
      <w:r w:rsidR="004E66E4">
        <w:fldChar w:fldCharType="begin" w:fldLock="1"/>
      </w:r>
      <w:r w:rsidR="004E66E4">
        <w:instrText xml:space="preserve"> REF _Ref482549889 \r \h </w:instrText>
      </w:r>
      <w:r w:rsidR="004E66E4">
        <w:fldChar w:fldCharType="separate"/>
      </w:r>
      <w:r w:rsidR="002C549C">
        <w:t>4.5.1</w:t>
      </w:r>
      <w:r w:rsidR="004E66E4">
        <w:fldChar w:fldCharType="end"/>
      </w:r>
      <w:r w:rsidR="004E66E4">
        <w:t xml:space="preserve">, page </w:t>
      </w:r>
      <w:r w:rsidR="005B09FF">
        <w:fldChar w:fldCharType="begin" w:fldLock="1"/>
      </w:r>
      <w:r w:rsidR="005B09FF">
        <w:instrText xml:space="preserve"> PAGEREF  _Ref482549889 \h </w:instrText>
      </w:r>
      <w:r w:rsidR="005B09FF">
        <w:fldChar w:fldCharType="separate"/>
      </w:r>
      <w:r w:rsidR="00C26134">
        <w:rPr>
          <w:noProof/>
        </w:rPr>
        <w:t>5</w:t>
      </w:r>
      <w:r w:rsidR="005B09FF">
        <w:fldChar w:fldCharType="end"/>
      </w:r>
      <w:r w:rsidR="004E66E4">
        <w:t>)</w:t>
      </w:r>
      <w:r w:rsidR="006B3E66">
        <w:t>.</w:t>
      </w:r>
    </w:p>
    <w:p w14:paraId="15C068E5" w14:textId="73D29FE1" w:rsidR="006C7AD2" w:rsidRDefault="006C7AD2" w:rsidP="00391005">
      <w:pPr>
        <w:pStyle w:val="ListParagraph"/>
      </w:pPr>
    </w:p>
    <w:p w14:paraId="724C661C" w14:textId="230C7422" w:rsidR="006C7AD2" w:rsidRDefault="00871430" w:rsidP="00871430">
      <w:pPr>
        <w:pStyle w:val="Heading2"/>
      </w:pPr>
      <w:bookmarkStart w:id="146" w:name="_Toc485721589"/>
      <w:bookmarkStart w:id="147" w:name="_Toc486787169"/>
      <w:bookmarkStart w:id="148" w:name="_Toc486787317"/>
      <w:r>
        <w:t>Development of the LocaTR identification pipeline</w:t>
      </w:r>
      <w:bookmarkEnd w:id="146"/>
      <w:bookmarkEnd w:id="147"/>
      <w:bookmarkEnd w:id="148"/>
    </w:p>
    <w:p w14:paraId="5215A15B" w14:textId="069E8FA1" w:rsidR="000A4E74" w:rsidRDefault="00343A2D" w:rsidP="00391005">
      <w:pPr>
        <w:pStyle w:val="ListParagraph"/>
      </w:pPr>
      <w:r>
        <w:t>LTR retrotransposon identification was facilitated by the development of the LocaTR identification pipeline. This user-friendly, well documented pipeline consists of four broad parts: genome pre-processing, struct</w:t>
      </w:r>
      <w:r w:rsidR="004E66E4">
        <w:t>ure-based identification</w:t>
      </w:r>
      <w:r>
        <w:t>, homology-ba</w:t>
      </w:r>
      <w:r w:rsidR="004E66E4">
        <w:t>sed identification</w:t>
      </w:r>
      <w:r>
        <w:t>, and the confirmation of putative LTR retrotransposons by removing false positives. LocaTR can be used to identify LTR retrotransposons in any assembled genome and c</w:t>
      </w:r>
      <w:r w:rsidR="004E66E4">
        <w:t>an be easily adapted to include</w:t>
      </w:r>
      <w:r>
        <w:t xml:space="preserve"> additional search programs</w:t>
      </w:r>
      <w:r w:rsidR="003A2587">
        <w:t>,</w:t>
      </w:r>
      <w:r>
        <w:t xml:space="preserve"> if required. </w:t>
      </w:r>
    </w:p>
    <w:p w14:paraId="6E5B3FF5" w14:textId="28C00B05" w:rsidR="00343A2D" w:rsidRDefault="00343A2D" w:rsidP="00391005">
      <w:pPr>
        <w:pStyle w:val="ListParagraph"/>
      </w:pPr>
      <w:r>
        <w:t xml:space="preserve">The combination of extensive documentation and intermediary scripts has </w:t>
      </w:r>
      <w:r w:rsidR="000A4E74">
        <w:t>made running the dispar</w:t>
      </w:r>
      <w:r w:rsidR="009F0D05">
        <w:t xml:space="preserve">ate identification programs </w:t>
      </w:r>
      <w:r w:rsidR="000A4E74">
        <w:t>easier, whilst retaining the ability for the user to alter individual parameters, although recommendations have been made in the documentation based on this work. Most of the programs and scripts have been written to work on a Li</w:t>
      </w:r>
      <w:r w:rsidR="004E66E4">
        <w:t>nux server, but both LS and ReTe</w:t>
      </w:r>
      <w:r w:rsidR="000A4E74">
        <w:t xml:space="preserve"> must be run on a desktop, specifically Windows for LS. If the homology and structure-based identification programs are run in parallel, a full LTR retrotransposon identification of a 1</w:t>
      </w:r>
      <w:r w:rsidR="00345649">
        <w:t xml:space="preserve"> </w:t>
      </w:r>
      <w:r w:rsidR="000A4E74">
        <w:t>Gb genome can be comple</w:t>
      </w:r>
      <w:r w:rsidR="00B21C9A">
        <w:t>ted within 10 days</w:t>
      </w:r>
      <w:r w:rsidR="000A4E74">
        <w:t>.</w:t>
      </w:r>
    </w:p>
    <w:p w14:paraId="3F4E020B" w14:textId="5C9F452D" w:rsidR="00343A2D" w:rsidRDefault="00343A2D" w:rsidP="00391005">
      <w:pPr>
        <w:pStyle w:val="ListParagraph"/>
      </w:pPr>
    </w:p>
    <w:p w14:paraId="57B37433" w14:textId="257CF436" w:rsidR="00B21C9A" w:rsidRDefault="00312EA3" w:rsidP="0088544F">
      <w:pPr>
        <w:pStyle w:val="Heading4"/>
      </w:pPr>
      <w:r>
        <w:t>LocaTR scripts and documentation</w:t>
      </w:r>
    </w:p>
    <w:p w14:paraId="44DE879B" w14:textId="64E64254" w:rsidR="0088544F" w:rsidRDefault="0088544F" w:rsidP="00391005">
      <w:pPr>
        <w:pStyle w:val="ListParagraph"/>
      </w:pPr>
      <w:r>
        <w:t>Seventeen intermediary scripts and six accessory scripts were written to manage the LocaTR identification</w:t>
      </w:r>
      <w:r w:rsidR="00237E60">
        <w:t xml:space="preserve"> pipeline. The names and functionalities</w:t>
      </w:r>
      <w:r>
        <w:t xml:space="preserve"> </w:t>
      </w:r>
      <w:r w:rsidR="00237E60">
        <w:t>o</w:t>
      </w:r>
      <w:r>
        <w:t xml:space="preserve">f these scripts are </w:t>
      </w:r>
      <w:r>
        <w:lastRenderedPageBreak/>
        <w:t xml:space="preserve">detailed in </w:t>
      </w:r>
      <w:r w:rsidRPr="00C14371">
        <w:fldChar w:fldCharType="begin" w:fldLock="1"/>
      </w:r>
      <w:r w:rsidRPr="00C14371">
        <w:instrText xml:space="preserve"> REF _Ref477441315 \h </w:instrText>
      </w:r>
      <w:r w:rsidR="00C14371" w:rsidRPr="00C14371">
        <w:instrText xml:space="preserve"> \* MERGEFORMAT </w:instrText>
      </w:r>
      <w:r w:rsidRPr="00C14371">
        <w:fldChar w:fldCharType="separate"/>
      </w:r>
      <w:r w:rsidR="002C549C" w:rsidRPr="004E66E4">
        <w:t xml:space="preserve">Table </w:t>
      </w:r>
      <w:r w:rsidR="002C549C">
        <w:rPr>
          <w:noProof/>
        </w:rPr>
        <w:t>3</w:t>
      </w:r>
      <w:r w:rsidR="002C549C" w:rsidRPr="004E66E4">
        <w:rPr>
          <w:noProof/>
        </w:rPr>
        <w:t>.</w:t>
      </w:r>
      <w:r w:rsidR="002C549C">
        <w:rPr>
          <w:noProof/>
        </w:rPr>
        <w:t>1</w:t>
      </w:r>
      <w:r w:rsidRPr="00C14371">
        <w:fldChar w:fldCharType="end"/>
      </w:r>
      <w:r w:rsidRPr="00C14371">
        <w:t xml:space="preserve"> and </w:t>
      </w:r>
      <w:r w:rsidRPr="00C14371">
        <w:fldChar w:fldCharType="begin" w:fldLock="1"/>
      </w:r>
      <w:r w:rsidRPr="00C14371">
        <w:instrText xml:space="preserve"> REF _Ref477441326 \h </w:instrText>
      </w:r>
      <w:r w:rsidR="00C14371" w:rsidRPr="00C14371">
        <w:instrText xml:space="preserve"> \* MERGEFORMAT </w:instrText>
      </w:r>
      <w:r w:rsidRPr="00C14371">
        <w:fldChar w:fldCharType="separate"/>
      </w:r>
      <w:r w:rsidR="002C549C" w:rsidRPr="004E66E4">
        <w:t xml:space="preserve">Table </w:t>
      </w:r>
      <w:r w:rsidR="002C549C">
        <w:rPr>
          <w:noProof/>
        </w:rPr>
        <w:t>3</w:t>
      </w:r>
      <w:r w:rsidR="002C549C" w:rsidRPr="004E66E4">
        <w:rPr>
          <w:noProof/>
        </w:rPr>
        <w:t>.</w:t>
      </w:r>
      <w:r w:rsidR="002C549C">
        <w:rPr>
          <w:noProof/>
        </w:rPr>
        <w:t>2</w:t>
      </w:r>
      <w:r w:rsidRPr="00C14371">
        <w:fldChar w:fldCharType="end"/>
      </w:r>
      <w:r>
        <w:t xml:space="preserve"> respectively. Each script has its own extensive documentation, help messages and error catches, and additionally each of the four broad sections of LocaTR has its own documentat</w:t>
      </w:r>
      <w:r w:rsidR="00164390">
        <w:t>ion to aid the user. A</w:t>
      </w:r>
      <w:r w:rsidR="00E22619">
        <w:t xml:space="preserve"> detailed </w:t>
      </w:r>
      <w:r>
        <w:t>flow char</w:t>
      </w:r>
      <w:r w:rsidR="00283921">
        <w:t xml:space="preserve">t for LocaTR is shown in </w:t>
      </w:r>
      <w:r w:rsidR="00283921" w:rsidRPr="004E66E4">
        <w:fldChar w:fldCharType="begin" w:fldLock="1"/>
      </w:r>
      <w:r w:rsidR="00283921" w:rsidRPr="004E66E4">
        <w:instrText xml:space="preserve"> REF _Ref478072595 \h </w:instrText>
      </w:r>
      <w:r w:rsidR="004E66E4" w:rsidRPr="004E66E4">
        <w:instrText xml:space="preserve"> \* MERGEFORMAT </w:instrText>
      </w:r>
      <w:r w:rsidR="00283921" w:rsidRPr="004E66E4">
        <w:fldChar w:fldCharType="separate"/>
      </w:r>
      <w:r w:rsidR="002C549C" w:rsidRPr="004E66E4">
        <w:t xml:space="preserve">Figure </w:t>
      </w:r>
      <w:r w:rsidR="002C549C">
        <w:rPr>
          <w:noProof/>
        </w:rPr>
        <w:t>3</w:t>
      </w:r>
      <w:r w:rsidR="002C549C" w:rsidRPr="004E66E4">
        <w:rPr>
          <w:noProof/>
        </w:rPr>
        <w:t>.</w:t>
      </w:r>
      <w:r w:rsidR="002C549C">
        <w:rPr>
          <w:noProof/>
        </w:rPr>
        <w:t>1</w:t>
      </w:r>
      <w:r w:rsidR="00283921" w:rsidRPr="004E66E4">
        <w:fldChar w:fldCharType="end"/>
      </w:r>
      <w:r>
        <w:t>.</w:t>
      </w:r>
      <w:r w:rsidR="001615B7">
        <w:t xml:space="preserve"> All scripts are on the CD accompanying this thesis and in a GitHub repository</w:t>
      </w:r>
      <w:r w:rsidR="00EB39AE">
        <w:t xml:space="preserve"> </w:t>
      </w:r>
      <w:r w:rsidR="001615B7">
        <w:t>(</w:t>
      </w:r>
      <w:r w:rsidR="004E66E4" w:rsidRPr="004E66E4">
        <w:t>https://github.com/andrewstephenmason/LocaTR</w:t>
      </w:r>
      <w:r w:rsidR="001615B7">
        <w:t>)</w:t>
      </w:r>
      <w:r w:rsidR="00EB39AE">
        <w:t>.</w:t>
      </w:r>
    </w:p>
    <w:p w14:paraId="4E9D2191" w14:textId="6C0F91F7" w:rsidR="004E66E4" w:rsidRPr="004E66E4" w:rsidRDefault="004E66E4" w:rsidP="00391005">
      <w:pPr>
        <w:pStyle w:val="ListParagraph"/>
        <w:rPr>
          <w:sz w:val="2"/>
        </w:rPr>
      </w:pPr>
    </w:p>
    <w:p w14:paraId="2C5F8F11" w14:textId="12972DF6" w:rsidR="004E66E4" w:rsidRDefault="004E66E4" w:rsidP="004E66E4">
      <w:pPr>
        <w:pStyle w:val="ListParagraph"/>
        <w:jc w:val="center"/>
      </w:pPr>
      <w:r>
        <w:rPr>
          <w:noProof/>
          <w:lang w:eastAsia="en-GB"/>
        </w:rPr>
        <w:drawing>
          <wp:inline distT="0" distB="0" distL="0" distR="0" wp14:anchorId="27300887" wp14:editId="0BAF9CCF">
            <wp:extent cx="5178233" cy="5095875"/>
            <wp:effectExtent l="0" t="0" r="381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375" r="1771" b="1350"/>
                    <a:stretch/>
                  </pic:blipFill>
                  <pic:spPr bwMode="auto">
                    <a:xfrm>
                      <a:off x="0" y="0"/>
                      <a:ext cx="5191814" cy="5109240"/>
                    </a:xfrm>
                    <a:prstGeom prst="rect">
                      <a:avLst/>
                    </a:prstGeom>
                    <a:noFill/>
                    <a:ln>
                      <a:noFill/>
                    </a:ln>
                    <a:extLst>
                      <a:ext uri="{53640926-AAD7-44D8-BBD7-CCE9431645EC}">
                        <a14:shadowObscured xmlns:a14="http://schemas.microsoft.com/office/drawing/2010/main"/>
                      </a:ext>
                    </a:extLst>
                  </pic:spPr>
                </pic:pic>
              </a:graphicData>
            </a:graphic>
          </wp:inline>
        </w:drawing>
      </w:r>
    </w:p>
    <w:p w14:paraId="09153B33" w14:textId="4F7BC93E" w:rsidR="004E66E4" w:rsidRPr="0004576B" w:rsidRDefault="004E66E4" w:rsidP="004E66E4">
      <w:pPr>
        <w:pStyle w:val="Figure"/>
      </w:pPr>
      <w:bookmarkStart w:id="149" w:name="_Ref478072595"/>
      <w:bookmarkStart w:id="150" w:name="_Toc486785427"/>
      <w:r w:rsidRPr="004E66E4">
        <w:t xml:space="preserve">Figure </w:t>
      </w:r>
      <w:fldSimple w:instr=" STYLEREF 1 \s " w:fldLock="1">
        <w:r w:rsidR="002C549C">
          <w:rPr>
            <w:noProof/>
          </w:rPr>
          <w:t>3</w:t>
        </w:r>
      </w:fldSimple>
      <w:r w:rsidRPr="004E66E4">
        <w:t>.</w:t>
      </w:r>
      <w:fldSimple w:instr=" SEQ Figure \* ARABIC \s 1 " w:fldLock="1">
        <w:r w:rsidR="002C549C">
          <w:rPr>
            <w:noProof/>
          </w:rPr>
          <w:t>1</w:t>
        </w:r>
      </w:fldSimple>
      <w:bookmarkEnd w:id="149"/>
      <w:r w:rsidRPr="00283921">
        <w:t xml:space="preserve"> </w:t>
      </w:r>
      <w:r w:rsidRPr="009B02CD">
        <w:t>The LocaTR identification pipeline workflow.</w:t>
      </w:r>
      <w:r>
        <w:t xml:space="preserve"> Each script run by the user is shown by its number (as described below in </w:t>
      </w:r>
      <w:r w:rsidRPr="0004576B">
        <w:fldChar w:fldCharType="begin" w:fldLock="1"/>
      </w:r>
      <w:r w:rsidRPr="0004576B">
        <w:instrText xml:space="preserve"> REF _Ref477441315 \h  \* MERGEFORMAT </w:instrText>
      </w:r>
      <w:r w:rsidRPr="0004576B">
        <w:fldChar w:fldCharType="separate"/>
      </w:r>
      <w:r w:rsidR="002C549C" w:rsidRPr="004E66E4">
        <w:t xml:space="preserve">Table </w:t>
      </w:r>
      <w:r w:rsidR="002C549C">
        <w:rPr>
          <w:noProof/>
        </w:rPr>
        <w:t>3</w:t>
      </w:r>
      <w:r w:rsidR="002C549C" w:rsidRPr="004E66E4">
        <w:rPr>
          <w:noProof/>
        </w:rPr>
        <w:t>.</w:t>
      </w:r>
      <w:r w:rsidR="002C549C">
        <w:rPr>
          <w:noProof/>
        </w:rPr>
        <w:t>1</w:t>
      </w:r>
      <w:r w:rsidRPr="0004576B">
        <w:fldChar w:fldCharType="end"/>
      </w:r>
      <w:r>
        <w:t>), and the independently run programs are underlined (LH = LTR Harvest; MGS = MGEScan_LTR; ReTe = RetroTector; RM = RepeatMasker). LTR_STRUC is not shown as its execution is completely controlled and hidden with script 203. Scripts for each LocaTR section are enclosed by boxes with dashed borders: homology (pink), structure-based (blue) and secondary BLAST (purple). The pHMMs used for the SIE feature tests are enclosed by the green box with the solid border.</w:t>
      </w:r>
      <w:bookmarkEnd w:id="150"/>
    </w:p>
    <w:p w14:paraId="7727D209" w14:textId="0263D481" w:rsidR="0088544F" w:rsidRDefault="0088544F" w:rsidP="0088544F">
      <w:pPr>
        <w:pStyle w:val="Caption"/>
      </w:pPr>
      <w:bookmarkStart w:id="151" w:name="_Ref477441315"/>
      <w:bookmarkStart w:id="152" w:name="_Toc486786301"/>
      <w:r w:rsidRPr="004E66E4">
        <w:lastRenderedPageBreak/>
        <w:t xml:space="preserve">Table </w:t>
      </w:r>
      <w:fldSimple w:instr=" STYLEREF 1 \s " w:fldLock="1">
        <w:r w:rsidR="002C549C">
          <w:rPr>
            <w:noProof/>
          </w:rPr>
          <w:t>3</w:t>
        </w:r>
      </w:fldSimple>
      <w:r w:rsidR="001167C6" w:rsidRPr="004E66E4">
        <w:t>.</w:t>
      </w:r>
      <w:fldSimple w:instr=" SEQ Table \* ARABIC \s 1 " w:fldLock="1">
        <w:r w:rsidR="002C549C">
          <w:rPr>
            <w:noProof/>
          </w:rPr>
          <w:t>1</w:t>
        </w:r>
      </w:fldSimple>
      <w:bookmarkEnd w:id="151"/>
      <w:r>
        <w:t xml:space="preserve"> The LocaTR intermediary scripts.</w:t>
      </w:r>
      <w:bookmarkEnd w:id="152"/>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4536"/>
      </w:tblGrid>
      <w:tr w:rsidR="00E33AE2" w14:paraId="4CF2DE9D" w14:textId="77777777" w:rsidTr="00E33AE2">
        <w:tc>
          <w:tcPr>
            <w:tcW w:w="3686" w:type="dxa"/>
            <w:tcBorders>
              <w:top w:val="single" w:sz="4" w:space="0" w:color="auto"/>
              <w:bottom w:val="single" w:sz="4" w:space="0" w:color="auto"/>
            </w:tcBorders>
            <w:vAlign w:val="center"/>
          </w:tcPr>
          <w:p w14:paraId="4FFCA5CA" w14:textId="0BCA74E5" w:rsidR="00E33AE2" w:rsidRDefault="00E33AE2" w:rsidP="00E33AE2">
            <w:pPr>
              <w:pStyle w:val="Tablecontent"/>
            </w:pPr>
            <w:r>
              <w:t>Script name</w:t>
            </w:r>
          </w:p>
        </w:tc>
        <w:tc>
          <w:tcPr>
            <w:tcW w:w="4536" w:type="dxa"/>
            <w:tcBorders>
              <w:top w:val="single" w:sz="4" w:space="0" w:color="auto"/>
              <w:bottom w:val="single" w:sz="4" w:space="0" w:color="auto"/>
            </w:tcBorders>
            <w:vAlign w:val="center"/>
          </w:tcPr>
          <w:p w14:paraId="2A7105A9" w14:textId="7FDA8D5C" w:rsidR="00E33AE2" w:rsidRDefault="00E33AE2" w:rsidP="00E33AE2">
            <w:pPr>
              <w:pStyle w:val="Tablecontent"/>
            </w:pPr>
            <w:r>
              <w:t>Functionality</w:t>
            </w:r>
          </w:p>
        </w:tc>
      </w:tr>
      <w:tr w:rsidR="00E33AE2" w14:paraId="1932DD35" w14:textId="77777777" w:rsidTr="00E33AE2">
        <w:tc>
          <w:tcPr>
            <w:tcW w:w="3686" w:type="dxa"/>
            <w:tcBorders>
              <w:top w:val="single" w:sz="4" w:space="0" w:color="auto"/>
            </w:tcBorders>
          </w:tcPr>
          <w:p w14:paraId="1C530C0C" w14:textId="645ED72E" w:rsidR="00E33AE2" w:rsidRPr="00E33AE2" w:rsidRDefault="00E33AE2" w:rsidP="00E33AE2">
            <w:pPr>
              <w:pStyle w:val="Tablecontent"/>
            </w:pPr>
            <w:r w:rsidRPr="00E33AE2">
              <w:t>101_format_genome_file.py</w:t>
            </w:r>
          </w:p>
        </w:tc>
        <w:tc>
          <w:tcPr>
            <w:tcW w:w="4536" w:type="dxa"/>
            <w:tcBorders>
              <w:top w:val="single" w:sz="4" w:space="0" w:color="auto"/>
            </w:tcBorders>
          </w:tcPr>
          <w:p w14:paraId="3901E820" w14:textId="2571E22B" w:rsidR="00E33AE2" w:rsidRPr="00E33AE2" w:rsidRDefault="00E33AE2" w:rsidP="00E33AE2">
            <w:pPr>
              <w:pStyle w:val="Tablecontent"/>
            </w:pPr>
            <w:r w:rsidRPr="00E33AE2">
              <w:t>Formats sequence headers ready for analysis</w:t>
            </w:r>
          </w:p>
        </w:tc>
      </w:tr>
      <w:tr w:rsidR="00E33AE2" w14:paraId="1F15DAED" w14:textId="77777777" w:rsidTr="00E33AE2">
        <w:tc>
          <w:tcPr>
            <w:tcW w:w="3686" w:type="dxa"/>
          </w:tcPr>
          <w:p w14:paraId="4F5CFBF7" w14:textId="1CFE5906" w:rsidR="00E33AE2" w:rsidRPr="00E33AE2" w:rsidRDefault="00E33AE2" w:rsidP="00E33AE2">
            <w:pPr>
              <w:pStyle w:val="Tablecontent"/>
            </w:pPr>
            <w:r w:rsidRPr="00E33AE2">
              <w:t>102_extract_tRNA_seq.py</w:t>
            </w:r>
          </w:p>
        </w:tc>
        <w:tc>
          <w:tcPr>
            <w:tcW w:w="4536" w:type="dxa"/>
          </w:tcPr>
          <w:p w14:paraId="3D3B1809" w14:textId="64AA0701" w:rsidR="00E33AE2" w:rsidRPr="00E33AE2" w:rsidRDefault="00E33AE2" w:rsidP="00E33AE2">
            <w:pPr>
              <w:pStyle w:val="Tablecontent"/>
            </w:pPr>
            <w:r w:rsidRPr="00E33AE2">
              <w:t>Takes tRNAs identified by tRNAscan-SE, extracts sequences and create pHMMs</w:t>
            </w:r>
          </w:p>
        </w:tc>
      </w:tr>
      <w:tr w:rsidR="00E33AE2" w14:paraId="0BEF667F" w14:textId="77777777" w:rsidTr="00E33AE2">
        <w:tc>
          <w:tcPr>
            <w:tcW w:w="3686" w:type="dxa"/>
          </w:tcPr>
          <w:p w14:paraId="4B4C625C" w14:textId="69DBAAAC" w:rsidR="00E33AE2" w:rsidRPr="00E33AE2" w:rsidRDefault="00E33AE2" w:rsidP="00E33AE2">
            <w:pPr>
              <w:pStyle w:val="Tablecontent"/>
            </w:pPr>
            <w:r w:rsidRPr="00E33AE2">
              <w:t>201_extract_LH_positions.py</w:t>
            </w:r>
          </w:p>
        </w:tc>
        <w:tc>
          <w:tcPr>
            <w:tcW w:w="4536" w:type="dxa"/>
          </w:tcPr>
          <w:p w14:paraId="4C664EF2" w14:textId="7788CC36" w:rsidR="00E33AE2" w:rsidRPr="00E33AE2" w:rsidRDefault="00E33AE2" w:rsidP="00E33AE2">
            <w:pPr>
              <w:pStyle w:val="Tablecontent"/>
            </w:pPr>
            <w:r w:rsidRPr="00E33AE2">
              <w:t>Extracts posit</w:t>
            </w:r>
            <w:r w:rsidR="00CC16E6">
              <w:t>i</w:t>
            </w:r>
            <w:r w:rsidRPr="00E33AE2">
              <w:t>ons and sequences following LTR Harvest analysis</w:t>
            </w:r>
          </w:p>
        </w:tc>
      </w:tr>
      <w:tr w:rsidR="00E33AE2" w14:paraId="714C1B10" w14:textId="77777777" w:rsidTr="00E33AE2">
        <w:tc>
          <w:tcPr>
            <w:tcW w:w="3686" w:type="dxa"/>
          </w:tcPr>
          <w:p w14:paraId="0FD882EE" w14:textId="544BF6C8" w:rsidR="00E33AE2" w:rsidRPr="00E33AE2" w:rsidRDefault="00E33AE2" w:rsidP="00E33AE2">
            <w:pPr>
              <w:pStyle w:val="Tablecontent"/>
            </w:pPr>
            <w:r w:rsidRPr="00E33AE2">
              <w:t>202_LS_seq_formatter.py</w:t>
            </w:r>
          </w:p>
        </w:tc>
        <w:tc>
          <w:tcPr>
            <w:tcW w:w="4536" w:type="dxa"/>
          </w:tcPr>
          <w:p w14:paraId="00239D09" w14:textId="5C16013B" w:rsidR="00E33AE2" w:rsidRPr="00E33AE2" w:rsidRDefault="00E33AE2" w:rsidP="00E33AE2">
            <w:pPr>
              <w:pStyle w:val="Tablecontent"/>
            </w:pPr>
            <w:r w:rsidRPr="00E33AE2">
              <w:t>Creates individual sequence files from the</w:t>
            </w:r>
            <w:r w:rsidR="000E2A94">
              <w:t xml:space="preserve"> genome multi-fasta, and </w:t>
            </w:r>
            <w:r w:rsidRPr="00E33AE2">
              <w:t>reverse complement</w:t>
            </w:r>
            <w:r w:rsidR="000E2A94">
              <w:t xml:space="preserve">s </w:t>
            </w:r>
          </w:p>
        </w:tc>
      </w:tr>
      <w:tr w:rsidR="00E33AE2" w14:paraId="2E648839" w14:textId="77777777" w:rsidTr="00E33AE2">
        <w:tc>
          <w:tcPr>
            <w:tcW w:w="3686" w:type="dxa"/>
          </w:tcPr>
          <w:p w14:paraId="5B148D57" w14:textId="21F43722" w:rsidR="00E33AE2" w:rsidRPr="00E33AE2" w:rsidRDefault="00E33AE2" w:rsidP="00E33AE2">
            <w:pPr>
              <w:pStyle w:val="Tablecontent"/>
            </w:pPr>
            <w:r w:rsidRPr="00E33AE2">
              <w:t>203_LS_ltrstruc_batch.py</w:t>
            </w:r>
          </w:p>
        </w:tc>
        <w:tc>
          <w:tcPr>
            <w:tcW w:w="4536" w:type="dxa"/>
          </w:tcPr>
          <w:p w14:paraId="3E7F22BD" w14:textId="30F3C8DA" w:rsidR="00E33AE2" w:rsidRPr="00E33AE2" w:rsidRDefault="00E33AE2" w:rsidP="00E33AE2">
            <w:pPr>
              <w:pStyle w:val="Tablecontent"/>
            </w:pPr>
            <w:r w:rsidRPr="00E33AE2">
              <w:t>Manages the LTR_STRUC process on Windows</w:t>
            </w:r>
          </w:p>
        </w:tc>
      </w:tr>
      <w:tr w:rsidR="00E33AE2" w14:paraId="5B3BAB23" w14:textId="77777777" w:rsidTr="00E33AE2">
        <w:tc>
          <w:tcPr>
            <w:tcW w:w="3686" w:type="dxa"/>
          </w:tcPr>
          <w:p w14:paraId="0F4624DA" w14:textId="1339268C" w:rsidR="00E33AE2" w:rsidRPr="00E33AE2" w:rsidRDefault="00E33AE2" w:rsidP="00E33AE2">
            <w:pPr>
              <w:pStyle w:val="Tablecontent"/>
            </w:pPr>
            <w:r>
              <w:t>204_LS</w:t>
            </w:r>
            <w:r w:rsidRPr="00E33AE2">
              <w:t>_batch_pos_extract.py</w:t>
            </w:r>
          </w:p>
        </w:tc>
        <w:tc>
          <w:tcPr>
            <w:tcW w:w="4536" w:type="dxa"/>
          </w:tcPr>
          <w:p w14:paraId="11008003" w14:textId="0EDB4C53" w:rsidR="00E33AE2" w:rsidRPr="00E33AE2" w:rsidRDefault="00E33AE2" w:rsidP="00E33AE2">
            <w:pPr>
              <w:pStyle w:val="Tablecontent"/>
            </w:pPr>
            <w:r w:rsidRPr="00E33AE2">
              <w:t xml:space="preserve">Processes the sequences identified by </w:t>
            </w:r>
            <w:r w:rsidR="000E2A94">
              <w:t>LTR_STRUC and generates a positions file</w:t>
            </w:r>
          </w:p>
        </w:tc>
      </w:tr>
      <w:tr w:rsidR="00E33AE2" w14:paraId="799ACB91" w14:textId="77777777" w:rsidTr="00E33AE2">
        <w:tc>
          <w:tcPr>
            <w:tcW w:w="3686" w:type="dxa"/>
          </w:tcPr>
          <w:p w14:paraId="7C94D6EA" w14:textId="0746B170" w:rsidR="00E33AE2" w:rsidRPr="00E33AE2" w:rsidRDefault="00E33AE2" w:rsidP="00E33AE2">
            <w:pPr>
              <w:pStyle w:val="Tablecontent"/>
            </w:pPr>
            <w:r w:rsidRPr="00E33AE2">
              <w:t>205_MGS_seq_formatter.py</w:t>
            </w:r>
          </w:p>
        </w:tc>
        <w:tc>
          <w:tcPr>
            <w:tcW w:w="4536" w:type="dxa"/>
          </w:tcPr>
          <w:p w14:paraId="7505C671" w14:textId="1E80F717" w:rsidR="00E33AE2" w:rsidRPr="00E33AE2" w:rsidRDefault="00E33AE2" w:rsidP="00E33AE2">
            <w:pPr>
              <w:pStyle w:val="Tablecontent"/>
            </w:pPr>
            <w:r w:rsidRPr="00E33AE2">
              <w:t>Creates individual sequence files from the genome multi-fasta</w:t>
            </w:r>
          </w:p>
        </w:tc>
      </w:tr>
      <w:tr w:rsidR="00E33AE2" w14:paraId="09BF5A86" w14:textId="77777777" w:rsidTr="00E33AE2">
        <w:tc>
          <w:tcPr>
            <w:tcW w:w="3686" w:type="dxa"/>
          </w:tcPr>
          <w:p w14:paraId="27A5C4C7" w14:textId="496258D2" w:rsidR="00E33AE2" w:rsidRPr="00E33AE2" w:rsidRDefault="00E33AE2" w:rsidP="00E33AE2">
            <w:pPr>
              <w:pStyle w:val="Tablecontent"/>
            </w:pPr>
            <w:r w:rsidRPr="00E33AE2">
              <w:t>206_extract_MGS_positions.sh</w:t>
            </w:r>
          </w:p>
        </w:tc>
        <w:tc>
          <w:tcPr>
            <w:tcW w:w="4536" w:type="dxa"/>
          </w:tcPr>
          <w:p w14:paraId="1D7AC409" w14:textId="6A3EB57F" w:rsidR="00E33AE2" w:rsidRPr="00E33AE2" w:rsidRDefault="00E33AE2" w:rsidP="00E33AE2">
            <w:pPr>
              <w:pStyle w:val="Tablecontent"/>
            </w:pPr>
            <w:r w:rsidRPr="00E33AE2">
              <w:t>Extracts posit</w:t>
            </w:r>
            <w:r w:rsidR="00CC16E6">
              <w:t>i</w:t>
            </w:r>
            <w:r w:rsidRPr="00E33AE2">
              <w:t>ons and sequences following MGEScan_LTR analysis</w:t>
            </w:r>
          </w:p>
        </w:tc>
      </w:tr>
      <w:tr w:rsidR="00E33AE2" w14:paraId="02AD5833" w14:textId="77777777" w:rsidTr="00E33AE2">
        <w:tc>
          <w:tcPr>
            <w:tcW w:w="3686" w:type="dxa"/>
          </w:tcPr>
          <w:p w14:paraId="779188C2" w14:textId="6F898587" w:rsidR="00E33AE2" w:rsidRPr="00E33AE2" w:rsidRDefault="00E33AE2" w:rsidP="00E33AE2">
            <w:pPr>
              <w:pStyle w:val="Tablecontent"/>
            </w:pPr>
            <w:r w:rsidRPr="00E33AE2">
              <w:t>207_rete_input_fasta_formatter.py</w:t>
            </w:r>
          </w:p>
        </w:tc>
        <w:tc>
          <w:tcPr>
            <w:tcW w:w="4536" w:type="dxa"/>
          </w:tcPr>
          <w:p w14:paraId="25387A02" w14:textId="09D487AE" w:rsidR="00E33AE2" w:rsidRPr="00E33AE2" w:rsidRDefault="00E33AE2" w:rsidP="00E33AE2">
            <w:pPr>
              <w:pStyle w:val="Tablecontent"/>
            </w:pPr>
            <w:r w:rsidRPr="00E33AE2">
              <w:t>Creates individual sequence files from the genome multi-fasta and pads sequences shorter than 30kb</w:t>
            </w:r>
          </w:p>
        </w:tc>
      </w:tr>
      <w:tr w:rsidR="00E33AE2" w14:paraId="0F68B3C8" w14:textId="77777777" w:rsidTr="00E33AE2">
        <w:tc>
          <w:tcPr>
            <w:tcW w:w="3686" w:type="dxa"/>
          </w:tcPr>
          <w:p w14:paraId="6C3DB627" w14:textId="3965C699" w:rsidR="00E33AE2" w:rsidRPr="00E33AE2" w:rsidRDefault="00E33AE2" w:rsidP="00E33AE2">
            <w:pPr>
              <w:pStyle w:val="Tablecontent"/>
            </w:pPr>
            <w:r w:rsidRPr="00E33AE2">
              <w:t>208_extract_ReTe_positions.py</w:t>
            </w:r>
          </w:p>
        </w:tc>
        <w:tc>
          <w:tcPr>
            <w:tcW w:w="4536" w:type="dxa"/>
          </w:tcPr>
          <w:p w14:paraId="1681DF85" w14:textId="368DB5B4" w:rsidR="00E33AE2" w:rsidRPr="00E33AE2" w:rsidRDefault="00E33AE2" w:rsidP="00E33AE2">
            <w:pPr>
              <w:pStyle w:val="Tablecontent"/>
            </w:pPr>
            <w:r w:rsidRPr="00E33AE2">
              <w:t>Extracts posit</w:t>
            </w:r>
            <w:r w:rsidR="00CC16E6">
              <w:t>i</w:t>
            </w:r>
            <w:r w:rsidRPr="00E33AE2">
              <w:t>ons and sequences following RetroTector analysis</w:t>
            </w:r>
          </w:p>
        </w:tc>
      </w:tr>
      <w:tr w:rsidR="00E33AE2" w14:paraId="3C07C39E" w14:textId="77777777" w:rsidTr="00E33AE2">
        <w:tc>
          <w:tcPr>
            <w:tcW w:w="3686" w:type="dxa"/>
          </w:tcPr>
          <w:p w14:paraId="2D947A58" w14:textId="342FE83F" w:rsidR="00E33AE2" w:rsidRPr="00E33AE2" w:rsidRDefault="00E33AE2" w:rsidP="00E33AE2">
            <w:pPr>
              <w:pStyle w:val="Tablecontent"/>
            </w:pPr>
            <w:r w:rsidRPr="00E33AE2">
              <w:t>301_extract_RM_positions.sh</w:t>
            </w:r>
          </w:p>
        </w:tc>
        <w:tc>
          <w:tcPr>
            <w:tcW w:w="4536" w:type="dxa"/>
          </w:tcPr>
          <w:p w14:paraId="34264A93" w14:textId="3D0DF175" w:rsidR="00E33AE2" w:rsidRPr="00E33AE2" w:rsidRDefault="00E33AE2" w:rsidP="00E33AE2">
            <w:pPr>
              <w:pStyle w:val="Tablecontent"/>
            </w:pPr>
            <w:r w:rsidRPr="00E33AE2">
              <w:t>Extracts posit</w:t>
            </w:r>
            <w:r w:rsidR="00CC16E6">
              <w:t>i</w:t>
            </w:r>
            <w:r w:rsidRPr="00E33AE2">
              <w:t>ons and sequences following RepeatMasker analysis</w:t>
            </w:r>
          </w:p>
        </w:tc>
      </w:tr>
      <w:tr w:rsidR="00E33AE2" w14:paraId="70503DFC" w14:textId="77777777" w:rsidTr="00E33AE2">
        <w:tc>
          <w:tcPr>
            <w:tcW w:w="3686" w:type="dxa"/>
          </w:tcPr>
          <w:p w14:paraId="6D7765FB" w14:textId="2CD5CCC7" w:rsidR="00E33AE2" w:rsidRPr="00E33AE2" w:rsidRDefault="00E33AE2" w:rsidP="00E33AE2">
            <w:pPr>
              <w:pStyle w:val="Tablecontent"/>
            </w:pPr>
            <w:r w:rsidRPr="00E33AE2">
              <w:t>302_refBLASTsearch.py</w:t>
            </w:r>
          </w:p>
        </w:tc>
        <w:tc>
          <w:tcPr>
            <w:tcW w:w="4536" w:type="dxa"/>
          </w:tcPr>
          <w:p w14:paraId="18903BBB" w14:textId="78E0A206" w:rsidR="00E33AE2" w:rsidRPr="00E33AE2" w:rsidRDefault="00E33AE2" w:rsidP="00E33AE2">
            <w:pPr>
              <w:pStyle w:val="Tablecontent"/>
            </w:pPr>
            <w:r w:rsidRPr="00E33AE2">
              <w:t xml:space="preserve">Performs the BLASTn/tBLASTx protocol and </w:t>
            </w:r>
            <w:r w:rsidR="000E2A94">
              <w:t xml:space="preserve">putative element </w:t>
            </w:r>
            <w:r w:rsidRPr="00E33AE2">
              <w:t>cross-validation</w:t>
            </w:r>
          </w:p>
        </w:tc>
      </w:tr>
      <w:tr w:rsidR="00E33AE2" w14:paraId="4D2C7895" w14:textId="77777777" w:rsidTr="00E33AE2">
        <w:tc>
          <w:tcPr>
            <w:tcW w:w="3686" w:type="dxa"/>
          </w:tcPr>
          <w:p w14:paraId="2C10656B" w14:textId="09946B94" w:rsidR="00E33AE2" w:rsidRPr="00E33AE2" w:rsidRDefault="00E33AE2" w:rsidP="00E33AE2">
            <w:pPr>
              <w:pStyle w:val="Tablecontent"/>
            </w:pPr>
            <w:r w:rsidRPr="00E33AE2">
              <w:t>304_extract_dirs_positions.py</w:t>
            </w:r>
          </w:p>
        </w:tc>
        <w:tc>
          <w:tcPr>
            <w:tcW w:w="4536" w:type="dxa"/>
          </w:tcPr>
          <w:p w14:paraId="0C0F974F" w14:textId="48C76127" w:rsidR="00E33AE2" w:rsidRPr="00E33AE2" w:rsidRDefault="00E33AE2" w:rsidP="00E33AE2">
            <w:pPr>
              <w:pStyle w:val="Tablecontent"/>
            </w:pPr>
            <w:r w:rsidRPr="00E33AE2">
              <w:t>Extracts posit</w:t>
            </w:r>
            <w:r w:rsidR="00CC16E6">
              <w:t>i</w:t>
            </w:r>
            <w:r w:rsidRPr="00E33AE2">
              <w:t>ons and sequences following ReDoSt analysis</w:t>
            </w:r>
          </w:p>
        </w:tc>
      </w:tr>
      <w:tr w:rsidR="00E33AE2" w14:paraId="7FE247D1" w14:textId="77777777" w:rsidTr="00E33AE2">
        <w:tc>
          <w:tcPr>
            <w:tcW w:w="3686" w:type="dxa"/>
          </w:tcPr>
          <w:p w14:paraId="0C59BC84" w14:textId="107B4A09" w:rsidR="00E33AE2" w:rsidRPr="00E33AE2" w:rsidRDefault="00E33AE2" w:rsidP="00E33AE2">
            <w:pPr>
              <w:pStyle w:val="Tablecontent"/>
            </w:pPr>
            <w:r w:rsidRPr="00E33AE2">
              <w:t>305_merge_homology_positions.sh</w:t>
            </w:r>
          </w:p>
        </w:tc>
        <w:tc>
          <w:tcPr>
            <w:tcW w:w="4536" w:type="dxa"/>
          </w:tcPr>
          <w:p w14:paraId="69A1D12B" w14:textId="64D40140" w:rsidR="00E33AE2" w:rsidRPr="00E33AE2" w:rsidRDefault="00E33AE2" w:rsidP="00E33AE2">
            <w:pPr>
              <w:pStyle w:val="Tablecontent"/>
            </w:pPr>
            <w:r w:rsidRPr="00E33AE2">
              <w:t>Merges all identified locations from the homology based searches</w:t>
            </w:r>
          </w:p>
        </w:tc>
      </w:tr>
      <w:tr w:rsidR="00E33AE2" w14:paraId="5F8EE9BF" w14:textId="77777777" w:rsidTr="00E33AE2">
        <w:tc>
          <w:tcPr>
            <w:tcW w:w="3686" w:type="dxa"/>
          </w:tcPr>
          <w:p w14:paraId="7C5A28B1" w14:textId="3440E71E" w:rsidR="00E33AE2" w:rsidRPr="00E33AE2" w:rsidRDefault="00E33AE2" w:rsidP="00E33AE2">
            <w:pPr>
              <w:pStyle w:val="Tablecontent"/>
            </w:pPr>
            <w:r w:rsidRPr="00E33AE2">
              <w:t>403_validate_SIEs.py</w:t>
            </w:r>
          </w:p>
        </w:tc>
        <w:tc>
          <w:tcPr>
            <w:tcW w:w="4536" w:type="dxa"/>
          </w:tcPr>
          <w:p w14:paraId="29D806F0" w14:textId="4409859F" w:rsidR="00E33AE2" w:rsidRPr="00E33AE2" w:rsidRDefault="000E2A94" w:rsidP="00E33AE2">
            <w:pPr>
              <w:pStyle w:val="Tablecontent"/>
            </w:pPr>
            <w:r>
              <w:t xml:space="preserve">Performs </w:t>
            </w:r>
            <w:r w:rsidR="00E33AE2" w:rsidRPr="00E33AE2">
              <w:t>feature analysis for putative SIE support</w:t>
            </w:r>
            <w:r>
              <w:t xml:space="preserve"> and confirmation</w:t>
            </w:r>
          </w:p>
        </w:tc>
      </w:tr>
      <w:tr w:rsidR="00E33AE2" w14:paraId="4F8FA2EF" w14:textId="77777777" w:rsidTr="00E33AE2">
        <w:tc>
          <w:tcPr>
            <w:tcW w:w="3686" w:type="dxa"/>
          </w:tcPr>
          <w:p w14:paraId="7A9E91DB" w14:textId="4AE47F6A" w:rsidR="00E33AE2" w:rsidRPr="00E33AE2" w:rsidRDefault="00E33AE2" w:rsidP="00E33AE2">
            <w:pPr>
              <w:pStyle w:val="Tablecontent"/>
            </w:pPr>
            <w:r w:rsidRPr="00E33AE2">
              <w:t>404_merge_positions_list.sh</w:t>
            </w:r>
          </w:p>
        </w:tc>
        <w:tc>
          <w:tcPr>
            <w:tcW w:w="4536" w:type="dxa"/>
          </w:tcPr>
          <w:p w14:paraId="304E86A1" w14:textId="3AF8DDC6" w:rsidR="00E33AE2" w:rsidRPr="00E33AE2" w:rsidRDefault="00E33AE2" w:rsidP="00E33AE2">
            <w:pPr>
              <w:pStyle w:val="Tablecontent"/>
            </w:pPr>
            <w:r w:rsidRPr="00E33AE2">
              <w:t>Merges all identified locations</w:t>
            </w:r>
          </w:p>
        </w:tc>
      </w:tr>
      <w:tr w:rsidR="00E33AE2" w14:paraId="421F45E7" w14:textId="77777777" w:rsidTr="00E33AE2">
        <w:tc>
          <w:tcPr>
            <w:tcW w:w="3686" w:type="dxa"/>
          </w:tcPr>
          <w:p w14:paraId="5B606CAE" w14:textId="7860CDB7" w:rsidR="00E33AE2" w:rsidRPr="00E33AE2" w:rsidRDefault="00E33AE2" w:rsidP="00E33AE2">
            <w:pPr>
              <w:pStyle w:val="Tablecontent"/>
            </w:pPr>
            <w:r w:rsidRPr="00E33AE2">
              <w:t>405_secondary_BLAST_analysis.py</w:t>
            </w:r>
          </w:p>
        </w:tc>
        <w:tc>
          <w:tcPr>
            <w:tcW w:w="4536" w:type="dxa"/>
          </w:tcPr>
          <w:p w14:paraId="1D362B13" w14:textId="4C7AF793" w:rsidR="00E33AE2" w:rsidRPr="00E33AE2" w:rsidRDefault="00E33AE2" w:rsidP="00E33AE2">
            <w:pPr>
              <w:pStyle w:val="Tablecontent"/>
            </w:pPr>
            <w:r w:rsidRPr="00E33AE2">
              <w:t>Performs the secondary BLASTn/t</w:t>
            </w:r>
            <w:r w:rsidR="000E2A94">
              <w:t>BLASTx protocol using confirmed</w:t>
            </w:r>
            <w:r w:rsidRPr="00E33AE2">
              <w:t xml:space="preserve"> SIE sequences</w:t>
            </w:r>
          </w:p>
        </w:tc>
      </w:tr>
      <w:tr w:rsidR="00E33AE2" w14:paraId="60F90759" w14:textId="77777777" w:rsidTr="00E33AE2">
        <w:tc>
          <w:tcPr>
            <w:tcW w:w="3686" w:type="dxa"/>
            <w:tcBorders>
              <w:bottom w:val="single" w:sz="4" w:space="0" w:color="auto"/>
            </w:tcBorders>
          </w:tcPr>
          <w:p w14:paraId="247C7EC8" w14:textId="609C11D4" w:rsidR="00E33AE2" w:rsidRPr="00E33AE2" w:rsidRDefault="00E33AE2" w:rsidP="00E33AE2">
            <w:pPr>
              <w:pStyle w:val="Tablecontent"/>
            </w:pPr>
            <w:r>
              <w:t>406_convert_to_original_contig</w:t>
            </w:r>
            <w:r w:rsidRPr="00E33AE2">
              <w:t>s.py</w:t>
            </w:r>
          </w:p>
        </w:tc>
        <w:tc>
          <w:tcPr>
            <w:tcW w:w="4536" w:type="dxa"/>
            <w:tcBorders>
              <w:bottom w:val="single" w:sz="4" w:space="0" w:color="auto"/>
            </w:tcBorders>
          </w:tcPr>
          <w:p w14:paraId="57187979" w14:textId="4BCDCA9C" w:rsidR="00E33AE2" w:rsidRPr="00E33AE2" w:rsidRDefault="00E33AE2" w:rsidP="00E33AE2">
            <w:pPr>
              <w:pStyle w:val="Tablecontent"/>
            </w:pPr>
            <w:r w:rsidRPr="00E33AE2">
              <w:t>Converts all sequence and position files back to original contig names</w:t>
            </w:r>
          </w:p>
        </w:tc>
      </w:tr>
    </w:tbl>
    <w:p w14:paraId="71190FBF" w14:textId="2A3429AE" w:rsidR="0088544F" w:rsidRDefault="0088544F" w:rsidP="0088544F">
      <w:pPr>
        <w:pStyle w:val="Caption"/>
      </w:pPr>
      <w:bookmarkStart w:id="153" w:name="_Ref477441326"/>
      <w:bookmarkStart w:id="154" w:name="_Toc486786302"/>
      <w:r w:rsidRPr="004E66E4">
        <w:lastRenderedPageBreak/>
        <w:t xml:space="preserve">Table </w:t>
      </w:r>
      <w:fldSimple w:instr=" STYLEREF 1 \s " w:fldLock="1">
        <w:r w:rsidR="002C549C">
          <w:rPr>
            <w:noProof/>
          </w:rPr>
          <w:t>3</w:t>
        </w:r>
      </w:fldSimple>
      <w:r w:rsidR="001167C6" w:rsidRPr="004E66E4">
        <w:t>.</w:t>
      </w:r>
      <w:fldSimple w:instr=" SEQ Table \* ARABIC \s 1 " w:fldLock="1">
        <w:r w:rsidR="002C549C">
          <w:rPr>
            <w:noProof/>
          </w:rPr>
          <w:t>2</w:t>
        </w:r>
      </w:fldSimple>
      <w:bookmarkEnd w:id="153"/>
      <w:r>
        <w:t xml:space="preserve"> The LocaTR accessory scripts.</w:t>
      </w:r>
      <w:bookmarkEnd w:id="154"/>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961"/>
      </w:tblGrid>
      <w:tr w:rsidR="00E33AE2" w14:paraId="4EB484BA" w14:textId="77777777" w:rsidTr="000E2A94">
        <w:tc>
          <w:tcPr>
            <w:tcW w:w="3261" w:type="dxa"/>
            <w:tcBorders>
              <w:top w:val="single" w:sz="4" w:space="0" w:color="auto"/>
              <w:bottom w:val="single" w:sz="4" w:space="0" w:color="auto"/>
            </w:tcBorders>
            <w:vAlign w:val="center"/>
          </w:tcPr>
          <w:p w14:paraId="448A9B1E" w14:textId="77777777" w:rsidR="00E33AE2" w:rsidRDefault="00E33AE2" w:rsidP="00F416D7">
            <w:pPr>
              <w:pStyle w:val="Tablecontent"/>
            </w:pPr>
            <w:r>
              <w:t>Script name</w:t>
            </w:r>
          </w:p>
        </w:tc>
        <w:tc>
          <w:tcPr>
            <w:tcW w:w="4961" w:type="dxa"/>
            <w:tcBorders>
              <w:top w:val="single" w:sz="4" w:space="0" w:color="auto"/>
              <w:bottom w:val="single" w:sz="4" w:space="0" w:color="auto"/>
            </w:tcBorders>
            <w:vAlign w:val="center"/>
          </w:tcPr>
          <w:p w14:paraId="146DADE2" w14:textId="77777777" w:rsidR="00E33AE2" w:rsidRDefault="00E33AE2" w:rsidP="00F416D7">
            <w:pPr>
              <w:pStyle w:val="Tablecontent"/>
            </w:pPr>
            <w:r>
              <w:t>Functionality</w:t>
            </w:r>
          </w:p>
        </w:tc>
      </w:tr>
      <w:tr w:rsidR="000E2A94" w14:paraId="19FC4769" w14:textId="77777777" w:rsidTr="000E2A94">
        <w:tc>
          <w:tcPr>
            <w:tcW w:w="3261" w:type="dxa"/>
            <w:tcBorders>
              <w:top w:val="single" w:sz="4" w:space="0" w:color="auto"/>
            </w:tcBorders>
          </w:tcPr>
          <w:p w14:paraId="7E54B44D" w14:textId="3CEA51A0" w:rsidR="000E2A94" w:rsidRDefault="000E2A94" w:rsidP="000E2A94">
            <w:pPr>
              <w:pStyle w:val="Tablecontent"/>
            </w:pPr>
            <w:r w:rsidRPr="00283CD1">
              <w:t>000_modify_paths.py</w:t>
            </w:r>
          </w:p>
        </w:tc>
        <w:tc>
          <w:tcPr>
            <w:tcW w:w="4961" w:type="dxa"/>
            <w:tcBorders>
              <w:top w:val="single" w:sz="4" w:space="0" w:color="auto"/>
            </w:tcBorders>
          </w:tcPr>
          <w:p w14:paraId="1295DAEC" w14:textId="54E6344E" w:rsidR="000E2A94" w:rsidRDefault="000E2A94" w:rsidP="000E2A94">
            <w:pPr>
              <w:pStyle w:val="Tablecontent"/>
            </w:pPr>
            <w:r>
              <w:t>Matches LocaTR filepaths to host directory setup</w:t>
            </w:r>
          </w:p>
        </w:tc>
      </w:tr>
      <w:tr w:rsidR="000E2A94" w14:paraId="12D04716" w14:textId="77777777" w:rsidTr="000E2A94">
        <w:tc>
          <w:tcPr>
            <w:tcW w:w="3261" w:type="dxa"/>
          </w:tcPr>
          <w:p w14:paraId="7E4C390B" w14:textId="2D1BB2E4" w:rsidR="000E2A94" w:rsidRDefault="000E2A94" w:rsidP="000E2A94">
            <w:pPr>
              <w:pStyle w:val="Tablecontent"/>
            </w:pPr>
            <w:r w:rsidRPr="00283CD1">
              <w:t>001_seq_extract.py</w:t>
            </w:r>
          </w:p>
        </w:tc>
        <w:tc>
          <w:tcPr>
            <w:tcW w:w="4961" w:type="dxa"/>
          </w:tcPr>
          <w:p w14:paraId="4D355A26" w14:textId="1AAA9ABD" w:rsidR="000E2A94" w:rsidRDefault="000E2A94" w:rsidP="000E2A94">
            <w:pPr>
              <w:pStyle w:val="Tablecontent"/>
            </w:pPr>
            <w:r w:rsidRPr="00283CD1">
              <w:t>Creates multi-fasta files from positions list</w:t>
            </w:r>
          </w:p>
        </w:tc>
      </w:tr>
      <w:tr w:rsidR="000E2A94" w14:paraId="0EF5D160" w14:textId="77777777" w:rsidTr="000E2A94">
        <w:tc>
          <w:tcPr>
            <w:tcW w:w="3261" w:type="dxa"/>
          </w:tcPr>
          <w:p w14:paraId="5B43E451" w14:textId="1DFF0A32" w:rsidR="000E2A94" w:rsidRDefault="000E2A94" w:rsidP="000E2A94">
            <w:pPr>
              <w:pStyle w:val="Tablecontent"/>
            </w:pPr>
            <w:r w:rsidRPr="00283CD1">
              <w:t>002_pos_merger.py</w:t>
            </w:r>
          </w:p>
        </w:tc>
        <w:tc>
          <w:tcPr>
            <w:tcW w:w="4961" w:type="dxa"/>
          </w:tcPr>
          <w:p w14:paraId="569AE2A6" w14:textId="5C36E938" w:rsidR="000E2A94" w:rsidRDefault="000E2A94" w:rsidP="000E2A94">
            <w:pPr>
              <w:pStyle w:val="Tablecontent"/>
            </w:pPr>
            <w:r w:rsidRPr="00283CD1">
              <w:t>Merges positions lists</w:t>
            </w:r>
          </w:p>
        </w:tc>
      </w:tr>
      <w:tr w:rsidR="000E2A94" w14:paraId="4B2EB0D2" w14:textId="77777777" w:rsidTr="000E2A94">
        <w:tc>
          <w:tcPr>
            <w:tcW w:w="3261" w:type="dxa"/>
          </w:tcPr>
          <w:p w14:paraId="076E05E7" w14:textId="419DE701" w:rsidR="000E2A94" w:rsidRDefault="000E2A94" w:rsidP="000E2A94">
            <w:pPr>
              <w:pStyle w:val="Tablecontent"/>
            </w:pPr>
            <w:r w:rsidRPr="00283CD1">
              <w:t>003_custom_rm_processor.py</w:t>
            </w:r>
          </w:p>
        </w:tc>
        <w:tc>
          <w:tcPr>
            <w:tcW w:w="4961" w:type="dxa"/>
          </w:tcPr>
          <w:p w14:paraId="22E520F9" w14:textId="5D85D9B4" w:rsidR="000E2A94" w:rsidRDefault="000E2A94" w:rsidP="000E2A94">
            <w:pPr>
              <w:pStyle w:val="Tablecontent"/>
            </w:pPr>
            <w:r>
              <w:t>Prepares</w:t>
            </w:r>
            <w:r w:rsidRPr="00283CD1">
              <w:t xml:space="preserve"> </w:t>
            </w:r>
            <w:r>
              <w:t>custom</w:t>
            </w:r>
            <w:r w:rsidRPr="00283CD1">
              <w:t xml:space="preserve"> RepeatMasker analysis</w:t>
            </w:r>
            <w:r>
              <w:t xml:space="preserve"> output</w:t>
            </w:r>
            <w:r w:rsidRPr="00283CD1">
              <w:t xml:space="preserve"> </w:t>
            </w:r>
            <w:r>
              <w:t>and for putative element</w:t>
            </w:r>
            <w:r w:rsidRPr="00283CD1">
              <w:t xml:space="preserve"> cross-validation</w:t>
            </w:r>
          </w:p>
        </w:tc>
      </w:tr>
      <w:tr w:rsidR="000E2A94" w14:paraId="476C0A25" w14:textId="77777777" w:rsidTr="000E2A94">
        <w:tc>
          <w:tcPr>
            <w:tcW w:w="3261" w:type="dxa"/>
          </w:tcPr>
          <w:p w14:paraId="59424340" w14:textId="4E9DB833" w:rsidR="000E2A94" w:rsidRDefault="000E2A94" w:rsidP="000E2A94">
            <w:pPr>
              <w:pStyle w:val="Tablecontent"/>
            </w:pPr>
            <w:r w:rsidRPr="00283CD1">
              <w:t>004_rm_fragment_remover.py</w:t>
            </w:r>
          </w:p>
        </w:tc>
        <w:tc>
          <w:tcPr>
            <w:tcW w:w="4961" w:type="dxa"/>
          </w:tcPr>
          <w:p w14:paraId="5E1ADBB8" w14:textId="28493BB9" w:rsidR="000E2A94" w:rsidRDefault="000E2A94" w:rsidP="000E2A94">
            <w:pPr>
              <w:pStyle w:val="Tablecontent"/>
            </w:pPr>
            <w:r w:rsidRPr="00283CD1">
              <w:t>Identifies non LTR retrotransposon repeats in putative seq</w:t>
            </w:r>
            <w:r>
              <w:t>uence and removes them</w:t>
            </w:r>
          </w:p>
        </w:tc>
      </w:tr>
      <w:tr w:rsidR="000E2A94" w14:paraId="39AF5527" w14:textId="77777777" w:rsidTr="000E2A94">
        <w:tc>
          <w:tcPr>
            <w:tcW w:w="3261" w:type="dxa"/>
            <w:tcBorders>
              <w:bottom w:val="single" w:sz="4" w:space="0" w:color="auto"/>
            </w:tcBorders>
          </w:tcPr>
          <w:p w14:paraId="16CE014A" w14:textId="700D98E3" w:rsidR="000E2A94" w:rsidRDefault="000E2A94" w:rsidP="000E2A94">
            <w:pPr>
              <w:pStyle w:val="Tablecontent"/>
            </w:pPr>
            <w:r w:rsidRPr="00283CD1">
              <w:t>static_functions.py</w:t>
            </w:r>
          </w:p>
        </w:tc>
        <w:tc>
          <w:tcPr>
            <w:tcW w:w="4961" w:type="dxa"/>
            <w:tcBorders>
              <w:bottom w:val="single" w:sz="4" w:space="0" w:color="auto"/>
            </w:tcBorders>
          </w:tcPr>
          <w:p w14:paraId="7814312C" w14:textId="7BFE3978" w:rsidR="000E2A94" w:rsidRDefault="000E2A94" w:rsidP="000E2A94">
            <w:pPr>
              <w:pStyle w:val="Tablecontent"/>
            </w:pPr>
            <w:r w:rsidRPr="00283CD1">
              <w:t xml:space="preserve">Series of functions for merging, sequence </w:t>
            </w:r>
            <w:r>
              <w:t xml:space="preserve">extraction, list formatting </w:t>
            </w:r>
            <w:r>
              <w:rPr>
                <w:i/>
              </w:rPr>
              <w:t>etc.</w:t>
            </w:r>
            <w:r>
              <w:t xml:space="preserve"> called by</w:t>
            </w:r>
            <w:r w:rsidRPr="00283CD1">
              <w:t xml:space="preserve"> scripts</w:t>
            </w:r>
          </w:p>
        </w:tc>
      </w:tr>
    </w:tbl>
    <w:p w14:paraId="7E098CB3" w14:textId="10EA769D" w:rsidR="00E22619" w:rsidRDefault="00E22619" w:rsidP="004E66E4">
      <w:pPr>
        <w:rPr>
          <w:rFonts w:ascii="Baskerville Old Face" w:hAnsi="Baskerville Old Face"/>
          <w:sz w:val="24"/>
        </w:rPr>
      </w:pPr>
    </w:p>
    <w:p w14:paraId="0DD50DF3" w14:textId="77777777" w:rsidR="004E66E4" w:rsidRDefault="004E66E4" w:rsidP="004E66E4">
      <w:pPr>
        <w:rPr>
          <w:rFonts w:ascii="Baskerville Old Face" w:hAnsi="Baskerville Old Face"/>
          <w:sz w:val="24"/>
        </w:rPr>
      </w:pPr>
    </w:p>
    <w:p w14:paraId="6CD35AFC" w14:textId="73D25CC5" w:rsidR="000224FD" w:rsidRDefault="000224FD" w:rsidP="000224FD">
      <w:pPr>
        <w:pStyle w:val="Heading3"/>
      </w:pPr>
      <w:bookmarkStart w:id="155" w:name="_Toc485721590"/>
      <w:bookmarkStart w:id="156" w:name="_Toc486787170"/>
      <w:bookmarkStart w:id="157" w:name="_Toc486787318"/>
      <w:r>
        <w:t>Initial optimisation of individual identification programs</w:t>
      </w:r>
      <w:bookmarkEnd w:id="155"/>
      <w:bookmarkEnd w:id="156"/>
      <w:bookmarkEnd w:id="157"/>
    </w:p>
    <w:p w14:paraId="683DD79E" w14:textId="4377B154" w:rsidR="000224FD" w:rsidRDefault="000224FD" w:rsidP="000224FD">
      <w:pPr>
        <w:pStyle w:val="Heading4"/>
      </w:pPr>
      <w:r>
        <w:t>RepeatMasker</w:t>
      </w:r>
    </w:p>
    <w:p w14:paraId="618E8CF9" w14:textId="4EE59464" w:rsidR="000224FD" w:rsidRDefault="000224FD" w:rsidP="00391005">
      <w:pPr>
        <w:pStyle w:val="ListParagraph"/>
      </w:pPr>
      <w:r>
        <w:t>RepeatMasker (RM) analysis was performed on the Galgal4 assembly under default conditions, and by specifying the RepBase libraries for chickens and, more widely, for vertebrates. Under default conditions</w:t>
      </w:r>
      <w:r w:rsidR="003A2587">
        <w:t xml:space="preserve"> (human repeat libraries)</w:t>
      </w:r>
      <w:r>
        <w:t xml:space="preserve"> 6.19</w:t>
      </w:r>
      <w:r w:rsidR="00604B2F">
        <w:t xml:space="preserve"> </w:t>
      </w:r>
      <w:r>
        <w:t>% of the genome was annotated as repeats, with only 0.13</w:t>
      </w:r>
      <w:r w:rsidR="00604B2F">
        <w:t xml:space="preserve"> </w:t>
      </w:r>
      <w:r>
        <w:t xml:space="preserve">% </w:t>
      </w:r>
      <w:r w:rsidR="003A2587">
        <w:t xml:space="preserve">of the genome </w:t>
      </w:r>
      <w:r>
        <w:t>attributed to LTR retrotransposon derived elements. By specifying the chicken RepBase libraries, this value increased to 9.96</w:t>
      </w:r>
      <w:r w:rsidR="00604B2F">
        <w:t xml:space="preserve"> </w:t>
      </w:r>
      <w:r>
        <w:t>% of the genome for all repeats, and to 1.66</w:t>
      </w:r>
      <w:r w:rsidR="00604B2F">
        <w:t xml:space="preserve"> </w:t>
      </w:r>
      <w:r>
        <w:t>% of the genome for LTR retrotransposons, made up of some 32,674 independent elements, covering 17.38</w:t>
      </w:r>
      <w:r w:rsidR="00604B2F">
        <w:t xml:space="preserve"> </w:t>
      </w:r>
      <w:r>
        <w:t>Mbp of the genome. By widening the available RepBase libraries to all vertebrate entries, the annotated repeat content increased again to 10.41</w:t>
      </w:r>
      <w:r w:rsidR="00604B2F">
        <w:t xml:space="preserve"> </w:t>
      </w:r>
      <w:r>
        <w:t>%, and the LTR retrotransposon annotation in</w:t>
      </w:r>
      <w:r w:rsidR="0058468D">
        <w:t>creased to 1.78</w:t>
      </w:r>
      <w:r w:rsidR="00604B2F">
        <w:t xml:space="preserve"> </w:t>
      </w:r>
      <w:r w:rsidR="0058468D">
        <w:t>% of the genome (</w:t>
      </w:r>
      <w:r w:rsidR="0058468D" w:rsidRPr="0058468D">
        <w:fldChar w:fldCharType="begin" w:fldLock="1"/>
      </w:r>
      <w:r w:rsidR="0058468D" w:rsidRPr="0058468D">
        <w:instrText xml:space="preserve"> REF _Ref477414592 \h  \* MERGEFORMAT </w:instrText>
      </w:r>
      <w:r w:rsidR="0058468D" w:rsidRPr="0058468D">
        <w:fldChar w:fldCharType="separate"/>
      </w:r>
      <w:r w:rsidR="002C549C" w:rsidRPr="00E71235">
        <w:t xml:space="preserve">Table </w:t>
      </w:r>
      <w:r w:rsidR="002C549C">
        <w:rPr>
          <w:noProof/>
        </w:rPr>
        <w:t>3</w:t>
      </w:r>
      <w:r w:rsidR="002C549C" w:rsidRPr="00E71235">
        <w:rPr>
          <w:noProof/>
        </w:rPr>
        <w:t>.</w:t>
      </w:r>
      <w:r w:rsidR="002C549C">
        <w:rPr>
          <w:noProof/>
        </w:rPr>
        <w:t>3</w:t>
      </w:r>
      <w:r w:rsidR="0058468D" w:rsidRPr="0058468D">
        <w:fldChar w:fldCharType="end"/>
      </w:r>
      <w:r w:rsidR="0058468D">
        <w:t xml:space="preserve">). </w:t>
      </w:r>
      <w:r>
        <w:t>The addition of the vertebrate RepBase libraries increased the amount of LTR retrotransposon sequence identified, and annotated shorter, potentially more fragmented and divergent sequences, as the average identified repeat length fell by 22.5</w:t>
      </w:r>
      <w:r w:rsidR="00604B2F">
        <w:t xml:space="preserve"> </w:t>
      </w:r>
      <w:r>
        <w:t>%</w:t>
      </w:r>
      <w:r w:rsidR="003A2587">
        <w:t xml:space="preserve"> from 532 bp</w:t>
      </w:r>
      <w:r>
        <w:t xml:space="preserve"> to 412</w:t>
      </w:r>
      <w:r w:rsidR="00604B2F">
        <w:t xml:space="preserve"> </w:t>
      </w:r>
      <w:r>
        <w:t>bp. Due to the identification of more LTR retrotransposon sequence, all further RM analyses used the ‘-species vertebrates’ flag.</w:t>
      </w:r>
    </w:p>
    <w:p w14:paraId="1EC72D78" w14:textId="50E29496" w:rsidR="003A53D4" w:rsidRPr="003A53D4" w:rsidRDefault="003A53D4" w:rsidP="003A53D4">
      <w:pPr>
        <w:pStyle w:val="Caption"/>
      </w:pPr>
      <w:bookmarkStart w:id="158" w:name="_Ref477414592"/>
      <w:bookmarkStart w:id="159" w:name="_Toc486786303"/>
      <w:r w:rsidRPr="00E71235">
        <w:lastRenderedPageBreak/>
        <w:t xml:space="preserve">Table </w:t>
      </w:r>
      <w:fldSimple w:instr=" STYLEREF 1 \s " w:fldLock="1">
        <w:r w:rsidR="002C549C">
          <w:rPr>
            <w:noProof/>
          </w:rPr>
          <w:t>3</w:t>
        </w:r>
      </w:fldSimple>
      <w:r w:rsidR="001167C6" w:rsidRPr="00E71235">
        <w:t>.</w:t>
      </w:r>
      <w:fldSimple w:instr=" SEQ Table \* ARABIC \s 1 " w:fldLock="1">
        <w:r w:rsidR="002C549C">
          <w:rPr>
            <w:noProof/>
          </w:rPr>
          <w:t>3</w:t>
        </w:r>
      </w:fldSimple>
      <w:bookmarkEnd w:id="158"/>
      <w:r w:rsidRPr="003A53D4">
        <w:rPr>
          <w:b/>
        </w:rPr>
        <w:t xml:space="preserve"> </w:t>
      </w:r>
      <w:r w:rsidR="00294FBD">
        <w:t>Annotated G</w:t>
      </w:r>
      <w:r>
        <w:t xml:space="preserve">algal4 repeat </w:t>
      </w:r>
      <w:r w:rsidR="00294FBD">
        <w:t>content using RepeatMasker with</w:t>
      </w:r>
      <w:r>
        <w:t xml:space="preserve"> three </w:t>
      </w:r>
      <w:r w:rsidR="00294FBD">
        <w:t xml:space="preserve">different </w:t>
      </w:r>
      <w:r>
        <w:t>available RepBase libraries.</w:t>
      </w:r>
      <w:bookmarkEnd w:id="159"/>
      <w:r>
        <w:t xml:space="preserve"> </w:t>
      </w:r>
    </w:p>
    <w:tbl>
      <w:tblPr>
        <w:tblStyle w:val="TableGrid"/>
        <w:tblW w:w="75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559"/>
        <w:gridCol w:w="1559"/>
        <w:gridCol w:w="1560"/>
        <w:gridCol w:w="1417"/>
      </w:tblGrid>
      <w:tr w:rsidR="00CD70E1" w14:paraId="071C479E" w14:textId="77777777" w:rsidTr="00294FBD">
        <w:trPr>
          <w:jc w:val="center"/>
        </w:trPr>
        <w:tc>
          <w:tcPr>
            <w:tcW w:w="1418" w:type="dxa"/>
            <w:tcBorders>
              <w:top w:val="single" w:sz="4" w:space="0" w:color="auto"/>
              <w:bottom w:val="single" w:sz="4" w:space="0" w:color="auto"/>
            </w:tcBorders>
            <w:vAlign w:val="center"/>
          </w:tcPr>
          <w:p w14:paraId="465B71EA" w14:textId="509B03A2" w:rsidR="00CD70E1" w:rsidRDefault="00CD70E1" w:rsidP="00294FBD">
            <w:pPr>
              <w:pStyle w:val="Tablecontent"/>
              <w:jc w:val="center"/>
            </w:pPr>
            <w:r>
              <w:t>RepBase library</w:t>
            </w:r>
          </w:p>
        </w:tc>
        <w:tc>
          <w:tcPr>
            <w:tcW w:w="1559" w:type="dxa"/>
            <w:tcBorders>
              <w:top w:val="single" w:sz="4" w:space="0" w:color="auto"/>
              <w:bottom w:val="single" w:sz="4" w:space="0" w:color="auto"/>
            </w:tcBorders>
            <w:vAlign w:val="center"/>
          </w:tcPr>
          <w:p w14:paraId="3D2E0123" w14:textId="65E73AFC" w:rsidR="00CD70E1" w:rsidRDefault="00CD70E1" w:rsidP="00294FBD">
            <w:pPr>
              <w:pStyle w:val="Tablecontent"/>
              <w:jc w:val="center"/>
            </w:pPr>
            <w:r>
              <w:t>Total repeat content (%)</w:t>
            </w:r>
          </w:p>
        </w:tc>
        <w:tc>
          <w:tcPr>
            <w:tcW w:w="1559" w:type="dxa"/>
            <w:tcBorders>
              <w:top w:val="single" w:sz="4" w:space="0" w:color="auto"/>
              <w:bottom w:val="single" w:sz="4" w:space="0" w:color="auto"/>
            </w:tcBorders>
            <w:vAlign w:val="center"/>
          </w:tcPr>
          <w:p w14:paraId="28EE8178" w14:textId="489886D3" w:rsidR="00CD70E1" w:rsidRDefault="00CD70E1" w:rsidP="00294FBD">
            <w:pPr>
              <w:pStyle w:val="Tablecontent"/>
              <w:jc w:val="center"/>
            </w:pPr>
            <w:r>
              <w:t>LTR Content (%)</w:t>
            </w:r>
          </w:p>
        </w:tc>
        <w:tc>
          <w:tcPr>
            <w:tcW w:w="1560" w:type="dxa"/>
            <w:tcBorders>
              <w:top w:val="single" w:sz="4" w:space="0" w:color="auto"/>
              <w:bottom w:val="single" w:sz="4" w:space="0" w:color="auto"/>
            </w:tcBorders>
            <w:vAlign w:val="center"/>
          </w:tcPr>
          <w:p w14:paraId="60E9A5B1" w14:textId="1D548819" w:rsidR="00CD70E1" w:rsidRDefault="00CD70E1" w:rsidP="00294FBD">
            <w:pPr>
              <w:pStyle w:val="Tablecontent"/>
              <w:jc w:val="center"/>
            </w:pPr>
            <w:r>
              <w:t>LTR Content (Mbp)</w:t>
            </w:r>
          </w:p>
        </w:tc>
        <w:tc>
          <w:tcPr>
            <w:tcW w:w="1417" w:type="dxa"/>
            <w:tcBorders>
              <w:top w:val="single" w:sz="4" w:space="0" w:color="auto"/>
              <w:bottom w:val="single" w:sz="4" w:space="0" w:color="auto"/>
            </w:tcBorders>
            <w:vAlign w:val="center"/>
          </w:tcPr>
          <w:p w14:paraId="7E8673FA" w14:textId="0BAA14C7" w:rsidR="00CD70E1" w:rsidRDefault="00CD70E1" w:rsidP="00294FBD">
            <w:pPr>
              <w:pStyle w:val="Tablecontent"/>
              <w:jc w:val="center"/>
            </w:pPr>
            <w:r>
              <w:t># LTR elements</w:t>
            </w:r>
          </w:p>
        </w:tc>
      </w:tr>
      <w:tr w:rsidR="00CD70E1" w14:paraId="23DE4D96" w14:textId="77777777" w:rsidTr="00294FBD">
        <w:trPr>
          <w:jc w:val="center"/>
        </w:trPr>
        <w:tc>
          <w:tcPr>
            <w:tcW w:w="1418" w:type="dxa"/>
            <w:tcBorders>
              <w:top w:val="single" w:sz="4" w:space="0" w:color="auto"/>
            </w:tcBorders>
            <w:vAlign w:val="center"/>
          </w:tcPr>
          <w:p w14:paraId="62F42D5F" w14:textId="77777777" w:rsidR="00CD70E1" w:rsidRDefault="00CD70E1" w:rsidP="00294FBD">
            <w:pPr>
              <w:pStyle w:val="Tablecontent"/>
              <w:jc w:val="center"/>
            </w:pPr>
            <w:r>
              <w:t>Default</w:t>
            </w:r>
          </w:p>
        </w:tc>
        <w:tc>
          <w:tcPr>
            <w:tcW w:w="1559" w:type="dxa"/>
            <w:tcBorders>
              <w:top w:val="single" w:sz="4" w:space="0" w:color="auto"/>
            </w:tcBorders>
          </w:tcPr>
          <w:p w14:paraId="4C7D7F76" w14:textId="77777777" w:rsidR="00CD70E1" w:rsidRDefault="00CD70E1" w:rsidP="00294FBD">
            <w:pPr>
              <w:pStyle w:val="Tablecontent"/>
              <w:jc w:val="center"/>
            </w:pPr>
            <w:r>
              <w:t>6.19</w:t>
            </w:r>
          </w:p>
        </w:tc>
        <w:tc>
          <w:tcPr>
            <w:tcW w:w="1559" w:type="dxa"/>
            <w:tcBorders>
              <w:top w:val="single" w:sz="4" w:space="0" w:color="auto"/>
            </w:tcBorders>
          </w:tcPr>
          <w:p w14:paraId="058FA591" w14:textId="77777777" w:rsidR="00CD70E1" w:rsidRDefault="00CD70E1" w:rsidP="00294FBD">
            <w:pPr>
              <w:pStyle w:val="Tablecontent"/>
              <w:jc w:val="center"/>
            </w:pPr>
            <w:r>
              <w:t>0.13</w:t>
            </w:r>
          </w:p>
        </w:tc>
        <w:tc>
          <w:tcPr>
            <w:tcW w:w="1560" w:type="dxa"/>
            <w:tcBorders>
              <w:top w:val="single" w:sz="4" w:space="0" w:color="auto"/>
            </w:tcBorders>
          </w:tcPr>
          <w:p w14:paraId="72CF5B07" w14:textId="77777777" w:rsidR="00CD70E1" w:rsidRDefault="00CD70E1" w:rsidP="00294FBD">
            <w:pPr>
              <w:pStyle w:val="Tablecontent"/>
              <w:jc w:val="center"/>
            </w:pPr>
            <w:r>
              <w:t>1.34</w:t>
            </w:r>
          </w:p>
        </w:tc>
        <w:tc>
          <w:tcPr>
            <w:tcW w:w="1417" w:type="dxa"/>
            <w:tcBorders>
              <w:top w:val="single" w:sz="4" w:space="0" w:color="auto"/>
            </w:tcBorders>
          </w:tcPr>
          <w:p w14:paraId="17E413F5" w14:textId="77777777" w:rsidR="00CD70E1" w:rsidRDefault="00CD70E1" w:rsidP="00294FBD">
            <w:pPr>
              <w:pStyle w:val="Tablecontent"/>
              <w:jc w:val="center"/>
            </w:pPr>
            <w:r>
              <w:t>2,929</w:t>
            </w:r>
          </w:p>
        </w:tc>
      </w:tr>
      <w:tr w:rsidR="00CD70E1" w14:paraId="276FC52C" w14:textId="77777777" w:rsidTr="00294FBD">
        <w:trPr>
          <w:jc w:val="center"/>
        </w:trPr>
        <w:tc>
          <w:tcPr>
            <w:tcW w:w="1418" w:type="dxa"/>
            <w:vAlign w:val="center"/>
          </w:tcPr>
          <w:p w14:paraId="22533415" w14:textId="77777777" w:rsidR="00CD70E1" w:rsidRDefault="00CD70E1" w:rsidP="00294FBD">
            <w:pPr>
              <w:pStyle w:val="Tablecontent"/>
              <w:jc w:val="center"/>
            </w:pPr>
            <w:r>
              <w:t>Chicken</w:t>
            </w:r>
          </w:p>
        </w:tc>
        <w:tc>
          <w:tcPr>
            <w:tcW w:w="1559" w:type="dxa"/>
          </w:tcPr>
          <w:p w14:paraId="6D01D322" w14:textId="77777777" w:rsidR="00CD70E1" w:rsidRDefault="00CD70E1" w:rsidP="00294FBD">
            <w:pPr>
              <w:pStyle w:val="Tablecontent"/>
              <w:jc w:val="center"/>
            </w:pPr>
            <w:r>
              <w:t>9.96</w:t>
            </w:r>
          </w:p>
        </w:tc>
        <w:tc>
          <w:tcPr>
            <w:tcW w:w="1559" w:type="dxa"/>
          </w:tcPr>
          <w:p w14:paraId="7A0DA075" w14:textId="77777777" w:rsidR="00CD70E1" w:rsidRDefault="00CD70E1" w:rsidP="00294FBD">
            <w:pPr>
              <w:pStyle w:val="Tablecontent"/>
              <w:jc w:val="center"/>
            </w:pPr>
            <w:r>
              <w:t>1.66</w:t>
            </w:r>
          </w:p>
        </w:tc>
        <w:tc>
          <w:tcPr>
            <w:tcW w:w="1560" w:type="dxa"/>
          </w:tcPr>
          <w:p w14:paraId="77D191ED" w14:textId="77777777" w:rsidR="00CD70E1" w:rsidRDefault="00CD70E1" w:rsidP="00294FBD">
            <w:pPr>
              <w:pStyle w:val="Tablecontent"/>
              <w:jc w:val="center"/>
            </w:pPr>
            <w:r>
              <w:t>17.38</w:t>
            </w:r>
          </w:p>
        </w:tc>
        <w:tc>
          <w:tcPr>
            <w:tcW w:w="1417" w:type="dxa"/>
          </w:tcPr>
          <w:p w14:paraId="3DD820D1" w14:textId="77777777" w:rsidR="00CD70E1" w:rsidRDefault="00CD70E1" w:rsidP="00294FBD">
            <w:pPr>
              <w:pStyle w:val="Tablecontent"/>
              <w:jc w:val="center"/>
            </w:pPr>
            <w:r>
              <w:t>32,674</w:t>
            </w:r>
          </w:p>
        </w:tc>
      </w:tr>
      <w:tr w:rsidR="00CD70E1" w14:paraId="190200AB" w14:textId="77777777" w:rsidTr="00294FBD">
        <w:trPr>
          <w:jc w:val="center"/>
        </w:trPr>
        <w:tc>
          <w:tcPr>
            <w:tcW w:w="1418" w:type="dxa"/>
            <w:tcBorders>
              <w:bottom w:val="single" w:sz="4" w:space="0" w:color="auto"/>
            </w:tcBorders>
            <w:vAlign w:val="center"/>
          </w:tcPr>
          <w:p w14:paraId="05EBFB42" w14:textId="77777777" w:rsidR="00CD70E1" w:rsidRDefault="00CD70E1" w:rsidP="00294FBD">
            <w:pPr>
              <w:pStyle w:val="Tablecontent"/>
              <w:jc w:val="center"/>
            </w:pPr>
            <w:r>
              <w:t>Vertebrates</w:t>
            </w:r>
          </w:p>
        </w:tc>
        <w:tc>
          <w:tcPr>
            <w:tcW w:w="1559" w:type="dxa"/>
            <w:tcBorders>
              <w:bottom w:val="single" w:sz="4" w:space="0" w:color="auto"/>
            </w:tcBorders>
          </w:tcPr>
          <w:p w14:paraId="4912D763" w14:textId="77777777" w:rsidR="00CD70E1" w:rsidRDefault="00CD70E1" w:rsidP="00294FBD">
            <w:pPr>
              <w:pStyle w:val="Tablecontent"/>
              <w:jc w:val="center"/>
            </w:pPr>
            <w:r>
              <w:t>10.41</w:t>
            </w:r>
          </w:p>
        </w:tc>
        <w:tc>
          <w:tcPr>
            <w:tcW w:w="1559" w:type="dxa"/>
            <w:tcBorders>
              <w:bottom w:val="single" w:sz="4" w:space="0" w:color="auto"/>
            </w:tcBorders>
          </w:tcPr>
          <w:p w14:paraId="72DDC495" w14:textId="77777777" w:rsidR="00CD70E1" w:rsidRDefault="00CD70E1" w:rsidP="00294FBD">
            <w:pPr>
              <w:pStyle w:val="Tablecontent"/>
              <w:jc w:val="center"/>
            </w:pPr>
            <w:r>
              <w:t>1.78</w:t>
            </w:r>
          </w:p>
        </w:tc>
        <w:tc>
          <w:tcPr>
            <w:tcW w:w="1560" w:type="dxa"/>
            <w:tcBorders>
              <w:bottom w:val="single" w:sz="4" w:space="0" w:color="auto"/>
            </w:tcBorders>
          </w:tcPr>
          <w:p w14:paraId="40CB7D3E" w14:textId="77777777" w:rsidR="00CD70E1" w:rsidRDefault="00CD70E1" w:rsidP="00294FBD">
            <w:pPr>
              <w:pStyle w:val="Tablecontent"/>
              <w:jc w:val="center"/>
            </w:pPr>
            <w:r>
              <w:t>18.64</w:t>
            </w:r>
          </w:p>
        </w:tc>
        <w:tc>
          <w:tcPr>
            <w:tcW w:w="1417" w:type="dxa"/>
            <w:tcBorders>
              <w:bottom w:val="single" w:sz="4" w:space="0" w:color="auto"/>
            </w:tcBorders>
          </w:tcPr>
          <w:p w14:paraId="599089C4" w14:textId="77777777" w:rsidR="00CD70E1" w:rsidRDefault="00CD70E1" w:rsidP="00294FBD">
            <w:pPr>
              <w:pStyle w:val="Tablecontent"/>
              <w:jc w:val="center"/>
            </w:pPr>
            <w:r>
              <w:t>45,223</w:t>
            </w:r>
          </w:p>
        </w:tc>
      </w:tr>
    </w:tbl>
    <w:p w14:paraId="0427ACCC" w14:textId="77777777" w:rsidR="003A53D4" w:rsidRDefault="003A53D4" w:rsidP="00391005">
      <w:pPr>
        <w:pStyle w:val="ListParagraph"/>
      </w:pPr>
    </w:p>
    <w:p w14:paraId="45C89CAF" w14:textId="02B6C9E0" w:rsidR="000224FD" w:rsidRDefault="000224FD" w:rsidP="00391005">
      <w:pPr>
        <w:pStyle w:val="ListParagraph"/>
      </w:pPr>
      <w:r>
        <w:t>Additionally, RM has three built-in sensitivity settings which were tested and compared to the default (</w:t>
      </w:r>
      <w:r w:rsidR="005D2695" w:rsidRPr="005D2695">
        <w:fldChar w:fldCharType="begin" w:fldLock="1"/>
      </w:r>
      <w:r w:rsidR="005D2695" w:rsidRPr="005D2695">
        <w:instrText xml:space="preserve"> REF _Ref477414625 \h  \* MERGEFORMAT </w:instrText>
      </w:r>
      <w:r w:rsidR="005D2695" w:rsidRPr="005D2695">
        <w:fldChar w:fldCharType="separate"/>
      </w:r>
      <w:r w:rsidR="002C549C" w:rsidRPr="00E71235">
        <w:t xml:space="preserve">Table </w:t>
      </w:r>
      <w:r w:rsidR="002C549C">
        <w:rPr>
          <w:noProof/>
        </w:rPr>
        <w:t>3</w:t>
      </w:r>
      <w:r w:rsidR="002C549C" w:rsidRPr="00E71235">
        <w:rPr>
          <w:noProof/>
        </w:rPr>
        <w:t>.</w:t>
      </w:r>
      <w:r w:rsidR="002C549C">
        <w:rPr>
          <w:noProof/>
        </w:rPr>
        <w:t>4</w:t>
      </w:r>
      <w:r w:rsidR="005D2695" w:rsidRPr="005D2695">
        <w:fldChar w:fldCharType="end"/>
      </w:r>
      <w:r>
        <w:t>). As reliable repeat discovery was the aim of this study, rather than genome masking for mapping or gene annotation, the reduction in computational time offered by the ‘q’ and ‘qq’ sensitivity settings did not justify the observed reductions in annotated content. Whilst the ‘s’ (slow/sensitive) setting did identify more LTR retrotransposon-homologous sequence, it was accompanied by a large increase in computational time for relativel</w:t>
      </w:r>
      <w:r w:rsidR="009F0D05">
        <w:t>y little gai</w:t>
      </w:r>
      <w:r w:rsidR="004006D0">
        <w:t>n. RM analyses are used several</w:t>
      </w:r>
      <w:r w:rsidR="009F0D05">
        <w:t xml:space="preserve"> </w:t>
      </w:r>
      <w:r w:rsidR="004006D0">
        <w:t>times in LocaTR so any increase</w:t>
      </w:r>
      <w:r w:rsidR="009F0D05">
        <w:t xml:space="preserve"> to computational time would be multiplied through the process</w:t>
      </w:r>
      <w:r w:rsidR="004006D0">
        <w:t>.</w:t>
      </w:r>
      <w:r w:rsidR="009F0D05">
        <w:t xml:space="preserve"> </w:t>
      </w:r>
      <w:r>
        <w:t>Consequently, all RM analyses were imple</w:t>
      </w:r>
      <w:r w:rsidR="009F0D05">
        <w:t>mented with default sensitivity.</w:t>
      </w:r>
    </w:p>
    <w:p w14:paraId="4478B09E" w14:textId="0FC41262" w:rsidR="003F42BC" w:rsidRDefault="003F42BC" w:rsidP="003F42BC">
      <w:pPr>
        <w:pStyle w:val="Caption"/>
      </w:pPr>
      <w:bookmarkStart w:id="160" w:name="_Ref477414625"/>
      <w:bookmarkStart w:id="161" w:name="_Toc486786304"/>
      <w:r w:rsidRPr="00E71235">
        <w:t xml:space="preserve">Table </w:t>
      </w:r>
      <w:fldSimple w:instr=" STYLEREF 1 \s " w:fldLock="1">
        <w:r w:rsidR="002C549C">
          <w:rPr>
            <w:noProof/>
          </w:rPr>
          <w:t>3</w:t>
        </w:r>
      </w:fldSimple>
      <w:r w:rsidR="001167C6" w:rsidRPr="00E71235">
        <w:t>.</w:t>
      </w:r>
      <w:fldSimple w:instr=" SEQ Table \* ARABIC \s 1 " w:fldLock="1">
        <w:r w:rsidR="002C549C">
          <w:rPr>
            <w:noProof/>
          </w:rPr>
          <w:t>4</w:t>
        </w:r>
      </w:fldSimple>
      <w:bookmarkEnd w:id="160"/>
      <w:r>
        <w:t xml:space="preserve"> The effect of the different RepeatMasker specificity settings on detected LTR retrotransposon content and processing time. The predicted sensitivity and processing time effect from the manual are shown in columns 2 and 3. Increased sensitivity is shown with a ‘+’</w:t>
      </w:r>
      <w:r w:rsidR="00D74A9C">
        <w:t>, and</w:t>
      </w:r>
      <w:r>
        <w:t xml:space="preserve"> decrease with a ‘-‘. Processing time increase is denoted by ‘S’ (for </w:t>
      </w:r>
      <w:r w:rsidR="005615C3">
        <w:t>‘</w:t>
      </w:r>
      <w:r>
        <w:t>slower</w:t>
      </w:r>
      <w:r w:rsidR="005615C3">
        <w:t>’</w:t>
      </w:r>
      <w:r>
        <w:t>) and decrease with ‘F’</w:t>
      </w:r>
      <w:r w:rsidR="005615C3">
        <w:t xml:space="preserve"> (faster)</w:t>
      </w:r>
      <w:r>
        <w:t>.</w:t>
      </w:r>
      <w:bookmarkEnd w:id="161"/>
    </w:p>
    <w:tbl>
      <w:tblPr>
        <w:tblStyle w:val="TableGrid"/>
        <w:tblW w:w="83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1240"/>
        <w:gridCol w:w="1001"/>
        <w:gridCol w:w="1100"/>
        <w:gridCol w:w="1100"/>
        <w:gridCol w:w="1409"/>
        <w:gridCol w:w="1276"/>
      </w:tblGrid>
      <w:tr w:rsidR="004F0F8E" w14:paraId="56A31604" w14:textId="77777777" w:rsidTr="004F0F8E">
        <w:trPr>
          <w:jc w:val="center"/>
        </w:trPr>
        <w:tc>
          <w:tcPr>
            <w:tcW w:w="1238" w:type="dxa"/>
            <w:tcBorders>
              <w:top w:val="single" w:sz="4" w:space="0" w:color="auto"/>
              <w:bottom w:val="single" w:sz="4" w:space="0" w:color="auto"/>
            </w:tcBorders>
            <w:vAlign w:val="center"/>
          </w:tcPr>
          <w:p w14:paraId="10240D9F" w14:textId="77777777" w:rsidR="000224FD" w:rsidRDefault="000224FD" w:rsidP="004F0F8E">
            <w:pPr>
              <w:pStyle w:val="Tablecontent"/>
              <w:jc w:val="center"/>
            </w:pPr>
            <w:r>
              <w:t>Setting</w:t>
            </w:r>
          </w:p>
        </w:tc>
        <w:tc>
          <w:tcPr>
            <w:tcW w:w="1240" w:type="dxa"/>
            <w:tcBorders>
              <w:top w:val="single" w:sz="4" w:space="0" w:color="auto"/>
              <w:left w:val="nil"/>
              <w:bottom w:val="single" w:sz="4" w:space="0" w:color="auto"/>
            </w:tcBorders>
            <w:vAlign w:val="center"/>
          </w:tcPr>
          <w:p w14:paraId="522B3C44" w14:textId="77777777" w:rsidR="000224FD" w:rsidRDefault="000224FD" w:rsidP="004F0F8E">
            <w:pPr>
              <w:pStyle w:val="Tablecontent"/>
              <w:jc w:val="center"/>
            </w:pPr>
            <w:r>
              <w:t>Sensitivity effect</w:t>
            </w:r>
          </w:p>
        </w:tc>
        <w:tc>
          <w:tcPr>
            <w:tcW w:w="1001" w:type="dxa"/>
            <w:tcBorders>
              <w:top w:val="single" w:sz="4" w:space="0" w:color="auto"/>
              <w:bottom w:val="single" w:sz="4" w:space="0" w:color="auto"/>
            </w:tcBorders>
            <w:vAlign w:val="center"/>
          </w:tcPr>
          <w:p w14:paraId="5FB3DCAF" w14:textId="6E10BF05" w:rsidR="000224FD" w:rsidRDefault="000224FD" w:rsidP="004F0F8E">
            <w:pPr>
              <w:pStyle w:val="Tablecontent"/>
              <w:jc w:val="center"/>
            </w:pPr>
            <w:r>
              <w:t>CPU effect</w:t>
            </w:r>
          </w:p>
        </w:tc>
        <w:tc>
          <w:tcPr>
            <w:tcW w:w="1100" w:type="dxa"/>
            <w:tcBorders>
              <w:top w:val="single" w:sz="4" w:space="0" w:color="auto"/>
              <w:left w:val="nil"/>
              <w:bottom w:val="single" w:sz="4" w:space="0" w:color="auto"/>
            </w:tcBorders>
            <w:vAlign w:val="center"/>
          </w:tcPr>
          <w:p w14:paraId="12261991" w14:textId="77777777" w:rsidR="000224FD" w:rsidRDefault="000224FD" w:rsidP="004F0F8E">
            <w:pPr>
              <w:pStyle w:val="Tablecontent"/>
              <w:jc w:val="center"/>
            </w:pPr>
            <w:r>
              <w:t>Content (%)</w:t>
            </w:r>
          </w:p>
        </w:tc>
        <w:tc>
          <w:tcPr>
            <w:tcW w:w="1100" w:type="dxa"/>
            <w:tcBorders>
              <w:top w:val="single" w:sz="4" w:space="0" w:color="auto"/>
              <w:bottom w:val="single" w:sz="4" w:space="0" w:color="auto"/>
            </w:tcBorders>
            <w:vAlign w:val="center"/>
          </w:tcPr>
          <w:p w14:paraId="5AAF8A0B" w14:textId="70D08EAD" w:rsidR="000224FD" w:rsidRDefault="000224FD" w:rsidP="004F0F8E">
            <w:pPr>
              <w:pStyle w:val="Tablecontent"/>
              <w:jc w:val="center"/>
            </w:pPr>
            <w:r>
              <w:t>Content (Mb)</w:t>
            </w:r>
          </w:p>
        </w:tc>
        <w:tc>
          <w:tcPr>
            <w:tcW w:w="1409" w:type="dxa"/>
            <w:tcBorders>
              <w:top w:val="single" w:sz="4" w:space="0" w:color="auto"/>
              <w:bottom w:val="single" w:sz="4" w:space="0" w:color="auto"/>
            </w:tcBorders>
            <w:vAlign w:val="center"/>
          </w:tcPr>
          <w:p w14:paraId="1B4FB4F2" w14:textId="50FD2E97" w:rsidR="000224FD" w:rsidRDefault="004F0F8E" w:rsidP="004F0F8E">
            <w:pPr>
              <w:pStyle w:val="Tablecontent"/>
              <w:jc w:val="center"/>
            </w:pPr>
            <w:r>
              <w:t># e</w:t>
            </w:r>
            <w:r w:rsidR="000224FD">
              <w:t>lements</w:t>
            </w:r>
          </w:p>
        </w:tc>
        <w:tc>
          <w:tcPr>
            <w:tcW w:w="1276" w:type="dxa"/>
            <w:tcBorders>
              <w:top w:val="single" w:sz="4" w:space="0" w:color="auto"/>
              <w:left w:val="nil"/>
              <w:bottom w:val="single" w:sz="4" w:space="0" w:color="auto"/>
            </w:tcBorders>
            <w:vAlign w:val="center"/>
          </w:tcPr>
          <w:p w14:paraId="5BDD5F6F" w14:textId="7D411DF8" w:rsidR="000224FD" w:rsidRDefault="00FC2635" w:rsidP="004F0F8E">
            <w:pPr>
              <w:pStyle w:val="Tablecontent"/>
              <w:jc w:val="center"/>
            </w:pPr>
            <w:r>
              <w:t>CPU time</w:t>
            </w:r>
          </w:p>
        </w:tc>
      </w:tr>
      <w:tr w:rsidR="004F0F8E" w14:paraId="4420762D" w14:textId="77777777" w:rsidTr="004F0F8E">
        <w:trPr>
          <w:jc w:val="center"/>
        </w:trPr>
        <w:tc>
          <w:tcPr>
            <w:tcW w:w="1238" w:type="dxa"/>
            <w:tcBorders>
              <w:top w:val="single" w:sz="4" w:space="0" w:color="auto"/>
            </w:tcBorders>
            <w:vAlign w:val="center"/>
          </w:tcPr>
          <w:p w14:paraId="4990787C" w14:textId="1A109A59" w:rsidR="000224FD" w:rsidRDefault="00E54E76" w:rsidP="004F0F8E">
            <w:pPr>
              <w:pStyle w:val="Tablecontent"/>
              <w:jc w:val="center"/>
            </w:pPr>
            <w:r>
              <w:t>Slow (s)</w:t>
            </w:r>
          </w:p>
        </w:tc>
        <w:tc>
          <w:tcPr>
            <w:tcW w:w="1240" w:type="dxa"/>
            <w:tcBorders>
              <w:top w:val="single" w:sz="4" w:space="0" w:color="auto"/>
              <w:left w:val="nil"/>
            </w:tcBorders>
            <w:vAlign w:val="center"/>
          </w:tcPr>
          <w:p w14:paraId="466B0F81" w14:textId="671DAB95" w:rsidR="000224FD" w:rsidRDefault="000224FD" w:rsidP="004F0F8E">
            <w:pPr>
              <w:pStyle w:val="Tablecontent"/>
              <w:jc w:val="center"/>
            </w:pPr>
            <w:r>
              <w:t>+ 0-5%</w:t>
            </w:r>
          </w:p>
        </w:tc>
        <w:tc>
          <w:tcPr>
            <w:tcW w:w="1001" w:type="dxa"/>
            <w:tcBorders>
              <w:top w:val="single" w:sz="4" w:space="0" w:color="auto"/>
            </w:tcBorders>
            <w:vAlign w:val="center"/>
          </w:tcPr>
          <w:p w14:paraId="143E9544" w14:textId="77777777" w:rsidR="000224FD" w:rsidRDefault="000224FD" w:rsidP="004F0F8E">
            <w:pPr>
              <w:pStyle w:val="Tablecontent"/>
              <w:jc w:val="center"/>
            </w:pPr>
            <w:r>
              <w:t>2-3x S</w:t>
            </w:r>
          </w:p>
        </w:tc>
        <w:tc>
          <w:tcPr>
            <w:tcW w:w="1100" w:type="dxa"/>
            <w:tcBorders>
              <w:top w:val="single" w:sz="4" w:space="0" w:color="auto"/>
              <w:left w:val="nil"/>
            </w:tcBorders>
            <w:vAlign w:val="center"/>
          </w:tcPr>
          <w:p w14:paraId="3FF11D88" w14:textId="77777777" w:rsidR="000224FD" w:rsidRDefault="000224FD" w:rsidP="004F0F8E">
            <w:pPr>
              <w:pStyle w:val="Tablecontent"/>
              <w:jc w:val="center"/>
            </w:pPr>
            <w:r>
              <w:t>1.80</w:t>
            </w:r>
          </w:p>
        </w:tc>
        <w:tc>
          <w:tcPr>
            <w:tcW w:w="1100" w:type="dxa"/>
            <w:tcBorders>
              <w:top w:val="single" w:sz="4" w:space="0" w:color="auto"/>
            </w:tcBorders>
            <w:vAlign w:val="center"/>
          </w:tcPr>
          <w:p w14:paraId="2006BD5B" w14:textId="77777777" w:rsidR="000224FD" w:rsidRDefault="000224FD" w:rsidP="004F0F8E">
            <w:pPr>
              <w:pStyle w:val="Tablecontent"/>
              <w:jc w:val="center"/>
            </w:pPr>
            <w:r>
              <w:t>18.82</w:t>
            </w:r>
          </w:p>
        </w:tc>
        <w:tc>
          <w:tcPr>
            <w:tcW w:w="1409" w:type="dxa"/>
            <w:tcBorders>
              <w:top w:val="single" w:sz="4" w:space="0" w:color="auto"/>
            </w:tcBorders>
            <w:vAlign w:val="center"/>
          </w:tcPr>
          <w:p w14:paraId="3D9B0275" w14:textId="77777777" w:rsidR="000224FD" w:rsidRDefault="000224FD" w:rsidP="004F0F8E">
            <w:pPr>
              <w:pStyle w:val="Tablecontent"/>
              <w:jc w:val="center"/>
            </w:pPr>
            <w:r>
              <w:t>46,663</w:t>
            </w:r>
          </w:p>
        </w:tc>
        <w:tc>
          <w:tcPr>
            <w:tcW w:w="1276" w:type="dxa"/>
            <w:tcBorders>
              <w:top w:val="single" w:sz="4" w:space="0" w:color="auto"/>
              <w:left w:val="nil"/>
            </w:tcBorders>
            <w:vAlign w:val="center"/>
          </w:tcPr>
          <w:p w14:paraId="7EBA1765" w14:textId="77777777" w:rsidR="000224FD" w:rsidRDefault="000224FD" w:rsidP="004F0F8E">
            <w:pPr>
              <w:pStyle w:val="Tablecontent"/>
              <w:jc w:val="center"/>
            </w:pPr>
            <w:r>
              <w:t>&gt;10 days</w:t>
            </w:r>
          </w:p>
        </w:tc>
      </w:tr>
      <w:tr w:rsidR="004F0F8E" w14:paraId="62EFB444" w14:textId="77777777" w:rsidTr="004F0F8E">
        <w:trPr>
          <w:jc w:val="center"/>
        </w:trPr>
        <w:tc>
          <w:tcPr>
            <w:tcW w:w="1238" w:type="dxa"/>
            <w:vAlign w:val="center"/>
          </w:tcPr>
          <w:p w14:paraId="2C62792F" w14:textId="77777777" w:rsidR="000224FD" w:rsidRDefault="000224FD" w:rsidP="004F0F8E">
            <w:pPr>
              <w:pStyle w:val="Tablecontent"/>
              <w:jc w:val="center"/>
            </w:pPr>
            <w:r>
              <w:t>Default</w:t>
            </w:r>
          </w:p>
        </w:tc>
        <w:tc>
          <w:tcPr>
            <w:tcW w:w="1240" w:type="dxa"/>
            <w:tcBorders>
              <w:left w:val="nil"/>
            </w:tcBorders>
            <w:vAlign w:val="center"/>
          </w:tcPr>
          <w:p w14:paraId="58CFDBEF" w14:textId="77777777" w:rsidR="000224FD" w:rsidRDefault="000224FD" w:rsidP="004F0F8E">
            <w:pPr>
              <w:pStyle w:val="Tablecontent"/>
              <w:jc w:val="center"/>
            </w:pPr>
            <w:r>
              <w:t>0</w:t>
            </w:r>
          </w:p>
        </w:tc>
        <w:tc>
          <w:tcPr>
            <w:tcW w:w="1001" w:type="dxa"/>
            <w:vAlign w:val="center"/>
          </w:tcPr>
          <w:p w14:paraId="39355430" w14:textId="77777777" w:rsidR="000224FD" w:rsidRDefault="000224FD" w:rsidP="004F0F8E">
            <w:pPr>
              <w:pStyle w:val="Tablecontent"/>
              <w:jc w:val="center"/>
            </w:pPr>
            <w:r>
              <w:t>0</w:t>
            </w:r>
          </w:p>
        </w:tc>
        <w:tc>
          <w:tcPr>
            <w:tcW w:w="1100" w:type="dxa"/>
            <w:tcBorders>
              <w:left w:val="nil"/>
            </w:tcBorders>
            <w:vAlign w:val="center"/>
          </w:tcPr>
          <w:p w14:paraId="4DEB92A6" w14:textId="77777777" w:rsidR="000224FD" w:rsidRDefault="000224FD" w:rsidP="004F0F8E">
            <w:pPr>
              <w:pStyle w:val="Tablecontent"/>
              <w:jc w:val="center"/>
            </w:pPr>
            <w:r>
              <w:t>1.78</w:t>
            </w:r>
          </w:p>
        </w:tc>
        <w:tc>
          <w:tcPr>
            <w:tcW w:w="1100" w:type="dxa"/>
            <w:vAlign w:val="center"/>
          </w:tcPr>
          <w:p w14:paraId="6165C2A5" w14:textId="77777777" w:rsidR="000224FD" w:rsidRDefault="000224FD" w:rsidP="004F0F8E">
            <w:pPr>
              <w:pStyle w:val="Tablecontent"/>
              <w:jc w:val="center"/>
            </w:pPr>
            <w:r>
              <w:t>18.64</w:t>
            </w:r>
          </w:p>
        </w:tc>
        <w:tc>
          <w:tcPr>
            <w:tcW w:w="1409" w:type="dxa"/>
            <w:vAlign w:val="center"/>
          </w:tcPr>
          <w:p w14:paraId="17E913B4" w14:textId="77777777" w:rsidR="000224FD" w:rsidRDefault="000224FD" w:rsidP="004F0F8E">
            <w:pPr>
              <w:pStyle w:val="Tablecontent"/>
              <w:jc w:val="center"/>
            </w:pPr>
            <w:r>
              <w:t>45,223</w:t>
            </w:r>
          </w:p>
        </w:tc>
        <w:tc>
          <w:tcPr>
            <w:tcW w:w="1276" w:type="dxa"/>
            <w:tcBorders>
              <w:left w:val="nil"/>
            </w:tcBorders>
            <w:vAlign w:val="center"/>
          </w:tcPr>
          <w:p w14:paraId="63A5991C" w14:textId="77777777" w:rsidR="000224FD" w:rsidRDefault="000224FD" w:rsidP="004F0F8E">
            <w:pPr>
              <w:pStyle w:val="Tablecontent"/>
              <w:jc w:val="center"/>
            </w:pPr>
            <w:r>
              <w:t>2.5 days</w:t>
            </w:r>
          </w:p>
        </w:tc>
      </w:tr>
      <w:tr w:rsidR="004F0F8E" w14:paraId="22E7415B" w14:textId="77777777" w:rsidTr="004F0F8E">
        <w:trPr>
          <w:jc w:val="center"/>
        </w:trPr>
        <w:tc>
          <w:tcPr>
            <w:tcW w:w="1238" w:type="dxa"/>
            <w:vAlign w:val="center"/>
          </w:tcPr>
          <w:p w14:paraId="20E38087" w14:textId="3BE48ADA" w:rsidR="000224FD" w:rsidRDefault="00E54E76" w:rsidP="004F0F8E">
            <w:pPr>
              <w:pStyle w:val="Tablecontent"/>
              <w:jc w:val="center"/>
            </w:pPr>
            <w:r>
              <w:t>Quick (q)</w:t>
            </w:r>
          </w:p>
        </w:tc>
        <w:tc>
          <w:tcPr>
            <w:tcW w:w="1240" w:type="dxa"/>
            <w:tcBorders>
              <w:left w:val="nil"/>
            </w:tcBorders>
            <w:vAlign w:val="center"/>
          </w:tcPr>
          <w:p w14:paraId="52C67D21" w14:textId="77777777" w:rsidR="000224FD" w:rsidRDefault="000224FD" w:rsidP="004F0F8E">
            <w:pPr>
              <w:pStyle w:val="Tablecontent"/>
              <w:jc w:val="center"/>
            </w:pPr>
            <w:r>
              <w:t>- 5-10%</w:t>
            </w:r>
          </w:p>
        </w:tc>
        <w:tc>
          <w:tcPr>
            <w:tcW w:w="1001" w:type="dxa"/>
            <w:vAlign w:val="center"/>
          </w:tcPr>
          <w:p w14:paraId="23BB3CC6" w14:textId="77777777" w:rsidR="000224FD" w:rsidRDefault="000224FD" w:rsidP="004F0F8E">
            <w:pPr>
              <w:pStyle w:val="Tablecontent"/>
              <w:jc w:val="center"/>
            </w:pPr>
            <w:r>
              <w:t>2-5x F</w:t>
            </w:r>
          </w:p>
        </w:tc>
        <w:tc>
          <w:tcPr>
            <w:tcW w:w="1100" w:type="dxa"/>
            <w:tcBorders>
              <w:left w:val="nil"/>
            </w:tcBorders>
            <w:vAlign w:val="center"/>
          </w:tcPr>
          <w:p w14:paraId="61172CFA" w14:textId="77777777" w:rsidR="000224FD" w:rsidRDefault="000224FD" w:rsidP="004F0F8E">
            <w:pPr>
              <w:pStyle w:val="Tablecontent"/>
              <w:jc w:val="center"/>
            </w:pPr>
            <w:r>
              <w:t>1.74</w:t>
            </w:r>
          </w:p>
        </w:tc>
        <w:tc>
          <w:tcPr>
            <w:tcW w:w="1100" w:type="dxa"/>
            <w:vAlign w:val="center"/>
          </w:tcPr>
          <w:p w14:paraId="512563BD" w14:textId="77777777" w:rsidR="000224FD" w:rsidRDefault="000224FD" w:rsidP="004F0F8E">
            <w:pPr>
              <w:pStyle w:val="Tablecontent"/>
              <w:jc w:val="center"/>
            </w:pPr>
            <w:r>
              <w:t>18.17</w:t>
            </w:r>
          </w:p>
        </w:tc>
        <w:tc>
          <w:tcPr>
            <w:tcW w:w="1409" w:type="dxa"/>
            <w:vAlign w:val="center"/>
          </w:tcPr>
          <w:p w14:paraId="2270193C" w14:textId="77777777" w:rsidR="000224FD" w:rsidRDefault="000224FD" w:rsidP="004F0F8E">
            <w:pPr>
              <w:pStyle w:val="Tablecontent"/>
              <w:jc w:val="center"/>
            </w:pPr>
            <w:r>
              <w:t>41,902</w:t>
            </w:r>
          </w:p>
        </w:tc>
        <w:tc>
          <w:tcPr>
            <w:tcW w:w="1276" w:type="dxa"/>
            <w:tcBorders>
              <w:left w:val="nil"/>
            </w:tcBorders>
            <w:vAlign w:val="center"/>
          </w:tcPr>
          <w:p w14:paraId="4184E8E4" w14:textId="77777777" w:rsidR="000224FD" w:rsidRDefault="000224FD" w:rsidP="004F0F8E">
            <w:pPr>
              <w:pStyle w:val="Tablecontent"/>
              <w:jc w:val="center"/>
            </w:pPr>
            <w:r>
              <w:t>1.5 days</w:t>
            </w:r>
          </w:p>
        </w:tc>
      </w:tr>
      <w:tr w:rsidR="004F0F8E" w14:paraId="66B35DCD" w14:textId="77777777" w:rsidTr="004F0F8E">
        <w:trPr>
          <w:jc w:val="center"/>
        </w:trPr>
        <w:tc>
          <w:tcPr>
            <w:tcW w:w="1238" w:type="dxa"/>
            <w:tcBorders>
              <w:bottom w:val="single" w:sz="4" w:space="0" w:color="auto"/>
            </w:tcBorders>
            <w:vAlign w:val="center"/>
          </w:tcPr>
          <w:p w14:paraId="1CC30153" w14:textId="0547E573" w:rsidR="000224FD" w:rsidRDefault="00E54E76" w:rsidP="004F0F8E">
            <w:pPr>
              <w:pStyle w:val="Tablecontent"/>
              <w:jc w:val="center"/>
            </w:pPr>
            <w:r>
              <w:t>Rush (qq)</w:t>
            </w:r>
          </w:p>
        </w:tc>
        <w:tc>
          <w:tcPr>
            <w:tcW w:w="1240" w:type="dxa"/>
            <w:tcBorders>
              <w:left w:val="nil"/>
              <w:bottom w:val="single" w:sz="4" w:space="0" w:color="auto"/>
            </w:tcBorders>
            <w:vAlign w:val="center"/>
          </w:tcPr>
          <w:p w14:paraId="001688A6" w14:textId="77777777" w:rsidR="000224FD" w:rsidRDefault="000224FD" w:rsidP="004F0F8E">
            <w:pPr>
              <w:pStyle w:val="Tablecontent"/>
              <w:jc w:val="center"/>
            </w:pPr>
            <w:r>
              <w:t>- 10%</w:t>
            </w:r>
          </w:p>
        </w:tc>
        <w:tc>
          <w:tcPr>
            <w:tcW w:w="1001" w:type="dxa"/>
            <w:tcBorders>
              <w:bottom w:val="single" w:sz="4" w:space="0" w:color="auto"/>
            </w:tcBorders>
            <w:vAlign w:val="center"/>
          </w:tcPr>
          <w:p w14:paraId="7B850452" w14:textId="77777777" w:rsidR="000224FD" w:rsidRDefault="000224FD" w:rsidP="004F0F8E">
            <w:pPr>
              <w:pStyle w:val="Tablecontent"/>
              <w:jc w:val="center"/>
            </w:pPr>
            <w:r>
              <w:t>4-10x F</w:t>
            </w:r>
          </w:p>
        </w:tc>
        <w:tc>
          <w:tcPr>
            <w:tcW w:w="1100" w:type="dxa"/>
            <w:tcBorders>
              <w:left w:val="nil"/>
              <w:bottom w:val="single" w:sz="4" w:space="0" w:color="auto"/>
            </w:tcBorders>
            <w:vAlign w:val="center"/>
          </w:tcPr>
          <w:p w14:paraId="3903AA96" w14:textId="77777777" w:rsidR="000224FD" w:rsidRDefault="000224FD" w:rsidP="004F0F8E">
            <w:pPr>
              <w:pStyle w:val="Tablecontent"/>
              <w:jc w:val="center"/>
            </w:pPr>
            <w:r>
              <w:t>1.66</w:t>
            </w:r>
          </w:p>
        </w:tc>
        <w:tc>
          <w:tcPr>
            <w:tcW w:w="1100" w:type="dxa"/>
            <w:tcBorders>
              <w:bottom w:val="single" w:sz="4" w:space="0" w:color="auto"/>
            </w:tcBorders>
            <w:vAlign w:val="center"/>
          </w:tcPr>
          <w:p w14:paraId="5CB41A3A" w14:textId="77777777" w:rsidR="000224FD" w:rsidRDefault="000224FD" w:rsidP="004F0F8E">
            <w:pPr>
              <w:pStyle w:val="Tablecontent"/>
              <w:jc w:val="center"/>
            </w:pPr>
            <w:r>
              <w:t>17.43</w:t>
            </w:r>
          </w:p>
        </w:tc>
        <w:tc>
          <w:tcPr>
            <w:tcW w:w="1409" w:type="dxa"/>
            <w:tcBorders>
              <w:bottom w:val="single" w:sz="4" w:space="0" w:color="auto"/>
            </w:tcBorders>
            <w:vAlign w:val="center"/>
          </w:tcPr>
          <w:p w14:paraId="045F05D4" w14:textId="77777777" w:rsidR="000224FD" w:rsidRDefault="000224FD" w:rsidP="004F0F8E">
            <w:pPr>
              <w:pStyle w:val="Tablecontent"/>
              <w:jc w:val="center"/>
            </w:pPr>
            <w:r>
              <w:t>37,998</w:t>
            </w:r>
          </w:p>
        </w:tc>
        <w:tc>
          <w:tcPr>
            <w:tcW w:w="1276" w:type="dxa"/>
            <w:tcBorders>
              <w:left w:val="nil"/>
              <w:bottom w:val="single" w:sz="4" w:space="0" w:color="auto"/>
            </w:tcBorders>
            <w:vAlign w:val="center"/>
          </w:tcPr>
          <w:p w14:paraId="4C6F58ED" w14:textId="77777777" w:rsidR="000224FD" w:rsidRDefault="000224FD" w:rsidP="004F0F8E">
            <w:pPr>
              <w:pStyle w:val="Tablecontent"/>
              <w:jc w:val="center"/>
            </w:pPr>
            <w:r>
              <w:t>0.5 days</w:t>
            </w:r>
          </w:p>
        </w:tc>
      </w:tr>
    </w:tbl>
    <w:p w14:paraId="1EC74495" w14:textId="13B48674" w:rsidR="000224FD" w:rsidRDefault="000224FD" w:rsidP="00225A12">
      <w:pPr>
        <w:rPr>
          <w:rFonts w:ascii="Baskerville Old Face" w:hAnsi="Baskerville Old Face"/>
          <w:sz w:val="24"/>
        </w:rPr>
      </w:pPr>
    </w:p>
    <w:p w14:paraId="0F96CC3D" w14:textId="77777777" w:rsidR="0058468D" w:rsidRDefault="0058468D" w:rsidP="00225A12">
      <w:pPr>
        <w:rPr>
          <w:rFonts w:ascii="Baskerville Old Face" w:hAnsi="Baskerville Old Face"/>
          <w:sz w:val="24"/>
        </w:rPr>
      </w:pPr>
    </w:p>
    <w:p w14:paraId="253EB50A" w14:textId="774BC636" w:rsidR="000224FD" w:rsidRDefault="000224FD" w:rsidP="000224FD">
      <w:pPr>
        <w:pStyle w:val="Heading4"/>
      </w:pPr>
      <w:r>
        <w:lastRenderedPageBreak/>
        <w:t>LTR_STRUC</w:t>
      </w:r>
    </w:p>
    <w:p w14:paraId="4C9C0CE0" w14:textId="1802B3A5" w:rsidR="00D57D0F" w:rsidRDefault="000A4E74" w:rsidP="00391005">
      <w:pPr>
        <w:pStyle w:val="ListParagraph"/>
      </w:pPr>
      <w:r>
        <w:t>The ten optional LS</w:t>
      </w:r>
      <w:r w:rsidR="002F16FD">
        <w:t xml:space="preserve"> sensitivity settings had a marked impact on the number of identified elements</w:t>
      </w:r>
      <w:r w:rsidR="00637F94">
        <w:t>, the false positive rate,</w:t>
      </w:r>
      <w:r w:rsidR="002F16FD">
        <w:t xml:space="preserve"> and the processing time for each analysis</w:t>
      </w:r>
      <w:r w:rsidR="00E71235">
        <w:t xml:space="preserve"> during preliminary analysis of chromosomes 1 and Z</w:t>
      </w:r>
      <w:r w:rsidR="001608A9">
        <w:t xml:space="preserve"> (</w:t>
      </w:r>
      <w:r w:rsidR="001608A9" w:rsidRPr="001608A9">
        <w:fldChar w:fldCharType="begin" w:fldLock="1"/>
      </w:r>
      <w:r w:rsidR="001608A9" w:rsidRPr="001608A9">
        <w:instrText xml:space="preserve"> REF _Ref477419265 \h  \* MERGEFORMAT </w:instrText>
      </w:r>
      <w:r w:rsidR="001608A9" w:rsidRPr="001608A9">
        <w:fldChar w:fldCharType="separate"/>
      </w:r>
      <w:r w:rsidR="002C549C" w:rsidRPr="00E71235">
        <w:t xml:space="preserve">Table </w:t>
      </w:r>
      <w:r w:rsidR="002C549C">
        <w:rPr>
          <w:noProof/>
        </w:rPr>
        <w:t>3</w:t>
      </w:r>
      <w:r w:rsidR="002C549C" w:rsidRPr="00E71235">
        <w:rPr>
          <w:noProof/>
        </w:rPr>
        <w:t>.</w:t>
      </w:r>
      <w:r w:rsidR="002C549C">
        <w:rPr>
          <w:noProof/>
        </w:rPr>
        <w:t>5</w:t>
      </w:r>
      <w:r w:rsidR="001608A9" w:rsidRPr="001608A9">
        <w:fldChar w:fldCharType="end"/>
      </w:r>
      <w:r w:rsidR="002F16FD">
        <w:t xml:space="preserve">). Additional elements with feature support were identified </w:t>
      </w:r>
      <w:r w:rsidR="00D57D0F">
        <w:t>at</w:t>
      </w:r>
      <w:r w:rsidR="002F16FD">
        <w:t xml:space="preserve"> each sensitivity setting, but the processing time </w:t>
      </w:r>
      <w:r w:rsidR="008A3B1F">
        <w:t>increased</w:t>
      </w:r>
      <w:r w:rsidR="002F16FD">
        <w:t xml:space="preserve"> by a factor of 1.5-2.5 for each higher setting. </w:t>
      </w:r>
      <w:r w:rsidR="008A3B1F">
        <w:t>However, as the highest setting</w:t>
      </w:r>
      <w:r w:rsidR="002F16FD">
        <w:t xml:space="preserve"> still i</w:t>
      </w:r>
      <w:r w:rsidR="008A3B1F">
        <w:t>dentified</w:t>
      </w:r>
      <w:r w:rsidR="002F16FD">
        <w:t xml:space="preserve"> confirmed new LTR retrotransposons</w:t>
      </w:r>
      <w:r w:rsidR="008A3B1F">
        <w:t xml:space="preserve">, setting 1 was used for all further LS analyses. </w:t>
      </w:r>
      <w:r w:rsidR="00D57D0F">
        <w:t xml:space="preserve">On both </w:t>
      </w:r>
      <w:r w:rsidR="00E71235">
        <w:t>chromosomes,</w:t>
      </w:r>
      <w:r w:rsidR="00D57D0F">
        <w:t xml:space="preserve"> confirmed elements were significantly younger, based on LTR identity, than the identified false positives (t = 6.80, p &lt; 0.0001). The lengths of the confirmed elements were also significantly shorter than the identified false positives on chromosome 1 (t = -3.43, p = 0.0006), but th</w:t>
      </w:r>
      <w:r w:rsidR="00E71235">
        <w:t>ere was no difference on the Z chromosome.</w:t>
      </w:r>
    </w:p>
    <w:p w14:paraId="797C5F02" w14:textId="67E201D0" w:rsidR="00637F94" w:rsidRDefault="002F16FD" w:rsidP="00391005">
      <w:pPr>
        <w:pStyle w:val="ListParagraph"/>
      </w:pPr>
      <w:r>
        <w:t>This preliminary work also identified that the ‘default’</w:t>
      </w:r>
      <w:r w:rsidR="008A3B1F">
        <w:t xml:space="preserve"> sensitivity setting wa</w:t>
      </w:r>
      <w:r>
        <w:t>s the same as sensitivity setting 4</w:t>
      </w:r>
      <w:r w:rsidR="008A3B1F">
        <w:t>, a piece of information which had been lost to the program curators</w:t>
      </w:r>
      <w:r>
        <w:t>.</w:t>
      </w:r>
      <w:r w:rsidR="00637F94">
        <w:t xml:space="preserve"> </w:t>
      </w:r>
    </w:p>
    <w:p w14:paraId="646C6B3E" w14:textId="0F94E3D7" w:rsidR="005A7E89" w:rsidRDefault="005A7E89" w:rsidP="005A7E89">
      <w:pPr>
        <w:pStyle w:val="Caption"/>
      </w:pPr>
      <w:bookmarkStart w:id="162" w:name="_Ref477419265"/>
      <w:bookmarkStart w:id="163" w:name="_Toc486786305"/>
      <w:r w:rsidRPr="00E71235">
        <w:t xml:space="preserve">Table </w:t>
      </w:r>
      <w:fldSimple w:instr=" STYLEREF 1 \s " w:fldLock="1">
        <w:r w:rsidR="002C549C">
          <w:rPr>
            <w:noProof/>
          </w:rPr>
          <w:t>3</w:t>
        </w:r>
      </w:fldSimple>
      <w:r w:rsidR="001167C6" w:rsidRPr="00E71235">
        <w:t>.</w:t>
      </w:r>
      <w:fldSimple w:instr=" SEQ Table \* ARABIC \s 1 " w:fldLock="1">
        <w:r w:rsidR="002C549C">
          <w:rPr>
            <w:noProof/>
          </w:rPr>
          <w:t>5</w:t>
        </w:r>
      </w:fldSimple>
      <w:bookmarkEnd w:id="162"/>
      <w:r w:rsidR="00EF007A">
        <w:t xml:space="preserve"> Sensitivity testing with LTR_STRUC</w:t>
      </w:r>
      <w:r w:rsidR="00E71235">
        <w:t xml:space="preserve"> using Galgal4 chromosome 1 and Z</w:t>
      </w:r>
      <w:r w:rsidR="00EF007A">
        <w:t>.</w:t>
      </w:r>
      <w:bookmarkEnd w:id="163"/>
    </w:p>
    <w:tbl>
      <w:tblPr>
        <w:tblStyle w:val="TableGrid"/>
        <w:tblW w:w="66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1276"/>
        <w:gridCol w:w="1276"/>
        <w:gridCol w:w="1275"/>
        <w:gridCol w:w="1560"/>
      </w:tblGrid>
      <w:tr w:rsidR="008A3B1F" w14:paraId="7A7DEA7C" w14:textId="77777777" w:rsidTr="0086259D">
        <w:trPr>
          <w:trHeight w:val="842"/>
          <w:jc w:val="center"/>
        </w:trPr>
        <w:tc>
          <w:tcPr>
            <w:tcW w:w="1276" w:type="dxa"/>
            <w:tcBorders>
              <w:top w:val="single" w:sz="4" w:space="0" w:color="auto"/>
              <w:bottom w:val="single" w:sz="4" w:space="0" w:color="auto"/>
            </w:tcBorders>
            <w:vAlign w:val="center"/>
          </w:tcPr>
          <w:p w14:paraId="26C8631F" w14:textId="6785D7EE" w:rsidR="008A3B1F" w:rsidRDefault="008A3B1F" w:rsidP="005A7E89">
            <w:pPr>
              <w:pStyle w:val="Tablecontent"/>
              <w:jc w:val="center"/>
            </w:pPr>
            <w:r>
              <w:t>Sensitivity setting</w:t>
            </w:r>
          </w:p>
        </w:tc>
        <w:tc>
          <w:tcPr>
            <w:tcW w:w="1276" w:type="dxa"/>
            <w:tcBorders>
              <w:top w:val="single" w:sz="4" w:space="0" w:color="auto"/>
              <w:bottom w:val="single" w:sz="4" w:space="0" w:color="auto"/>
            </w:tcBorders>
            <w:vAlign w:val="center"/>
          </w:tcPr>
          <w:p w14:paraId="708F67C9" w14:textId="4E37AFBE" w:rsidR="008A3B1F" w:rsidRDefault="008A3B1F" w:rsidP="005A7E89">
            <w:pPr>
              <w:pStyle w:val="Tablecontent"/>
              <w:jc w:val="center"/>
            </w:pPr>
            <w:r>
              <w:t>Processing time (mins)</w:t>
            </w:r>
          </w:p>
        </w:tc>
        <w:tc>
          <w:tcPr>
            <w:tcW w:w="1276" w:type="dxa"/>
            <w:tcBorders>
              <w:top w:val="single" w:sz="4" w:space="0" w:color="auto"/>
              <w:bottom w:val="single" w:sz="4" w:space="0" w:color="auto"/>
            </w:tcBorders>
            <w:vAlign w:val="center"/>
          </w:tcPr>
          <w:p w14:paraId="488D8DD1" w14:textId="4EDDCD10" w:rsidR="008A3B1F" w:rsidRDefault="008A3B1F" w:rsidP="005A7E89">
            <w:pPr>
              <w:pStyle w:val="Tablecontent"/>
              <w:jc w:val="center"/>
            </w:pPr>
            <w:r>
              <w:t>Identified elements</w:t>
            </w:r>
          </w:p>
        </w:tc>
        <w:tc>
          <w:tcPr>
            <w:tcW w:w="1275" w:type="dxa"/>
            <w:tcBorders>
              <w:top w:val="single" w:sz="4" w:space="0" w:color="auto"/>
              <w:bottom w:val="single" w:sz="4" w:space="0" w:color="auto"/>
            </w:tcBorders>
            <w:vAlign w:val="center"/>
          </w:tcPr>
          <w:p w14:paraId="7986783E" w14:textId="6B2846A3" w:rsidR="008A3B1F" w:rsidRDefault="008A3B1F" w:rsidP="005A7E89">
            <w:pPr>
              <w:pStyle w:val="Tablecontent"/>
              <w:jc w:val="center"/>
            </w:pPr>
            <w:r>
              <w:t>Confirmed elements</w:t>
            </w:r>
          </w:p>
        </w:tc>
        <w:tc>
          <w:tcPr>
            <w:tcW w:w="1560" w:type="dxa"/>
            <w:tcBorders>
              <w:top w:val="single" w:sz="4" w:space="0" w:color="auto"/>
              <w:bottom w:val="single" w:sz="4" w:space="0" w:color="auto"/>
            </w:tcBorders>
            <w:vAlign w:val="center"/>
          </w:tcPr>
          <w:p w14:paraId="36BFE340" w14:textId="43F8B470" w:rsidR="008A3B1F" w:rsidRDefault="008A3B1F" w:rsidP="005A7E89">
            <w:pPr>
              <w:pStyle w:val="Tablecontent"/>
              <w:jc w:val="center"/>
            </w:pPr>
            <w:r>
              <w:t>False positive rate (%)</w:t>
            </w:r>
          </w:p>
        </w:tc>
      </w:tr>
      <w:tr w:rsidR="00637F94" w14:paraId="467E162C" w14:textId="77777777" w:rsidTr="0086259D">
        <w:trPr>
          <w:jc w:val="center"/>
        </w:trPr>
        <w:tc>
          <w:tcPr>
            <w:tcW w:w="1276" w:type="dxa"/>
            <w:tcBorders>
              <w:top w:val="single" w:sz="4" w:space="0" w:color="auto"/>
            </w:tcBorders>
          </w:tcPr>
          <w:p w14:paraId="4B9987E3" w14:textId="29A1ED25" w:rsidR="00637F94" w:rsidRDefault="00637F94" w:rsidP="005A7E89">
            <w:pPr>
              <w:pStyle w:val="Tablecontent"/>
              <w:jc w:val="center"/>
            </w:pPr>
            <w:r w:rsidRPr="00600FBC">
              <w:t>1</w:t>
            </w:r>
          </w:p>
        </w:tc>
        <w:tc>
          <w:tcPr>
            <w:tcW w:w="1276" w:type="dxa"/>
            <w:tcBorders>
              <w:top w:val="single" w:sz="4" w:space="0" w:color="auto"/>
              <w:left w:val="nil"/>
            </w:tcBorders>
          </w:tcPr>
          <w:p w14:paraId="5BFEFE95" w14:textId="34F7CE1A" w:rsidR="00637F94" w:rsidRPr="008A3B1F" w:rsidRDefault="00637F94" w:rsidP="005A7E89">
            <w:pPr>
              <w:pStyle w:val="Tablecontent"/>
              <w:jc w:val="center"/>
              <w:rPr>
                <w:highlight w:val="yellow"/>
              </w:rPr>
            </w:pPr>
            <w:r w:rsidRPr="00600FBC">
              <w:t>2</w:t>
            </w:r>
            <w:r w:rsidR="004D12C9">
              <w:t>,</w:t>
            </w:r>
            <w:r w:rsidRPr="00600FBC">
              <w:t>523.45</w:t>
            </w:r>
          </w:p>
        </w:tc>
        <w:tc>
          <w:tcPr>
            <w:tcW w:w="1276" w:type="dxa"/>
            <w:tcBorders>
              <w:top w:val="single" w:sz="4" w:space="0" w:color="auto"/>
            </w:tcBorders>
          </w:tcPr>
          <w:p w14:paraId="60798247" w14:textId="369DF21A" w:rsidR="00637F94" w:rsidRPr="00E70CBB" w:rsidRDefault="00637F94" w:rsidP="005A7E89">
            <w:pPr>
              <w:pStyle w:val="Tablecontent"/>
              <w:jc w:val="center"/>
              <w:rPr>
                <w:highlight w:val="yellow"/>
              </w:rPr>
            </w:pPr>
            <w:r w:rsidRPr="00600FBC">
              <w:t>101</w:t>
            </w:r>
          </w:p>
        </w:tc>
        <w:tc>
          <w:tcPr>
            <w:tcW w:w="1275" w:type="dxa"/>
            <w:tcBorders>
              <w:top w:val="single" w:sz="4" w:space="0" w:color="auto"/>
            </w:tcBorders>
          </w:tcPr>
          <w:p w14:paraId="3087CA11" w14:textId="645DB353" w:rsidR="00637F94" w:rsidRDefault="00637F94" w:rsidP="005A7E89">
            <w:pPr>
              <w:pStyle w:val="Tablecontent"/>
              <w:jc w:val="center"/>
            </w:pPr>
            <w:r w:rsidRPr="00600FBC">
              <w:t>46</w:t>
            </w:r>
          </w:p>
        </w:tc>
        <w:tc>
          <w:tcPr>
            <w:tcW w:w="1560" w:type="dxa"/>
            <w:tcBorders>
              <w:top w:val="single" w:sz="4" w:space="0" w:color="auto"/>
            </w:tcBorders>
          </w:tcPr>
          <w:p w14:paraId="645FB3B5" w14:textId="79B555DC" w:rsidR="00637F94" w:rsidRDefault="00637F94" w:rsidP="005A7E89">
            <w:pPr>
              <w:pStyle w:val="Tablecontent"/>
              <w:jc w:val="center"/>
            </w:pPr>
            <w:r w:rsidRPr="00600FBC">
              <w:t>54.4</w:t>
            </w:r>
          </w:p>
        </w:tc>
      </w:tr>
      <w:tr w:rsidR="00637F94" w14:paraId="583913D9" w14:textId="77777777" w:rsidTr="0086259D">
        <w:trPr>
          <w:jc w:val="center"/>
        </w:trPr>
        <w:tc>
          <w:tcPr>
            <w:tcW w:w="1276" w:type="dxa"/>
          </w:tcPr>
          <w:p w14:paraId="6E2573A4" w14:textId="255F8D46" w:rsidR="00637F94" w:rsidRDefault="00637F94" w:rsidP="005A7E89">
            <w:pPr>
              <w:pStyle w:val="Tablecontent"/>
              <w:jc w:val="center"/>
            </w:pPr>
            <w:r w:rsidRPr="00600FBC">
              <w:t>2</w:t>
            </w:r>
          </w:p>
        </w:tc>
        <w:tc>
          <w:tcPr>
            <w:tcW w:w="1276" w:type="dxa"/>
            <w:tcBorders>
              <w:left w:val="nil"/>
            </w:tcBorders>
          </w:tcPr>
          <w:p w14:paraId="2DD25CBB" w14:textId="4601FE86" w:rsidR="00637F94" w:rsidRPr="008A3B1F" w:rsidRDefault="00637F94" w:rsidP="005A7E89">
            <w:pPr>
              <w:pStyle w:val="Tablecontent"/>
              <w:jc w:val="center"/>
            </w:pPr>
            <w:r w:rsidRPr="00600FBC">
              <w:t>1</w:t>
            </w:r>
            <w:r w:rsidR="004D12C9">
              <w:t>,</w:t>
            </w:r>
            <w:r w:rsidRPr="00600FBC">
              <w:t>286.13</w:t>
            </w:r>
          </w:p>
        </w:tc>
        <w:tc>
          <w:tcPr>
            <w:tcW w:w="1276" w:type="dxa"/>
          </w:tcPr>
          <w:p w14:paraId="7A3C390A" w14:textId="2331F276" w:rsidR="00637F94" w:rsidRDefault="00637F94" w:rsidP="005A7E89">
            <w:pPr>
              <w:pStyle w:val="Tablecontent"/>
              <w:jc w:val="center"/>
            </w:pPr>
            <w:r w:rsidRPr="00600FBC">
              <w:t>99</w:t>
            </w:r>
          </w:p>
        </w:tc>
        <w:tc>
          <w:tcPr>
            <w:tcW w:w="1275" w:type="dxa"/>
          </w:tcPr>
          <w:p w14:paraId="73651CEE" w14:textId="4E2F5F26" w:rsidR="00637F94" w:rsidRDefault="00637F94" w:rsidP="005A7E89">
            <w:pPr>
              <w:pStyle w:val="Tablecontent"/>
              <w:jc w:val="center"/>
            </w:pPr>
            <w:r w:rsidRPr="00600FBC">
              <w:t>45</w:t>
            </w:r>
          </w:p>
        </w:tc>
        <w:tc>
          <w:tcPr>
            <w:tcW w:w="1560" w:type="dxa"/>
          </w:tcPr>
          <w:p w14:paraId="0913D0AC" w14:textId="0A621D2F" w:rsidR="00637F94" w:rsidRDefault="00637F94" w:rsidP="005A7E89">
            <w:pPr>
              <w:pStyle w:val="Tablecontent"/>
              <w:jc w:val="center"/>
            </w:pPr>
            <w:r w:rsidRPr="00600FBC">
              <w:t>54.5</w:t>
            </w:r>
          </w:p>
        </w:tc>
      </w:tr>
      <w:tr w:rsidR="00637F94" w14:paraId="4CFDF5A8" w14:textId="77777777" w:rsidTr="0086259D">
        <w:trPr>
          <w:jc w:val="center"/>
        </w:trPr>
        <w:tc>
          <w:tcPr>
            <w:tcW w:w="1276" w:type="dxa"/>
          </w:tcPr>
          <w:p w14:paraId="20BB62F8" w14:textId="19191C37" w:rsidR="00637F94" w:rsidRDefault="00637F94" w:rsidP="005A7E89">
            <w:pPr>
              <w:pStyle w:val="Tablecontent"/>
              <w:jc w:val="center"/>
            </w:pPr>
            <w:r w:rsidRPr="00600FBC">
              <w:t>3</w:t>
            </w:r>
          </w:p>
        </w:tc>
        <w:tc>
          <w:tcPr>
            <w:tcW w:w="1276" w:type="dxa"/>
            <w:tcBorders>
              <w:left w:val="nil"/>
            </w:tcBorders>
          </w:tcPr>
          <w:p w14:paraId="4FD09697" w14:textId="334CBBDD" w:rsidR="00637F94" w:rsidRPr="008A3B1F" w:rsidRDefault="00637F94" w:rsidP="005A7E89">
            <w:pPr>
              <w:pStyle w:val="Tablecontent"/>
              <w:jc w:val="center"/>
              <w:rPr>
                <w:highlight w:val="yellow"/>
              </w:rPr>
            </w:pPr>
            <w:r w:rsidRPr="00600FBC">
              <w:t>636.17</w:t>
            </w:r>
          </w:p>
        </w:tc>
        <w:tc>
          <w:tcPr>
            <w:tcW w:w="1276" w:type="dxa"/>
          </w:tcPr>
          <w:p w14:paraId="102DF82C" w14:textId="3C113445" w:rsidR="00637F94" w:rsidRPr="00E70CBB" w:rsidRDefault="00637F94" w:rsidP="005A7E89">
            <w:pPr>
              <w:pStyle w:val="Tablecontent"/>
              <w:jc w:val="center"/>
              <w:rPr>
                <w:highlight w:val="yellow"/>
              </w:rPr>
            </w:pPr>
            <w:r w:rsidRPr="00600FBC">
              <w:t>87</w:t>
            </w:r>
          </w:p>
        </w:tc>
        <w:tc>
          <w:tcPr>
            <w:tcW w:w="1275" w:type="dxa"/>
          </w:tcPr>
          <w:p w14:paraId="4E96773E" w14:textId="7B0F022C" w:rsidR="00637F94" w:rsidRDefault="00637F94" w:rsidP="005A7E89">
            <w:pPr>
              <w:pStyle w:val="Tablecontent"/>
              <w:jc w:val="center"/>
            </w:pPr>
            <w:r w:rsidRPr="00600FBC">
              <w:t>43</w:t>
            </w:r>
          </w:p>
        </w:tc>
        <w:tc>
          <w:tcPr>
            <w:tcW w:w="1560" w:type="dxa"/>
          </w:tcPr>
          <w:p w14:paraId="7D695565" w14:textId="09D33A4A" w:rsidR="00637F94" w:rsidRDefault="00637F94" w:rsidP="005A7E89">
            <w:pPr>
              <w:pStyle w:val="Tablecontent"/>
              <w:jc w:val="center"/>
            </w:pPr>
            <w:r w:rsidRPr="00600FBC">
              <w:t>50.6</w:t>
            </w:r>
          </w:p>
        </w:tc>
      </w:tr>
      <w:tr w:rsidR="00637F94" w14:paraId="04C41F2C" w14:textId="77777777" w:rsidTr="0086259D">
        <w:trPr>
          <w:jc w:val="center"/>
        </w:trPr>
        <w:tc>
          <w:tcPr>
            <w:tcW w:w="1276" w:type="dxa"/>
          </w:tcPr>
          <w:p w14:paraId="45C61283" w14:textId="687F9170" w:rsidR="00637F94" w:rsidRDefault="00637F94" w:rsidP="005A7E89">
            <w:pPr>
              <w:pStyle w:val="Tablecontent"/>
              <w:jc w:val="center"/>
            </w:pPr>
            <w:r w:rsidRPr="00600FBC">
              <w:t>4</w:t>
            </w:r>
          </w:p>
        </w:tc>
        <w:tc>
          <w:tcPr>
            <w:tcW w:w="1276" w:type="dxa"/>
            <w:tcBorders>
              <w:left w:val="nil"/>
            </w:tcBorders>
          </w:tcPr>
          <w:p w14:paraId="5AC0F551" w14:textId="477F592D" w:rsidR="00637F94" w:rsidRPr="008A3B1F" w:rsidRDefault="00637F94" w:rsidP="005A7E89">
            <w:pPr>
              <w:pStyle w:val="Tablecontent"/>
              <w:jc w:val="center"/>
            </w:pPr>
            <w:r w:rsidRPr="00600FBC">
              <w:t>268.52</w:t>
            </w:r>
          </w:p>
        </w:tc>
        <w:tc>
          <w:tcPr>
            <w:tcW w:w="1276" w:type="dxa"/>
          </w:tcPr>
          <w:p w14:paraId="37901A70" w14:textId="6851A920" w:rsidR="00637F94" w:rsidRDefault="00637F94" w:rsidP="005A7E89">
            <w:pPr>
              <w:pStyle w:val="Tablecontent"/>
              <w:jc w:val="center"/>
            </w:pPr>
            <w:r w:rsidRPr="00600FBC">
              <w:t>77</w:t>
            </w:r>
          </w:p>
        </w:tc>
        <w:tc>
          <w:tcPr>
            <w:tcW w:w="1275" w:type="dxa"/>
          </w:tcPr>
          <w:p w14:paraId="2E5317C0" w14:textId="1FD20D2A" w:rsidR="00637F94" w:rsidRDefault="00637F94" w:rsidP="005A7E89">
            <w:pPr>
              <w:pStyle w:val="Tablecontent"/>
              <w:jc w:val="center"/>
            </w:pPr>
            <w:r w:rsidRPr="00600FBC">
              <w:t>41</w:t>
            </w:r>
          </w:p>
        </w:tc>
        <w:tc>
          <w:tcPr>
            <w:tcW w:w="1560" w:type="dxa"/>
          </w:tcPr>
          <w:p w14:paraId="44C2EB27" w14:textId="584FC43F" w:rsidR="00637F94" w:rsidRDefault="00637F94" w:rsidP="005A7E89">
            <w:pPr>
              <w:pStyle w:val="Tablecontent"/>
              <w:jc w:val="center"/>
            </w:pPr>
            <w:r w:rsidRPr="00600FBC">
              <w:t>46.8</w:t>
            </w:r>
          </w:p>
        </w:tc>
      </w:tr>
      <w:tr w:rsidR="00637F94" w14:paraId="320538EE" w14:textId="77777777" w:rsidTr="0086259D">
        <w:trPr>
          <w:jc w:val="center"/>
        </w:trPr>
        <w:tc>
          <w:tcPr>
            <w:tcW w:w="1276" w:type="dxa"/>
          </w:tcPr>
          <w:p w14:paraId="72EC92F4" w14:textId="3844AF3A" w:rsidR="00637F94" w:rsidRPr="008A3B1F" w:rsidRDefault="00637F94" w:rsidP="005A7E89">
            <w:pPr>
              <w:pStyle w:val="Tablecontent"/>
              <w:jc w:val="center"/>
            </w:pPr>
            <w:r w:rsidRPr="00600FBC">
              <w:t>default</w:t>
            </w:r>
          </w:p>
        </w:tc>
        <w:tc>
          <w:tcPr>
            <w:tcW w:w="1276" w:type="dxa"/>
            <w:tcBorders>
              <w:left w:val="nil"/>
            </w:tcBorders>
          </w:tcPr>
          <w:p w14:paraId="78CE8EC7" w14:textId="14C271CF" w:rsidR="00637F94" w:rsidRPr="008A3B1F" w:rsidRDefault="00637F94" w:rsidP="005A7E89">
            <w:pPr>
              <w:pStyle w:val="Tablecontent"/>
              <w:jc w:val="center"/>
            </w:pPr>
            <w:r w:rsidRPr="00600FBC">
              <w:t>261.12</w:t>
            </w:r>
          </w:p>
        </w:tc>
        <w:tc>
          <w:tcPr>
            <w:tcW w:w="1276" w:type="dxa"/>
          </w:tcPr>
          <w:p w14:paraId="2748571D" w14:textId="201A1367" w:rsidR="00637F94" w:rsidRDefault="00637F94" w:rsidP="005A7E89">
            <w:pPr>
              <w:pStyle w:val="Tablecontent"/>
              <w:jc w:val="center"/>
            </w:pPr>
            <w:r w:rsidRPr="00600FBC">
              <w:t>77</w:t>
            </w:r>
          </w:p>
        </w:tc>
        <w:tc>
          <w:tcPr>
            <w:tcW w:w="1275" w:type="dxa"/>
          </w:tcPr>
          <w:p w14:paraId="1D42BFE4" w14:textId="236711FE" w:rsidR="00637F94" w:rsidRDefault="00637F94" w:rsidP="005A7E89">
            <w:pPr>
              <w:pStyle w:val="Tablecontent"/>
              <w:jc w:val="center"/>
            </w:pPr>
            <w:r w:rsidRPr="00600FBC">
              <w:t>41</w:t>
            </w:r>
          </w:p>
        </w:tc>
        <w:tc>
          <w:tcPr>
            <w:tcW w:w="1560" w:type="dxa"/>
          </w:tcPr>
          <w:p w14:paraId="24C844D4" w14:textId="4429F0E6" w:rsidR="00637F94" w:rsidRDefault="00637F94" w:rsidP="005A7E89">
            <w:pPr>
              <w:pStyle w:val="Tablecontent"/>
              <w:jc w:val="center"/>
            </w:pPr>
            <w:r w:rsidRPr="00600FBC">
              <w:t>46.8</w:t>
            </w:r>
          </w:p>
        </w:tc>
      </w:tr>
      <w:tr w:rsidR="00637F94" w14:paraId="068D109A" w14:textId="77777777" w:rsidTr="0086259D">
        <w:trPr>
          <w:jc w:val="center"/>
        </w:trPr>
        <w:tc>
          <w:tcPr>
            <w:tcW w:w="1276" w:type="dxa"/>
          </w:tcPr>
          <w:p w14:paraId="69291C88" w14:textId="0D4D2769" w:rsidR="00637F94" w:rsidRPr="008A3B1F" w:rsidRDefault="00637F94" w:rsidP="005A7E89">
            <w:pPr>
              <w:pStyle w:val="Tablecontent"/>
              <w:jc w:val="center"/>
            </w:pPr>
            <w:r w:rsidRPr="00600FBC">
              <w:t>5</w:t>
            </w:r>
          </w:p>
        </w:tc>
        <w:tc>
          <w:tcPr>
            <w:tcW w:w="1276" w:type="dxa"/>
            <w:tcBorders>
              <w:left w:val="nil"/>
            </w:tcBorders>
          </w:tcPr>
          <w:p w14:paraId="69388C7C" w14:textId="2BB0CA30" w:rsidR="00637F94" w:rsidRPr="008A3B1F" w:rsidRDefault="00637F94" w:rsidP="005A7E89">
            <w:pPr>
              <w:pStyle w:val="Tablecontent"/>
              <w:jc w:val="center"/>
            </w:pPr>
            <w:r w:rsidRPr="00600FBC">
              <w:t>163.37</w:t>
            </w:r>
          </w:p>
        </w:tc>
        <w:tc>
          <w:tcPr>
            <w:tcW w:w="1276" w:type="dxa"/>
          </w:tcPr>
          <w:p w14:paraId="39724D49" w14:textId="71710B4D" w:rsidR="00637F94" w:rsidRDefault="00637F94" w:rsidP="005A7E89">
            <w:pPr>
              <w:pStyle w:val="Tablecontent"/>
              <w:jc w:val="center"/>
            </w:pPr>
            <w:r w:rsidRPr="00600FBC">
              <w:t>64</w:t>
            </w:r>
          </w:p>
        </w:tc>
        <w:tc>
          <w:tcPr>
            <w:tcW w:w="1275" w:type="dxa"/>
          </w:tcPr>
          <w:p w14:paraId="710BB3FF" w14:textId="18CB8701" w:rsidR="00637F94" w:rsidRDefault="00637F94" w:rsidP="005A7E89">
            <w:pPr>
              <w:pStyle w:val="Tablecontent"/>
              <w:jc w:val="center"/>
            </w:pPr>
            <w:r w:rsidRPr="00600FBC">
              <w:t>39</w:t>
            </w:r>
          </w:p>
        </w:tc>
        <w:tc>
          <w:tcPr>
            <w:tcW w:w="1560" w:type="dxa"/>
          </w:tcPr>
          <w:p w14:paraId="69052C9A" w14:textId="5306F8EB" w:rsidR="00637F94" w:rsidRDefault="00637F94" w:rsidP="005A7E89">
            <w:pPr>
              <w:pStyle w:val="Tablecontent"/>
              <w:jc w:val="center"/>
            </w:pPr>
            <w:r w:rsidRPr="00600FBC">
              <w:t>39.1</w:t>
            </w:r>
          </w:p>
        </w:tc>
      </w:tr>
      <w:tr w:rsidR="00637F94" w14:paraId="52F1805C" w14:textId="77777777" w:rsidTr="0086259D">
        <w:trPr>
          <w:jc w:val="center"/>
        </w:trPr>
        <w:tc>
          <w:tcPr>
            <w:tcW w:w="1276" w:type="dxa"/>
          </w:tcPr>
          <w:p w14:paraId="4BAB5463" w14:textId="7E50CF60" w:rsidR="00637F94" w:rsidRPr="008A3B1F" w:rsidRDefault="00637F94" w:rsidP="005A7E89">
            <w:pPr>
              <w:pStyle w:val="Tablecontent"/>
              <w:jc w:val="center"/>
            </w:pPr>
            <w:r w:rsidRPr="00600FBC">
              <w:t>6</w:t>
            </w:r>
          </w:p>
        </w:tc>
        <w:tc>
          <w:tcPr>
            <w:tcW w:w="1276" w:type="dxa"/>
            <w:tcBorders>
              <w:left w:val="nil"/>
            </w:tcBorders>
          </w:tcPr>
          <w:p w14:paraId="06D13BD3" w14:textId="4DC91A1E" w:rsidR="00637F94" w:rsidRPr="008A3B1F" w:rsidRDefault="00637F94" w:rsidP="005A7E89">
            <w:pPr>
              <w:pStyle w:val="Tablecontent"/>
              <w:jc w:val="center"/>
            </w:pPr>
            <w:r w:rsidRPr="00600FBC">
              <w:t>85.00</w:t>
            </w:r>
          </w:p>
        </w:tc>
        <w:tc>
          <w:tcPr>
            <w:tcW w:w="1276" w:type="dxa"/>
          </w:tcPr>
          <w:p w14:paraId="23F0C9AC" w14:textId="72DD1A81" w:rsidR="00637F94" w:rsidRDefault="00637F94" w:rsidP="005A7E89">
            <w:pPr>
              <w:pStyle w:val="Tablecontent"/>
              <w:jc w:val="center"/>
            </w:pPr>
            <w:r w:rsidRPr="00600FBC">
              <w:t>52</w:t>
            </w:r>
          </w:p>
        </w:tc>
        <w:tc>
          <w:tcPr>
            <w:tcW w:w="1275" w:type="dxa"/>
          </w:tcPr>
          <w:p w14:paraId="677591EA" w14:textId="274EBD54" w:rsidR="00637F94" w:rsidRDefault="00637F94" w:rsidP="005A7E89">
            <w:pPr>
              <w:pStyle w:val="Tablecontent"/>
              <w:jc w:val="center"/>
            </w:pPr>
            <w:r w:rsidRPr="00600FBC">
              <w:t>34</w:t>
            </w:r>
          </w:p>
        </w:tc>
        <w:tc>
          <w:tcPr>
            <w:tcW w:w="1560" w:type="dxa"/>
          </w:tcPr>
          <w:p w14:paraId="246BB452" w14:textId="12C1F9BD" w:rsidR="00637F94" w:rsidRDefault="00637F94" w:rsidP="005A7E89">
            <w:pPr>
              <w:pStyle w:val="Tablecontent"/>
              <w:jc w:val="center"/>
            </w:pPr>
            <w:r w:rsidRPr="00600FBC">
              <w:t>34.6</w:t>
            </w:r>
          </w:p>
        </w:tc>
      </w:tr>
      <w:tr w:rsidR="00637F94" w14:paraId="4F95CF1F" w14:textId="77777777" w:rsidTr="0086259D">
        <w:trPr>
          <w:jc w:val="center"/>
        </w:trPr>
        <w:tc>
          <w:tcPr>
            <w:tcW w:w="1276" w:type="dxa"/>
          </w:tcPr>
          <w:p w14:paraId="197E0DC4" w14:textId="46C51677" w:rsidR="00637F94" w:rsidRPr="008A3B1F" w:rsidRDefault="00637F94" w:rsidP="005A7E89">
            <w:pPr>
              <w:pStyle w:val="Tablecontent"/>
              <w:jc w:val="center"/>
            </w:pPr>
            <w:r w:rsidRPr="00600FBC">
              <w:t>7</w:t>
            </w:r>
          </w:p>
        </w:tc>
        <w:tc>
          <w:tcPr>
            <w:tcW w:w="1276" w:type="dxa"/>
            <w:tcBorders>
              <w:left w:val="nil"/>
            </w:tcBorders>
          </w:tcPr>
          <w:p w14:paraId="13E2CED4" w14:textId="7CBB9945" w:rsidR="00637F94" w:rsidRPr="008A3B1F" w:rsidRDefault="00637F94" w:rsidP="005A7E89">
            <w:pPr>
              <w:pStyle w:val="Tablecontent"/>
              <w:jc w:val="center"/>
            </w:pPr>
            <w:r w:rsidRPr="00600FBC">
              <w:t>45.05</w:t>
            </w:r>
          </w:p>
        </w:tc>
        <w:tc>
          <w:tcPr>
            <w:tcW w:w="1276" w:type="dxa"/>
          </w:tcPr>
          <w:p w14:paraId="7F255E73" w14:textId="0173B0F5" w:rsidR="00637F94" w:rsidRDefault="00637F94" w:rsidP="005A7E89">
            <w:pPr>
              <w:pStyle w:val="Tablecontent"/>
              <w:jc w:val="center"/>
            </w:pPr>
            <w:r w:rsidRPr="00600FBC">
              <w:t>43</w:t>
            </w:r>
          </w:p>
        </w:tc>
        <w:tc>
          <w:tcPr>
            <w:tcW w:w="1275" w:type="dxa"/>
          </w:tcPr>
          <w:p w14:paraId="57A54DE6" w14:textId="4E584952" w:rsidR="00637F94" w:rsidRDefault="00637F94" w:rsidP="005A7E89">
            <w:pPr>
              <w:pStyle w:val="Tablecontent"/>
              <w:jc w:val="center"/>
            </w:pPr>
            <w:r w:rsidRPr="00600FBC">
              <w:t>31</w:t>
            </w:r>
          </w:p>
        </w:tc>
        <w:tc>
          <w:tcPr>
            <w:tcW w:w="1560" w:type="dxa"/>
          </w:tcPr>
          <w:p w14:paraId="7BAA4E96" w14:textId="2C01AFF9" w:rsidR="00637F94" w:rsidRDefault="00637F94" w:rsidP="005A7E89">
            <w:pPr>
              <w:pStyle w:val="Tablecontent"/>
              <w:jc w:val="center"/>
            </w:pPr>
            <w:r w:rsidRPr="00600FBC">
              <w:t>29.5</w:t>
            </w:r>
          </w:p>
        </w:tc>
      </w:tr>
      <w:tr w:rsidR="00637F94" w14:paraId="33CD6BF7" w14:textId="77777777" w:rsidTr="0086259D">
        <w:trPr>
          <w:jc w:val="center"/>
        </w:trPr>
        <w:tc>
          <w:tcPr>
            <w:tcW w:w="1276" w:type="dxa"/>
          </w:tcPr>
          <w:p w14:paraId="1415DDC8" w14:textId="4A6C25C8" w:rsidR="00637F94" w:rsidRPr="008A3B1F" w:rsidRDefault="00637F94" w:rsidP="005A7E89">
            <w:pPr>
              <w:pStyle w:val="Tablecontent"/>
              <w:jc w:val="center"/>
            </w:pPr>
            <w:r w:rsidRPr="00600FBC">
              <w:t>8</w:t>
            </w:r>
          </w:p>
        </w:tc>
        <w:tc>
          <w:tcPr>
            <w:tcW w:w="1276" w:type="dxa"/>
            <w:tcBorders>
              <w:left w:val="nil"/>
            </w:tcBorders>
          </w:tcPr>
          <w:p w14:paraId="25EA0E03" w14:textId="37562253" w:rsidR="00637F94" w:rsidRPr="008A3B1F" w:rsidRDefault="00637F94" w:rsidP="005A7E89">
            <w:pPr>
              <w:pStyle w:val="Tablecontent"/>
              <w:jc w:val="center"/>
            </w:pPr>
            <w:r w:rsidRPr="00600FBC">
              <w:t>24.78</w:t>
            </w:r>
          </w:p>
        </w:tc>
        <w:tc>
          <w:tcPr>
            <w:tcW w:w="1276" w:type="dxa"/>
          </w:tcPr>
          <w:p w14:paraId="1F284017" w14:textId="1BB3DBCB" w:rsidR="00637F94" w:rsidRDefault="00637F94" w:rsidP="005A7E89">
            <w:pPr>
              <w:pStyle w:val="Tablecontent"/>
              <w:jc w:val="center"/>
            </w:pPr>
            <w:r w:rsidRPr="00600FBC">
              <w:t>33</w:t>
            </w:r>
          </w:p>
        </w:tc>
        <w:tc>
          <w:tcPr>
            <w:tcW w:w="1275" w:type="dxa"/>
          </w:tcPr>
          <w:p w14:paraId="662F7244" w14:textId="5E03BBB5" w:rsidR="00637F94" w:rsidRDefault="00637F94" w:rsidP="005A7E89">
            <w:pPr>
              <w:pStyle w:val="Tablecontent"/>
              <w:jc w:val="center"/>
            </w:pPr>
            <w:r w:rsidRPr="00600FBC">
              <w:t>22</w:t>
            </w:r>
          </w:p>
        </w:tc>
        <w:tc>
          <w:tcPr>
            <w:tcW w:w="1560" w:type="dxa"/>
          </w:tcPr>
          <w:p w14:paraId="453F9895" w14:textId="5044FB19" w:rsidR="00637F94" w:rsidRDefault="00637F94" w:rsidP="005A7E89">
            <w:pPr>
              <w:pStyle w:val="Tablecontent"/>
              <w:jc w:val="center"/>
            </w:pPr>
            <w:r w:rsidRPr="00600FBC">
              <w:t>33.3</w:t>
            </w:r>
          </w:p>
        </w:tc>
      </w:tr>
      <w:tr w:rsidR="00637F94" w14:paraId="5CF65133" w14:textId="77777777" w:rsidTr="0086259D">
        <w:trPr>
          <w:jc w:val="center"/>
        </w:trPr>
        <w:tc>
          <w:tcPr>
            <w:tcW w:w="1276" w:type="dxa"/>
          </w:tcPr>
          <w:p w14:paraId="131BFD2E" w14:textId="22FF8F37" w:rsidR="00637F94" w:rsidRPr="008A3B1F" w:rsidRDefault="00637F94" w:rsidP="005A7E89">
            <w:pPr>
              <w:pStyle w:val="Tablecontent"/>
              <w:jc w:val="center"/>
            </w:pPr>
            <w:r w:rsidRPr="00600FBC">
              <w:t>9</w:t>
            </w:r>
          </w:p>
        </w:tc>
        <w:tc>
          <w:tcPr>
            <w:tcW w:w="1276" w:type="dxa"/>
            <w:tcBorders>
              <w:left w:val="nil"/>
            </w:tcBorders>
          </w:tcPr>
          <w:p w14:paraId="33CC9C76" w14:textId="665B326F" w:rsidR="00637F94" w:rsidRPr="008A3B1F" w:rsidRDefault="00637F94" w:rsidP="005A7E89">
            <w:pPr>
              <w:pStyle w:val="Tablecontent"/>
              <w:jc w:val="center"/>
            </w:pPr>
            <w:r w:rsidRPr="00600FBC">
              <w:t>14.87</w:t>
            </w:r>
          </w:p>
        </w:tc>
        <w:tc>
          <w:tcPr>
            <w:tcW w:w="1276" w:type="dxa"/>
          </w:tcPr>
          <w:p w14:paraId="4B9B3109" w14:textId="56BDB385" w:rsidR="00637F94" w:rsidRDefault="00637F94" w:rsidP="005A7E89">
            <w:pPr>
              <w:pStyle w:val="Tablecontent"/>
              <w:jc w:val="center"/>
            </w:pPr>
            <w:r w:rsidRPr="00600FBC">
              <w:t>21</w:t>
            </w:r>
          </w:p>
        </w:tc>
        <w:tc>
          <w:tcPr>
            <w:tcW w:w="1275" w:type="dxa"/>
          </w:tcPr>
          <w:p w14:paraId="1BB4FBC4" w14:textId="469CE40F" w:rsidR="00637F94" w:rsidRDefault="00637F94" w:rsidP="005A7E89">
            <w:pPr>
              <w:pStyle w:val="Tablecontent"/>
              <w:jc w:val="center"/>
            </w:pPr>
            <w:r w:rsidRPr="00600FBC">
              <w:t>13</w:t>
            </w:r>
          </w:p>
        </w:tc>
        <w:tc>
          <w:tcPr>
            <w:tcW w:w="1560" w:type="dxa"/>
          </w:tcPr>
          <w:p w14:paraId="092B4B59" w14:textId="0BE5FF20" w:rsidR="00637F94" w:rsidRDefault="00637F94" w:rsidP="005A7E89">
            <w:pPr>
              <w:pStyle w:val="Tablecontent"/>
              <w:jc w:val="center"/>
            </w:pPr>
            <w:r w:rsidRPr="00600FBC">
              <w:t>38.1</w:t>
            </w:r>
          </w:p>
        </w:tc>
      </w:tr>
      <w:tr w:rsidR="00637F94" w14:paraId="799A1BC6" w14:textId="77777777" w:rsidTr="0086259D">
        <w:trPr>
          <w:jc w:val="center"/>
        </w:trPr>
        <w:tc>
          <w:tcPr>
            <w:tcW w:w="1276" w:type="dxa"/>
            <w:tcBorders>
              <w:bottom w:val="single" w:sz="4" w:space="0" w:color="auto"/>
            </w:tcBorders>
          </w:tcPr>
          <w:p w14:paraId="69A19D25" w14:textId="6F37EFF3" w:rsidR="00637F94" w:rsidRPr="008A3B1F" w:rsidRDefault="00637F94" w:rsidP="005A7E89">
            <w:pPr>
              <w:pStyle w:val="Tablecontent"/>
              <w:jc w:val="center"/>
            </w:pPr>
            <w:r w:rsidRPr="00600FBC">
              <w:t>10</w:t>
            </w:r>
          </w:p>
        </w:tc>
        <w:tc>
          <w:tcPr>
            <w:tcW w:w="1276" w:type="dxa"/>
            <w:tcBorders>
              <w:left w:val="nil"/>
              <w:bottom w:val="single" w:sz="4" w:space="0" w:color="auto"/>
            </w:tcBorders>
          </w:tcPr>
          <w:p w14:paraId="78167A91" w14:textId="414C0815" w:rsidR="00637F94" w:rsidRPr="008A3B1F" w:rsidRDefault="00637F94" w:rsidP="005A7E89">
            <w:pPr>
              <w:pStyle w:val="Tablecontent"/>
              <w:jc w:val="center"/>
            </w:pPr>
            <w:r w:rsidRPr="00600FBC">
              <w:t>9.75</w:t>
            </w:r>
          </w:p>
        </w:tc>
        <w:tc>
          <w:tcPr>
            <w:tcW w:w="1276" w:type="dxa"/>
            <w:tcBorders>
              <w:bottom w:val="single" w:sz="4" w:space="0" w:color="auto"/>
            </w:tcBorders>
          </w:tcPr>
          <w:p w14:paraId="1168FC9F" w14:textId="2F5CCD04" w:rsidR="00637F94" w:rsidRDefault="00637F94" w:rsidP="005A7E89">
            <w:pPr>
              <w:pStyle w:val="Tablecontent"/>
              <w:jc w:val="center"/>
            </w:pPr>
            <w:r w:rsidRPr="00600FBC">
              <w:t>10</w:t>
            </w:r>
          </w:p>
        </w:tc>
        <w:tc>
          <w:tcPr>
            <w:tcW w:w="1275" w:type="dxa"/>
            <w:tcBorders>
              <w:bottom w:val="single" w:sz="4" w:space="0" w:color="auto"/>
            </w:tcBorders>
          </w:tcPr>
          <w:p w14:paraId="03B021A1" w14:textId="1631DE95" w:rsidR="00637F94" w:rsidRDefault="00637F94" w:rsidP="005A7E89">
            <w:pPr>
              <w:pStyle w:val="Tablecontent"/>
              <w:jc w:val="center"/>
            </w:pPr>
            <w:r w:rsidRPr="00600FBC">
              <w:t>5</w:t>
            </w:r>
          </w:p>
        </w:tc>
        <w:tc>
          <w:tcPr>
            <w:tcW w:w="1560" w:type="dxa"/>
            <w:tcBorders>
              <w:bottom w:val="single" w:sz="4" w:space="0" w:color="auto"/>
            </w:tcBorders>
          </w:tcPr>
          <w:p w14:paraId="1706C401" w14:textId="1234C296" w:rsidR="00637F94" w:rsidRDefault="00637F94" w:rsidP="005A7E89">
            <w:pPr>
              <w:pStyle w:val="Tablecontent"/>
              <w:jc w:val="center"/>
            </w:pPr>
            <w:r w:rsidRPr="00600FBC">
              <w:t>50.0</w:t>
            </w:r>
          </w:p>
        </w:tc>
      </w:tr>
    </w:tbl>
    <w:p w14:paraId="28744012" w14:textId="7BFC81C2" w:rsidR="008A3B1F" w:rsidRDefault="008A3B1F" w:rsidP="00391005">
      <w:pPr>
        <w:pStyle w:val="ListParagraph"/>
      </w:pPr>
    </w:p>
    <w:p w14:paraId="7DFA7B63" w14:textId="2FC3AB07" w:rsidR="008A3B1F" w:rsidRDefault="00D57D0F" w:rsidP="00391005">
      <w:pPr>
        <w:pStyle w:val="ListParagraph"/>
      </w:pPr>
      <w:r>
        <w:lastRenderedPageBreak/>
        <w:t>Analysis of the full assembly</w:t>
      </w:r>
      <w:r w:rsidR="009D7B7D">
        <w:t xml:space="preserve"> with LS </w:t>
      </w:r>
      <w:r w:rsidR="00261420">
        <w:t>revealed that</w:t>
      </w:r>
      <w:r>
        <w:t xml:space="preserve"> there were issues with memory allocation, as the program would </w:t>
      </w:r>
      <w:r w:rsidR="00261420">
        <w:t>finish after only analysing approximately 400</w:t>
      </w:r>
      <w:r w:rsidR="00604B2F">
        <w:t xml:space="preserve"> </w:t>
      </w:r>
      <w:r w:rsidR="00261420">
        <w:t>Mb of the genome. Additionally, the program did not consider the reverse strand, so elements were missed unless there was a clear signal in the reverse orientation. Concordantly, those elements which were detected on both strands were significantly younger insertions (t =</w:t>
      </w:r>
      <w:r w:rsidR="009D7B7D">
        <w:t xml:space="preserve"> </w:t>
      </w:r>
      <w:r w:rsidR="00261420">
        <w:t>8.86, p &lt; 0.0001)</w:t>
      </w:r>
      <w:r w:rsidR="004A39EA">
        <w:t xml:space="preserve">, and were highly represented in the </w:t>
      </w:r>
      <w:r w:rsidR="009D7B7D">
        <w:t>confirmed list</w:t>
      </w:r>
      <w:r w:rsidR="004A39EA">
        <w:t xml:space="preserve"> after feature analysis</w:t>
      </w:r>
      <w:r w:rsidR="00261420">
        <w:t>.</w:t>
      </w:r>
      <w:r w:rsidR="00797260">
        <w:t xml:space="preserve"> For</w:t>
      </w:r>
      <w:r w:rsidR="004A39EA">
        <w:t xml:space="preserve"> example, a default ana</w:t>
      </w:r>
      <w:r w:rsidR="009D7B7D">
        <w:t>lysis of chromosome 1 identified</w:t>
      </w:r>
      <w:r w:rsidR="004A39EA">
        <w:t xml:space="preserve"> 38 LTR retrotransposons, but running </w:t>
      </w:r>
      <w:r w:rsidR="004773DB">
        <w:t>on the reverse strand identified</w:t>
      </w:r>
      <w:r w:rsidR="00BE6700">
        <w:t xml:space="preserve"> 45, where 24 we</w:t>
      </w:r>
      <w:r w:rsidR="004A39EA">
        <w:t>re shared</w:t>
      </w:r>
      <w:r w:rsidR="004773DB">
        <w:t xml:space="preserve"> between the runs</w:t>
      </w:r>
      <w:r w:rsidR="004A39EA">
        <w:t>, giving a total of 59 putative elements</w:t>
      </w:r>
      <w:r w:rsidR="00D855DB">
        <w:t>, of which 25</w:t>
      </w:r>
      <w:r w:rsidR="00797260">
        <w:t xml:space="preserve"> (42.4 %)</w:t>
      </w:r>
      <w:r w:rsidR="00D855DB">
        <w:t xml:space="preserve"> were confirmed by feature analysis</w:t>
      </w:r>
      <w:r w:rsidR="00FC0D3B">
        <w:t>.</w:t>
      </w:r>
      <w:r w:rsidR="004773DB">
        <w:t xml:space="preserve"> </w:t>
      </w:r>
      <w:r w:rsidR="00FC0D3B">
        <w:t>A script was written to separate the multi-fasta assembly file into individual sequence files, and to create reverse complemented sequences ready for analysis</w:t>
      </w:r>
      <w:r w:rsidR="00BE6700">
        <w:t xml:space="preserve"> (</w:t>
      </w:r>
      <w:r w:rsidR="00BE6700" w:rsidRPr="00E33AE2">
        <w:t>202_LS_seq_formatter.py</w:t>
      </w:r>
      <w:r w:rsidR="00BE6700">
        <w:t>)</w:t>
      </w:r>
      <w:r w:rsidR="00FC0D3B">
        <w:t>. A batch processing script was als</w:t>
      </w:r>
      <w:r w:rsidR="009D7B7D">
        <w:t xml:space="preserve">o created to manage passing </w:t>
      </w:r>
      <w:r w:rsidR="00FC0D3B">
        <w:t>multiple sequences to the LS executable</w:t>
      </w:r>
      <w:r w:rsidR="00BE6700">
        <w:t xml:space="preserve"> (</w:t>
      </w:r>
      <w:r w:rsidR="00BE6700" w:rsidRPr="00E33AE2">
        <w:t>203_LS_ltrstruc_batch.py</w:t>
      </w:r>
      <w:r w:rsidR="00BE6700">
        <w:t>)</w:t>
      </w:r>
      <w:r w:rsidR="00FC0D3B">
        <w:t xml:space="preserve">. </w:t>
      </w:r>
    </w:p>
    <w:p w14:paraId="18D7B47C" w14:textId="77777777" w:rsidR="00697B64" w:rsidRDefault="00697B64" w:rsidP="00225A12">
      <w:pPr>
        <w:rPr>
          <w:rFonts w:ascii="Baskerville Old Face" w:hAnsi="Baskerville Old Face"/>
          <w:sz w:val="24"/>
        </w:rPr>
      </w:pPr>
    </w:p>
    <w:p w14:paraId="300128D8" w14:textId="28B0B7D2" w:rsidR="000224FD" w:rsidRDefault="000224FD" w:rsidP="008E3E0B">
      <w:pPr>
        <w:pStyle w:val="Heading4"/>
      </w:pPr>
      <w:r>
        <w:t>LTR Harvest</w:t>
      </w:r>
    </w:p>
    <w:p w14:paraId="5E002199" w14:textId="340E119B" w:rsidR="00A062CC" w:rsidRDefault="00C75DD5" w:rsidP="00391005">
      <w:pPr>
        <w:pStyle w:val="ListParagraph"/>
      </w:pPr>
      <w:r>
        <w:t>LTR Harvest (LH) identified the largest number of confirmed elements from the structure-based programs</w:t>
      </w:r>
      <w:r w:rsidR="004C6223">
        <w:t>, but the false positive rates we</w:t>
      </w:r>
      <w:r>
        <w:t xml:space="preserve">re strikingly high for all parameter settings tested, including the three sets presented in </w:t>
      </w:r>
      <w:r w:rsidRPr="00C75DD5">
        <w:fldChar w:fldCharType="begin" w:fldLock="1"/>
      </w:r>
      <w:r w:rsidRPr="00C75DD5">
        <w:instrText xml:space="preserve"> REF _Ref477428927 \h  \* MERGEFORMAT </w:instrText>
      </w:r>
      <w:r w:rsidRPr="00C75DD5">
        <w:fldChar w:fldCharType="separate"/>
      </w:r>
      <w:r w:rsidR="002C549C" w:rsidRPr="00E71235">
        <w:t xml:space="preserve">Table </w:t>
      </w:r>
      <w:r w:rsidR="002C549C">
        <w:rPr>
          <w:noProof/>
        </w:rPr>
        <w:t>3</w:t>
      </w:r>
      <w:r w:rsidR="002C549C" w:rsidRPr="00E71235">
        <w:rPr>
          <w:noProof/>
        </w:rPr>
        <w:t>.</w:t>
      </w:r>
      <w:r w:rsidR="002C549C">
        <w:rPr>
          <w:noProof/>
        </w:rPr>
        <w:t>6</w:t>
      </w:r>
      <w:r w:rsidRPr="00C75DD5">
        <w:fldChar w:fldCharType="end"/>
      </w:r>
      <w:r>
        <w:t>. Enabling LH to identify all potential LTR pairs for the identification of nested elements (set 2) did not identify any additional confirmed elements, but considerably increased the standard processing time for the feature annotation analysis. In fact, the seven cases of nested LTR retrotransposons identified in the Galgal4 assembly were all identified from the set 1 analysis. Additional parameter tests were completed (altering LTR identity and length parameters), but no other setup identified more confirmed LTR retrotransposons.</w:t>
      </w:r>
    </w:p>
    <w:p w14:paraId="7B08652A" w14:textId="2D80354C" w:rsidR="00A062CC" w:rsidRDefault="00A062CC" w:rsidP="00A062CC">
      <w:pPr>
        <w:pStyle w:val="Caption"/>
      </w:pPr>
      <w:bookmarkStart w:id="164" w:name="_Ref477428927"/>
      <w:bookmarkStart w:id="165" w:name="_Ref477428920"/>
      <w:bookmarkStart w:id="166" w:name="_Toc486786306"/>
      <w:r w:rsidRPr="00E71235">
        <w:t xml:space="preserve">Table </w:t>
      </w:r>
      <w:fldSimple w:instr=" STYLEREF 1 \s " w:fldLock="1">
        <w:r w:rsidR="002C549C">
          <w:rPr>
            <w:noProof/>
          </w:rPr>
          <w:t>3</w:t>
        </w:r>
      </w:fldSimple>
      <w:r w:rsidR="001167C6" w:rsidRPr="00E71235">
        <w:t>.</w:t>
      </w:r>
      <w:fldSimple w:instr=" SEQ Table \* ARABIC \s 1 " w:fldLock="1">
        <w:r w:rsidR="002C549C">
          <w:rPr>
            <w:noProof/>
          </w:rPr>
          <w:t>6</w:t>
        </w:r>
      </w:fldSimple>
      <w:bookmarkEnd w:id="164"/>
      <w:r>
        <w:t xml:space="preserve"> Parameter optimisation with LTR Harvest</w:t>
      </w:r>
      <w:bookmarkEnd w:id="165"/>
      <w:bookmarkEnd w:id="166"/>
    </w:p>
    <w:tbl>
      <w:tblPr>
        <w:tblStyle w:val="TableGrid"/>
        <w:tblW w:w="80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126"/>
        <w:gridCol w:w="2126"/>
        <w:gridCol w:w="2263"/>
      </w:tblGrid>
      <w:tr w:rsidR="00A062CC" w14:paraId="37552E0F" w14:textId="77777777" w:rsidTr="00A062CC">
        <w:trPr>
          <w:trHeight w:val="515"/>
          <w:jc w:val="center"/>
        </w:trPr>
        <w:tc>
          <w:tcPr>
            <w:tcW w:w="1555" w:type="dxa"/>
            <w:tcBorders>
              <w:top w:val="single" w:sz="4" w:space="0" w:color="auto"/>
              <w:bottom w:val="single" w:sz="4" w:space="0" w:color="auto"/>
            </w:tcBorders>
            <w:vAlign w:val="center"/>
          </w:tcPr>
          <w:p w14:paraId="56796379" w14:textId="0AA0B9CF" w:rsidR="00A062CC" w:rsidRDefault="00A062CC" w:rsidP="00C75DD5">
            <w:pPr>
              <w:pStyle w:val="Tablecontent"/>
              <w:jc w:val="center"/>
            </w:pPr>
            <w:r>
              <w:t>Parameter set</w:t>
            </w:r>
          </w:p>
        </w:tc>
        <w:tc>
          <w:tcPr>
            <w:tcW w:w="2126" w:type="dxa"/>
            <w:tcBorders>
              <w:top w:val="single" w:sz="4" w:space="0" w:color="auto"/>
              <w:bottom w:val="single" w:sz="4" w:space="0" w:color="auto"/>
            </w:tcBorders>
            <w:vAlign w:val="center"/>
          </w:tcPr>
          <w:p w14:paraId="70985C52" w14:textId="77777777" w:rsidR="00A062CC" w:rsidRDefault="00A062CC" w:rsidP="00C75DD5">
            <w:pPr>
              <w:pStyle w:val="Tablecontent"/>
              <w:jc w:val="center"/>
            </w:pPr>
            <w:r>
              <w:t>Identified elements</w:t>
            </w:r>
          </w:p>
        </w:tc>
        <w:tc>
          <w:tcPr>
            <w:tcW w:w="2126" w:type="dxa"/>
            <w:tcBorders>
              <w:top w:val="single" w:sz="4" w:space="0" w:color="auto"/>
              <w:bottom w:val="single" w:sz="4" w:space="0" w:color="auto"/>
            </w:tcBorders>
            <w:vAlign w:val="center"/>
          </w:tcPr>
          <w:p w14:paraId="201AA24A" w14:textId="77777777" w:rsidR="00A062CC" w:rsidRDefault="00A062CC" w:rsidP="00C75DD5">
            <w:pPr>
              <w:pStyle w:val="Tablecontent"/>
              <w:jc w:val="center"/>
            </w:pPr>
            <w:r>
              <w:t>Confirmed elements</w:t>
            </w:r>
          </w:p>
        </w:tc>
        <w:tc>
          <w:tcPr>
            <w:tcW w:w="2263" w:type="dxa"/>
            <w:tcBorders>
              <w:top w:val="single" w:sz="4" w:space="0" w:color="auto"/>
              <w:bottom w:val="single" w:sz="4" w:space="0" w:color="auto"/>
            </w:tcBorders>
            <w:vAlign w:val="center"/>
          </w:tcPr>
          <w:p w14:paraId="38D0A4F5" w14:textId="77777777" w:rsidR="00A062CC" w:rsidRDefault="00A062CC" w:rsidP="00C75DD5">
            <w:pPr>
              <w:pStyle w:val="Tablecontent"/>
              <w:jc w:val="center"/>
            </w:pPr>
            <w:r>
              <w:t>False positive rate (%)</w:t>
            </w:r>
          </w:p>
        </w:tc>
      </w:tr>
      <w:tr w:rsidR="00A062CC" w14:paraId="28438B55" w14:textId="77777777" w:rsidTr="00A062CC">
        <w:trPr>
          <w:jc w:val="center"/>
        </w:trPr>
        <w:tc>
          <w:tcPr>
            <w:tcW w:w="1555" w:type="dxa"/>
            <w:tcBorders>
              <w:top w:val="single" w:sz="4" w:space="0" w:color="auto"/>
            </w:tcBorders>
          </w:tcPr>
          <w:p w14:paraId="59D4D43B" w14:textId="7C78F4CB" w:rsidR="00A062CC" w:rsidRDefault="00A062CC" w:rsidP="00C75DD5">
            <w:pPr>
              <w:pStyle w:val="Tablecontent"/>
              <w:jc w:val="center"/>
            </w:pPr>
            <w:r>
              <w:t>Default</w:t>
            </w:r>
          </w:p>
        </w:tc>
        <w:tc>
          <w:tcPr>
            <w:tcW w:w="2126" w:type="dxa"/>
            <w:tcBorders>
              <w:top w:val="single" w:sz="4" w:space="0" w:color="auto"/>
            </w:tcBorders>
          </w:tcPr>
          <w:p w14:paraId="03523CC3" w14:textId="0E411142" w:rsidR="00A062CC" w:rsidRPr="00A062CC" w:rsidRDefault="00A062CC" w:rsidP="00C75DD5">
            <w:pPr>
              <w:pStyle w:val="Tablecontent"/>
              <w:jc w:val="center"/>
            </w:pPr>
            <w:r>
              <w:t>3,707</w:t>
            </w:r>
          </w:p>
        </w:tc>
        <w:tc>
          <w:tcPr>
            <w:tcW w:w="2126" w:type="dxa"/>
            <w:tcBorders>
              <w:top w:val="single" w:sz="4" w:space="0" w:color="auto"/>
            </w:tcBorders>
          </w:tcPr>
          <w:p w14:paraId="04F1C56F" w14:textId="7C065AA7" w:rsidR="00A062CC" w:rsidRPr="00A062CC" w:rsidRDefault="00A062CC" w:rsidP="00C75DD5">
            <w:pPr>
              <w:pStyle w:val="Tablecontent"/>
              <w:jc w:val="center"/>
            </w:pPr>
            <w:r>
              <w:t>527</w:t>
            </w:r>
          </w:p>
        </w:tc>
        <w:tc>
          <w:tcPr>
            <w:tcW w:w="2263" w:type="dxa"/>
            <w:tcBorders>
              <w:top w:val="single" w:sz="4" w:space="0" w:color="auto"/>
            </w:tcBorders>
          </w:tcPr>
          <w:p w14:paraId="4A2FD678" w14:textId="5616F112" w:rsidR="00A062CC" w:rsidRPr="00A062CC" w:rsidRDefault="00A062CC" w:rsidP="00C75DD5">
            <w:pPr>
              <w:pStyle w:val="Tablecontent"/>
              <w:jc w:val="center"/>
            </w:pPr>
            <w:r>
              <w:t>85.8</w:t>
            </w:r>
          </w:p>
        </w:tc>
      </w:tr>
      <w:tr w:rsidR="00A062CC" w14:paraId="57979C4B" w14:textId="77777777" w:rsidTr="00A062CC">
        <w:trPr>
          <w:jc w:val="center"/>
        </w:trPr>
        <w:tc>
          <w:tcPr>
            <w:tcW w:w="1555" w:type="dxa"/>
          </w:tcPr>
          <w:p w14:paraId="42450CF4" w14:textId="6553E699" w:rsidR="00A062CC" w:rsidRDefault="00A062CC" w:rsidP="00C75DD5">
            <w:pPr>
              <w:pStyle w:val="Tablecontent"/>
              <w:jc w:val="center"/>
            </w:pPr>
            <w:r>
              <w:t>1</w:t>
            </w:r>
          </w:p>
        </w:tc>
        <w:tc>
          <w:tcPr>
            <w:tcW w:w="2126" w:type="dxa"/>
          </w:tcPr>
          <w:p w14:paraId="45350D23" w14:textId="11E970F2" w:rsidR="00A062CC" w:rsidRPr="00A062CC" w:rsidRDefault="00A062CC" w:rsidP="00C75DD5">
            <w:pPr>
              <w:pStyle w:val="Tablecontent"/>
              <w:jc w:val="center"/>
            </w:pPr>
            <w:r>
              <w:t>5,264</w:t>
            </w:r>
          </w:p>
        </w:tc>
        <w:tc>
          <w:tcPr>
            <w:tcW w:w="2126" w:type="dxa"/>
          </w:tcPr>
          <w:p w14:paraId="1F45C079" w14:textId="08B62008" w:rsidR="00A062CC" w:rsidRPr="00A062CC" w:rsidRDefault="00A062CC" w:rsidP="00C75DD5">
            <w:pPr>
              <w:pStyle w:val="Tablecontent"/>
              <w:jc w:val="center"/>
            </w:pPr>
            <w:r>
              <w:t>643</w:t>
            </w:r>
          </w:p>
        </w:tc>
        <w:tc>
          <w:tcPr>
            <w:tcW w:w="2263" w:type="dxa"/>
          </w:tcPr>
          <w:p w14:paraId="51F5A3BE" w14:textId="27E3B9C9" w:rsidR="00A062CC" w:rsidRPr="00A062CC" w:rsidRDefault="00A062CC" w:rsidP="00C75DD5">
            <w:pPr>
              <w:pStyle w:val="Tablecontent"/>
              <w:jc w:val="center"/>
            </w:pPr>
            <w:r>
              <w:t>87.8</w:t>
            </w:r>
          </w:p>
        </w:tc>
      </w:tr>
      <w:tr w:rsidR="00A062CC" w14:paraId="5EB10506" w14:textId="77777777" w:rsidTr="00A062CC">
        <w:trPr>
          <w:jc w:val="center"/>
        </w:trPr>
        <w:tc>
          <w:tcPr>
            <w:tcW w:w="1555" w:type="dxa"/>
            <w:tcBorders>
              <w:bottom w:val="single" w:sz="4" w:space="0" w:color="auto"/>
            </w:tcBorders>
          </w:tcPr>
          <w:p w14:paraId="6E53D524" w14:textId="01F1AE09" w:rsidR="00A062CC" w:rsidRDefault="00A062CC" w:rsidP="00C75DD5">
            <w:pPr>
              <w:pStyle w:val="Tablecontent"/>
              <w:jc w:val="center"/>
            </w:pPr>
            <w:r>
              <w:t>2</w:t>
            </w:r>
          </w:p>
        </w:tc>
        <w:tc>
          <w:tcPr>
            <w:tcW w:w="2126" w:type="dxa"/>
            <w:tcBorders>
              <w:bottom w:val="single" w:sz="4" w:space="0" w:color="auto"/>
            </w:tcBorders>
          </w:tcPr>
          <w:p w14:paraId="1853A6E0" w14:textId="3A34A228" w:rsidR="00A062CC" w:rsidRPr="00A062CC" w:rsidRDefault="00A062CC" w:rsidP="00C75DD5">
            <w:pPr>
              <w:pStyle w:val="Tablecontent"/>
              <w:jc w:val="center"/>
            </w:pPr>
            <w:r>
              <w:t>65,422</w:t>
            </w:r>
          </w:p>
        </w:tc>
        <w:tc>
          <w:tcPr>
            <w:tcW w:w="2126" w:type="dxa"/>
            <w:tcBorders>
              <w:bottom w:val="single" w:sz="4" w:space="0" w:color="auto"/>
            </w:tcBorders>
          </w:tcPr>
          <w:p w14:paraId="5C359BC4" w14:textId="3D74F8E7" w:rsidR="00A062CC" w:rsidRPr="00A062CC" w:rsidRDefault="00A062CC" w:rsidP="00C75DD5">
            <w:pPr>
              <w:pStyle w:val="Tablecontent"/>
              <w:jc w:val="center"/>
            </w:pPr>
            <w:r>
              <w:t>643</w:t>
            </w:r>
          </w:p>
        </w:tc>
        <w:tc>
          <w:tcPr>
            <w:tcW w:w="2263" w:type="dxa"/>
            <w:tcBorders>
              <w:bottom w:val="single" w:sz="4" w:space="0" w:color="auto"/>
            </w:tcBorders>
          </w:tcPr>
          <w:p w14:paraId="0FA5977B" w14:textId="09E3A529" w:rsidR="00A062CC" w:rsidRPr="00A062CC" w:rsidRDefault="00A062CC" w:rsidP="00C75DD5">
            <w:pPr>
              <w:pStyle w:val="Tablecontent"/>
              <w:jc w:val="center"/>
            </w:pPr>
            <w:r>
              <w:t>99.1</w:t>
            </w:r>
          </w:p>
        </w:tc>
      </w:tr>
    </w:tbl>
    <w:p w14:paraId="416A3AC1" w14:textId="2E9AA60D" w:rsidR="00A20E9F" w:rsidRDefault="004C6223" w:rsidP="00391005">
      <w:pPr>
        <w:pStyle w:val="ListParagraph"/>
      </w:pPr>
      <w:r>
        <w:lastRenderedPageBreak/>
        <w:t>To determine whether the false positive rate was directly linked to putative LTR pair sequence identity, the set 1 parameters from above were used for ten additional runs where the LTR homology requirement was gradually increased (</w:t>
      </w:r>
      <w:r w:rsidRPr="004C6223">
        <w:fldChar w:fldCharType="begin" w:fldLock="1"/>
      </w:r>
      <w:r w:rsidRPr="004C6223">
        <w:instrText xml:space="preserve"> REF _Ref477431764 \h  \* MERGEFORMAT </w:instrText>
      </w:r>
      <w:r w:rsidRPr="004C6223">
        <w:fldChar w:fldCharType="separate"/>
      </w:r>
      <w:r w:rsidR="002C549C" w:rsidRPr="00E71235">
        <w:t xml:space="preserve">Table </w:t>
      </w:r>
      <w:r w:rsidR="002C549C">
        <w:rPr>
          <w:noProof/>
        </w:rPr>
        <w:t>3</w:t>
      </w:r>
      <w:r w:rsidR="002C549C" w:rsidRPr="00E71235">
        <w:rPr>
          <w:noProof/>
        </w:rPr>
        <w:t>.</w:t>
      </w:r>
      <w:r w:rsidR="002C549C">
        <w:rPr>
          <w:noProof/>
        </w:rPr>
        <w:t>7</w:t>
      </w:r>
      <w:r w:rsidRPr="004C6223">
        <w:fldChar w:fldCharType="end"/>
      </w:r>
      <w:r>
        <w:t xml:space="preserve">). </w:t>
      </w:r>
      <w:r w:rsidR="00880FF4">
        <w:t xml:space="preserve">False positive rates remained high throughout, despite the increasingly stringent requirements for near perfect LTR pair identity. </w:t>
      </w:r>
    </w:p>
    <w:p w14:paraId="24D089D6" w14:textId="0D9E8C64" w:rsidR="00C75DD5" w:rsidRDefault="004C6223" w:rsidP="004C6223">
      <w:pPr>
        <w:pStyle w:val="Caption"/>
      </w:pPr>
      <w:bookmarkStart w:id="167" w:name="_Ref477431764"/>
      <w:bookmarkStart w:id="168" w:name="_Toc486786307"/>
      <w:r w:rsidRPr="00E71235">
        <w:t xml:space="preserve">Table </w:t>
      </w:r>
      <w:fldSimple w:instr=" STYLEREF 1 \s " w:fldLock="1">
        <w:r w:rsidR="002C549C">
          <w:rPr>
            <w:noProof/>
          </w:rPr>
          <w:t>3</w:t>
        </w:r>
      </w:fldSimple>
      <w:r w:rsidR="001167C6" w:rsidRPr="00E71235">
        <w:t>.</w:t>
      </w:r>
      <w:fldSimple w:instr=" SEQ Table \* ARABIC \s 1 " w:fldLock="1">
        <w:r w:rsidR="002C549C">
          <w:rPr>
            <w:noProof/>
          </w:rPr>
          <w:t>7</w:t>
        </w:r>
      </w:fldSimple>
      <w:bookmarkEnd w:id="167"/>
      <w:r>
        <w:t xml:space="preserve"> The impact of increasing the LTR pair identity on the false positive rate of LTR Harvest</w:t>
      </w:r>
      <w:bookmarkEnd w:id="168"/>
    </w:p>
    <w:tbl>
      <w:tblPr>
        <w:tblStyle w:val="TableGrid"/>
        <w:tblW w:w="821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7"/>
        <w:gridCol w:w="2126"/>
        <w:gridCol w:w="2126"/>
        <w:gridCol w:w="2263"/>
      </w:tblGrid>
      <w:tr w:rsidR="004C6223" w14:paraId="592C798F" w14:textId="77777777" w:rsidTr="00F678BC">
        <w:trPr>
          <w:trHeight w:val="515"/>
          <w:jc w:val="center"/>
        </w:trPr>
        <w:tc>
          <w:tcPr>
            <w:tcW w:w="1697" w:type="dxa"/>
            <w:tcBorders>
              <w:top w:val="single" w:sz="4" w:space="0" w:color="auto"/>
              <w:bottom w:val="single" w:sz="4" w:space="0" w:color="auto"/>
            </w:tcBorders>
            <w:vAlign w:val="center"/>
          </w:tcPr>
          <w:p w14:paraId="56F0330B" w14:textId="34331769" w:rsidR="004C6223" w:rsidRDefault="004C6223" w:rsidP="00F416D7">
            <w:pPr>
              <w:pStyle w:val="Tablecontent"/>
              <w:jc w:val="center"/>
            </w:pPr>
            <w:r>
              <w:t>LTR identity (%)</w:t>
            </w:r>
          </w:p>
        </w:tc>
        <w:tc>
          <w:tcPr>
            <w:tcW w:w="2126" w:type="dxa"/>
            <w:tcBorders>
              <w:top w:val="single" w:sz="4" w:space="0" w:color="auto"/>
              <w:bottom w:val="single" w:sz="4" w:space="0" w:color="auto"/>
            </w:tcBorders>
            <w:vAlign w:val="center"/>
          </w:tcPr>
          <w:p w14:paraId="57E31119" w14:textId="77777777" w:rsidR="004C6223" w:rsidRDefault="004C6223" w:rsidP="00F416D7">
            <w:pPr>
              <w:pStyle w:val="Tablecontent"/>
              <w:jc w:val="center"/>
            </w:pPr>
            <w:r>
              <w:t>Identified elements</w:t>
            </w:r>
          </w:p>
        </w:tc>
        <w:tc>
          <w:tcPr>
            <w:tcW w:w="2126" w:type="dxa"/>
            <w:tcBorders>
              <w:top w:val="single" w:sz="4" w:space="0" w:color="auto"/>
              <w:bottom w:val="single" w:sz="4" w:space="0" w:color="auto"/>
            </w:tcBorders>
            <w:vAlign w:val="center"/>
          </w:tcPr>
          <w:p w14:paraId="3D13DFB2" w14:textId="77777777" w:rsidR="004C6223" w:rsidRDefault="004C6223" w:rsidP="00F416D7">
            <w:pPr>
              <w:pStyle w:val="Tablecontent"/>
              <w:jc w:val="center"/>
            </w:pPr>
            <w:r>
              <w:t>Confirmed elements</w:t>
            </w:r>
          </w:p>
        </w:tc>
        <w:tc>
          <w:tcPr>
            <w:tcW w:w="2263" w:type="dxa"/>
            <w:tcBorders>
              <w:top w:val="single" w:sz="4" w:space="0" w:color="auto"/>
              <w:bottom w:val="single" w:sz="4" w:space="0" w:color="auto"/>
            </w:tcBorders>
            <w:vAlign w:val="center"/>
          </w:tcPr>
          <w:p w14:paraId="3E7993EB" w14:textId="77777777" w:rsidR="004C6223" w:rsidRDefault="004C6223" w:rsidP="00F416D7">
            <w:pPr>
              <w:pStyle w:val="Tablecontent"/>
              <w:jc w:val="center"/>
            </w:pPr>
            <w:r>
              <w:t>False positive rate (%)</w:t>
            </w:r>
          </w:p>
        </w:tc>
      </w:tr>
      <w:tr w:rsidR="00F678BC" w14:paraId="460573D5" w14:textId="77777777" w:rsidTr="00F678BC">
        <w:trPr>
          <w:jc w:val="center"/>
        </w:trPr>
        <w:tc>
          <w:tcPr>
            <w:tcW w:w="1697" w:type="dxa"/>
            <w:tcBorders>
              <w:top w:val="single" w:sz="4" w:space="0" w:color="auto"/>
            </w:tcBorders>
          </w:tcPr>
          <w:p w14:paraId="73B8392C" w14:textId="72708C0A" w:rsidR="00F678BC" w:rsidRDefault="00F678BC" w:rsidP="00F416D7">
            <w:pPr>
              <w:pStyle w:val="Tablecontent"/>
              <w:jc w:val="center"/>
            </w:pPr>
            <w:r>
              <w:t>75 (set 1)</w:t>
            </w:r>
          </w:p>
        </w:tc>
        <w:tc>
          <w:tcPr>
            <w:tcW w:w="2126" w:type="dxa"/>
            <w:tcBorders>
              <w:top w:val="single" w:sz="4" w:space="0" w:color="auto"/>
            </w:tcBorders>
          </w:tcPr>
          <w:p w14:paraId="7D7645FD" w14:textId="34767C6C" w:rsidR="00F678BC" w:rsidRDefault="00F678BC" w:rsidP="00F416D7">
            <w:pPr>
              <w:pStyle w:val="Tablecontent"/>
              <w:jc w:val="center"/>
            </w:pPr>
            <w:r>
              <w:t>5,264</w:t>
            </w:r>
          </w:p>
        </w:tc>
        <w:tc>
          <w:tcPr>
            <w:tcW w:w="2126" w:type="dxa"/>
            <w:tcBorders>
              <w:top w:val="single" w:sz="4" w:space="0" w:color="auto"/>
            </w:tcBorders>
          </w:tcPr>
          <w:p w14:paraId="3D68089A" w14:textId="66BDF65E" w:rsidR="00F678BC" w:rsidRDefault="00F678BC" w:rsidP="00F416D7">
            <w:pPr>
              <w:pStyle w:val="Tablecontent"/>
              <w:jc w:val="center"/>
            </w:pPr>
            <w:r>
              <w:t>643</w:t>
            </w:r>
          </w:p>
        </w:tc>
        <w:tc>
          <w:tcPr>
            <w:tcW w:w="2263" w:type="dxa"/>
            <w:tcBorders>
              <w:top w:val="single" w:sz="4" w:space="0" w:color="auto"/>
            </w:tcBorders>
          </w:tcPr>
          <w:p w14:paraId="5B1EC200" w14:textId="5D7B3083" w:rsidR="00F678BC" w:rsidRDefault="00F678BC" w:rsidP="00F416D7">
            <w:pPr>
              <w:pStyle w:val="Tablecontent"/>
              <w:jc w:val="center"/>
            </w:pPr>
            <w:r>
              <w:t>87.8</w:t>
            </w:r>
          </w:p>
        </w:tc>
      </w:tr>
      <w:tr w:rsidR="004C6223" w14:paraId="15B39B51" w14:textId="77777777" w:rsidTr="00F678BC">
        <w:trPr>
          <w:jc w:val="center"/>
        </w:trPr>
        <w:tc>
          <w:tcPr>
            <w:tcW w:w="1697" w:type="dxa"/>
          </w:tcPr>
          <w:p w14:paraId="1A403EF7" w14:textId="5B0F6817" w:rsidR="004C6223" w:rsidRDefault="004C6223" w:rsidP="00F416D7">
            <w:pPr>
              <w:pStyle w:val="Tablecontent"/>
              <w:jc w:val="center"/>
            </w:pPr>
            <w:r>
              <w:t>85</w:t>
            </w:r>
          </w:p>
        </w:tc>
        <w:tc>
          <w:tcPr>
            <w:tcW w:w="2126" w:type="dxa"/>
          </w:tcPr>
          <w:p w14:paraId="2DBC3F4E" w14:textId="79838DAF" w:rsidR="004C6223" w:rsidRPr="00A062CC" w:rsidRDefault="004C6223" w:rsidP="00F416D7">
            <w:pPr>
              <w:pStyle w:val="Tablecontent"/>
              <w:jc w:val="center"/>
            </w:pPr>
            <w:r>
              <w:t>3,792</w:t>
            </w:r>
          </w:p>
        </w:tc>
        <w:tc>
          <w:tcPr>
            <w:tcW w:w="2126" w:type="dxa"/>
          </w:tcPr>
          <w:p w14:paraId="29D5684E" w14:textId="489289B0" w:rsidR="004C6223" w:rsidRPr="00A062CC" w:rsidRDefault="002258DF" w:rsidP="00F416D7">
            <w:pPr>
              <w:pStyle w:val="Tablecontent"/>
              <w:jc w:val="center"/>
            </w:pPr>
            <w:r>
              <w:t>559</w:t>
            </w:r>
          </w:p>
        </w:tc>
        <w:tc>
          <w:tcPr>
            <w:tcW w:w="2263" w:type="dxa"/>
          </w:tcPr>
          <w:p w14:paraId="7B0F516C" w14:textId="4525F65C" w:rsidR="004C6223" w:rsidRPr="00A062CC" w:rsidRDefault="002258DF" w:rsidP="00F416D7">
            <w:pPr>
              <w:pStyle w:val="Tablecontent"/>
              <w:jc w:val="center"/>
            </w:pPr>
            <w:r>
              <w:t>85.3</w:t>
            </w:r>
          </w:p>
        </w:tc>
      </w:tr>
      <w:tr w:rsidR="004C6223" w14:paraId="61AAFCF7" w14:textId="77777777" w:rsidTr="004C6223">
        <w:trPr>
          <w:jc w:val="center"/>
        </w:trPr>
        <w:tc>
          <w:tcPr>
            <w:tcW w:w="1697" w:type="dxa"/>
          </w:tcPr>
          <w:p w14:paraId="265A284D" w14:textId="21447E25" w:rsidR="004C6223" w:rsidRDefault="004C6223" w:rsidP="00F416D7">
            <w:pPr>
              <w:pStyle w:val="Tablecontent"/>
              <w:jc w:val="center"/>
            </w:pPr>
            <w:r>
              <w:t>87</w:t>
            </w:r>
          </w:p>
        </w:tc>
        <w:tc>
          <w:tcPr>
            <w:tcW w:w="2126" w:type="dxa"/>
          </w:tcPr>
          <w:p w14:paraId="6BC8DC73" w14:textId="3B18F01B" w:rsidR="004C6223" w:rsidRPr="00A062CC" w:rsidRDefault="004C6223" w:rsidP="00F416D7">
            <w:pPr>
              <w:pStyle w:val="Tablecontent"/>
              <w:jc w:val="center"/>
            </w:pPr>
            <w:r>
              <w:t>3,173</w:t>
            </w:r>
          </w:p>
        </w:tc>
        <w:tc>
          <w:tcPr>
            <w:tcW w:w="2126" w:type="dxa"/>
          </w:tcPr>
          <w:p w14:paraId="13BE16C0" w14:textId="6EA61CAF" w:rsidR="004C6223" w:rsidRPr="00A062CC" w:rsidRDefault="002258DF" w:rsidP="00F416D7">
            <w:pPr>
              <w:pStyle w:val="Tablecontent"/>
              <w:jc w:val="center"/>
            </w:pPr>
            <w:r>
              <w:t>527</w:t>
            </w:r>
          </w:p>
        </w:tc>
        <w:tc>
          <w:tcPr>
            <w:tcW w:w="2263" w:type="dxa"/>
          </w:tcPr>
          <w:p w14:paraId="7E7B77AC" w14:textId="779F91D4" w:rsidR="004C6223" w:rsidRPr="00A062CC" w:rsidRDefault="002258DF" w:rsidP="00F416D7">
            <w:pPr>
              <w:pStyle w:val="Tablecontent"/>
              <w:jc w:val="center"/>
            </w:pPr>
            <w:r>
              <w:t>83.4</w:t>
            </w:r>
          </w:p>
        </w:tc>
      </w:tr>
      <w:tr w:rsidR="004C6223" w14:paraId="1E0F87DE" w14:textId="77777777" w:rsidTr="004C6223">
        <w:trPr>
          <w:jc w:val="center"/>
        </w:trPr>
        <w:tc>
          <w:tcPr>
            <w:tcW w:w="1697" w:type="dxa"/>
          </w:tcPr>
          <w:p w14:paraId="15AD15F9" w14:textId="16961EAE" w:rsidR="004C6223" w:rsidRDefault="004C6223" w:rsidP="00F416D7">
            <w:pPr>
              <w:pStyle w:val="Tablecontent"/>
              <w:jc w:val="center"/>
            </w:pPr>
            <w:r>
              <w:t>90</w:t>
            </w:r>
          </w:p>
        </w:tc>
        <w:tc>
          <w:tcPr>
            <w:tcW w:w="2126" w:type="dxa"/>
          </w:tcPr>
          <w:p w14:paraId="2C30B50B" w14:textId="4FF79C05" w:rsidR="004C6223" w:rsidRPr="00A062CC" w:rsidRDefault="004C6223" w:rsidP="00F416D7">
            <w:pPr>
              <w:pStyle w:val="Tablecontent"/>
              <w:jc w:val="center"/>
            </w:pPr>
            <w:r>
              <w:t>2,337</w:t>
            </w:r>
          </w:p>
        </w:tc>
        <w:tc>
          <w:tcPr>
            <w:tcW w:w="2126" w:type="dxa"/>
          </w:tcPr>
          <w:p w14:paraId="639E3AB0" w14:textId="08AF3E2D" w:rsidR="004C6223" w:rsidRPr="00A062CC" w:rsidRDefault="002258DF" w:rsidP="00F416D7">
            <w:pPr>
              <w:pStyle w:val="Tablecontent"/>
              <w:jc w:val="center"/>
            </w:pPr>
            <w:r>
              <w:t>525</w:t>
            </w:r>
          </w:p>
        </w:tc>
        <w:tc>
          <w:tcPr>
            <w:tcW w:w="2263" w:type="dxa"/>
          </w:tcPr>
          <w:p w14:paraId="483E6E05" w14:textId="240B84DD" w:rsidR="004C6223" w:rsidRPr="00A062CC" w:rsidRDefault="002258DF" w:rsidP="00F416D7">
            <w:pPr>
              <w:pStyle w:val="Tablecontent"/>
              <w:jc w:val="center"/>
            </w:pPr>
            <w:r>
              <w:t>77.5</w:t>
            </w:r>
          </w:p>
        </w:tc>
      </w:tr>
      <w:tr w:rsidR="004C6223" w14:paraId="1CA79BF2" w14:textId="77777777" w:rsidTr="004C6223">
        <w:trPr>
          <w:jc w:val="center"/>
        </w:trPr>
        <w:tc>
          <w:tcPr>
            <w:tcW w:w="1697" w:type="dxa"/>
          </w:tcPr>
          <w:p w14:paraId="2F1B872C" w14:textId="189E497B" w:rsidR="004C6223" w:rsidRDefault="004C6223" w:rsidP="00F416D7">
            <w:pPr>
              <w:pStyle w:val="Tablecontent"/>
              <w:jc w:val="center"/>
            </w:pPr>
            <w:r>
              <w:t>92</w:t>
            </w:r>
          </w:p>
        </w:tc>
        <w:tc>
          <w:tcPr>
            <w:tcW w:w="2126" w:type="dxa"/>
          </w:tcPr>
          <w:p w14:paraId="4E1D624C" w14:textId="4803E507" w:rsidR="004C6223" w:rsidRPr="00A062CC" w:rsidRDefault="004C6223" w:rsidP="00F416D7">
            <w:pPr>
              <w:pStyle w:val="Tablecontent"/>
              <w:jc w:val="center"/>
            </w:pPr>
            <w:r>
              <w:t>1,012</w:t>
            </w:r>
          </w:p>
        </w:tc>
        <w:tc>
          <w:tcPr>
            <w:tcW w:w="2126" w:type="dxa"/>
          </w:tcPr>
          <w:p w14:paraId="5850EA1B" w14:textId="20F7EE15" w:rsidR="004C6223" w:rsidRPr="00A062CC" w:rsidRDefault="002258DF" w:rsidP="00F416D7">
            <w:pPr>
              <w:pStyle w:val="Tablecontent"/>
              <w:jc w:val="center"/>
            </w:pPr>
            <w:r>
              <w:t>521</w:t>
            </w:r>
          </w:p>
        </w:tc>
        <w:tc>
          <w:tcPr>
            <w:tcW w:w="2263" w:type="dxa"/>
          </w:tcPr>
          <w:p w14:paraId="3331E840" w14:textId="7B7D0A48" w:rsidR="004C6223" w:rsidRPr="00A062CC" w:rsidRDefault="002258DF" w:rsidP="00F416D7">
            <w:pPr>
              <w:pStyle w:val="Tablecontent"/>
              <w:jc w:val="center"/>
            </w:pPr>
            <w:r>
              <w:t>49.5</w:t>
            </w:r>
          </w:p>
        </w:tc>
      </w:tr>
      <w:tr w:rsidR="004C6223" w14:paraId="529B3FB3" w14:textId="77777777" w:rsidTr="004C6223">
        <w:trPr>
          <w:jc w:val="center"/>
        </w:trPr>
        <w:tc>
          <w:tcPr>
            <w:tcW w:w="1697" w:type="dxa"/>
          </w:tcPr>
          <w:p w14:paraId="0D0AF46F" w14:textId="248E6E25" w:rsidR="004C6223" w:rsidRDefault="004C6223" w:rsidP="00F416D7">
            <w:pPr>
              <w:pStyle w:val="Tablecontent"/>
              <w:jc w:val="center"/>
            </w:pPr>
            <w:r>
              <w:t>95</w:t>
            </w:r>
          </w:p>
        </w:tc>
        <w:tc>
          <w:tcPr>
            <w:tcW w:w="2126" w:type="dxa"/>
          </w:tcPr>
          <w:p w14:paraId="784FEC29" w14:textId="49A082A4" w:rsidR="004C6223" w:rsidRPr="00A062CC" w:rsidRDefault="004C6223" w:rsidP="00F416D7">
            <w:pPr>
              <w:pStyle w:val="Tablecontent"/>
              <w:jc w:val="center"/>
            </w:pPr>
            <w:r>
              <w:t>958</w:t>
            </w:r>
          </w:p>
        </w:tc>
        <w:tc>
          <w:tcPr>
            <w:tcW w:w="2126" w:type="dxa"/>
          </w:tcPr>
          <w:p w14:paraId="2D23D6AF" w14:textId="069257B5" w:rsidR="004C6223" w:rsidRPr="00A062CC" w:rsidRDefault="004C6223" w:rsidP="00F416D7">
            <w:pPr>
              <w:pStyle w:val="Tablecontent"/>
              <w:jc w:val="center"/>
            </w:pPr>
            <w:r>
              <w:t>497</w:t>
            </w:r>
          </w:p>
        </w:tc>
        <w:tc>
          <w:tcPr>
            <w:tcW w:w="2263" w:type="dxa"/>
          </w:tcPr>
          <w:p w14:paraId="52EFBFBB" w14:textId="5A0B2E95" w:rsidR="004C6223" w:rsidRPr="00A062CC" w:rsidRDefault="004C6223" w:rsidP="00F416D7">
            <w:pPr>
              <w:pStyle w:val="Tablecontent"/>
              <w:jc w:val="center"/>
            </w:pPr>
            <w:r>
              <w:t>48.1</w:t>
            </w:r>
          </w:p>
        </w:tc>
      </w:tr>
      <w:tr w:rsidR="004C6223" w14:paraId="0455111A" w14:textId="77777777" w:rsidTr="004C6223">
        <w:trPr>
          <w:jc w:val="center"/>
        </w:trPr>
        <w:tc>
          <w:tcPr>
            <w:tcW w:w="1697" w:type="dxa"/>
          </w:tcPr>
          <w:p w14:paraId="447FD000" w14:textId="4B727228" w:rsidR="004C6223" w:rsidRDefault="004C6223" w:rsidP="00F416D7">
            <w:pPr>
              <w:pStyle w:val="Tablecontent"/>
              <w:jc w:val="center"/>
            </w:pPr>
            <w:r>
              <w:t>96</w:t>
            </w:r>
          </w:p>
        </w:tc>
        <w:tc>
          <w:tcPr>
            <w:tcW w:w="2126" w:type="dxa"/>
          </w:tcPr>
          <w:p w14:paraId="765B732A" w14:textId="10B63064" w:rsidR="004C6223" w:rsidRPr="00A062CC" w:rsidRDefault="004C6223" w:rsidP="00F416D7">
            <w:pPr>
              <w:pStyle w:val="Tablecontent"/>
              <w:jc w:val="center"/>
            </w:pPr>
            <w:r>
              <w:t>735</w:t>
            </w:r>
          </w:p>
        </w:tc>
        <w:tc>
          <w:tcPr>
            <w:tcW w:w="2126" w:type="dxa"/>
          </w:tcPr>
          <w:p w14:paraId="2D5E0EA4" w14:textId="3948A19D" w:rsidR="004C6223" w:rsidRPr="00A062CC" w:rsidRDefault="004C6223" w:rsidP="00F416D7">
            <w:pPr>
              <w:pStyle w:val="Tablecontent"/>
              <w:jc w:val="center"/>
            </w:pPr>
            <w:r>
              <w:t>379</w:t>
            </w:r>
          </w:p>
        </w:tc>
        <w:tc>
          <w:tcPr>
            <w:tcW w:w="2263" w:type="dxa"/>
          </w:tcPr>
          <w:p w14:paraId="0C647123" w14:textId="5D0E9AF6" w:rsidR="004C6223" w:rsidRPr="00A062CC" w:rsidRDefault="004C6223" w:rsidP="00F416D7">
            <w:pPr>
              <w:pStyle w:val="Tablecontent"/>
              <w:jc w:val="center"/>
            </w:pPr>
            <w:r>
              <w:t>48.4</w:t>
            </w:r>
          </w:p>
        </w:tc>
      </w:tr>
      <w:tr w:rsidR="004C6223" w14:paraId="06C3A81D" w14:textId="77777777" w:rsidTr="004C6223">
        <w:trPr>
          <w:jc w:val="center"/>
        </w:trPr>
        <w:tc>
          <w:tcPr>
            <w:tcW w:w="1697" w:type="dxa"/>
          </w:tcPr>
          <w:p w14:paraId="207E5C72" w14:textId="73C1F3CE" w:rsidR="004C6223" w:rsidRDefault="004C6223" w:rsidP="00F416D7">
            <w:pPr>
              <w:pStyle w:val="Tablecontent"/>
              <w:jc w:val="center"/>
            </w:pPr>
            <w:r>
              <w:t>97</w:t>
            </w:r>
          </w:p>
        </w:tc>
        <w:tc>
          <w:tcPr>
            <w:tcW w:w="2126" w:type="dxa"/>
          </w:tcPr>
          <w:p w14:paraId="2AAD3664" w14:textId="2B54788E" w:rsidR="004C6223" w:rsidRPr="00A062CC" w:rsidRDefault="004C6223" w:rsidP="00F416D7">
            <w:pPr>
              <w:pStyle w:val="Tablecontent"/>
              <w:jc w:val="center"/>
            </w:pPr>
            <w:r>
              <w:t>531</w:t>
            </w:r>
          </w:p>
        </w:tc>
        <w:tc>
          <w:tcPr>
            <w:tcW w:w="2126" w:type="dxa"/>
          </w:tcPr>
          <w:p w14:paraId="520C5DEA" w14:textId="7F3A011C" w:rsidR="004C6223" w:rsidRPr="00A062CC" w:rsidRDefault="004C6223" w:rsidP="00F416D7">
            <w:pPr>
              <w:pStyle w:val="Tablecontent"/>
              <w:jc w:val="center"/>
            </w:pPr>
            <w:r>
              <w:t>275</w:t>
            </w:r>
          </w:p>
        </w:tc>
        <w:tc>
          <w:tcPr>
            <w:tcW w:w="2263" w:type="dxa"/>
          </w:tcPr>
          <w:p w14:paraId="3F7BADB4" w14:textId="26865244" w:rsidR="004C6223" w:rsidRPr="00A062CC" w:rsidRDefault="004C6223" w:rsidP="00F416D7">
            <w:pPr>
              <w:pStyle w:val="Tablecontent"/>
              <w:jc w:val="center"/>
            </w:pPr>
            <w:r>
              <w:t>48.2</w:t>
            </w:r>
          </w:p>
        </w:tc>
      </w:tr>
      <w:tr w:rsidR="004C6223" w14:paraId="2C8ED733" w14:textId="77777777" w:rsidTr="004C6223">
        <w:trPr>
          <w:jc w:val="center"/>
        </w:trPr>
        <w:tc>
          <w:tcPr>
            <w:tcW w:w="1697" w:type="dxa"/>
          </w:tcPr>
          <w:p w14:paraId="08472C66" w14:textId="2B5B84CF" w:rsidR="004C6223" w:rsidRDefault="004C6223" w:rsidP="00F416D7">
            <w:pPr>
              <w:pStyle w:val="Tablecontent"/>
              <w:jc w:val="center"/>
            </w:pPr>
            <w:r>
              <w:t>98</w:t>
            </w:r>
          </w:p>
        </w:tc>
        <w:tc>
          <w:tcPr>
            <w:tcW w:w="2126" w:type="dxa"/>
          </w:tcPr>
          <w:p w14:paraId="2D7EF2EA" w14:textId="35B21F3C" w:rsidR="004C6223" w:rsidRPr="00A062CC" w:rsidRDefault="004C6223" w:rsidP="00F416D7">
            <w:pPr>
              <w:pStyle w:val="Tablecontent"/>
              <w:jc w:val="center"/>
            </w:pPr>
            <w:r>
              <w:t>293</w:t>
            </w:r>
          </w:p>
        </w:tc>
        <w:tc>
          <w:tcPr>
            <w:tcW w:w="2126" w:type="dxa"/>
          </w:tcPr>
          <w:p w14:paraId="7A39B4C6" w14:textId="4EC35719" w:rsidR="004C6223" w:rsidRPr="00A062CC" w:rsidRDefault="004C6223" w:rsidP="00F416D7">
            <w:pPr>
              <w:pStyle w:val="Tablecontent"/>
              <w:jc w:val="center"/>
            </w:pPr>
            <w:r>
              <w:t>159</w:t>
            </w:r>
          </w:p>
        </w:tc>
        <w:tc>
          <w:tcPr>
            <w:tcW w:w="2263" w:type="dxa"/>
          </w:tcPr>
          <w:p w14:paraId="12D911DC" w14:textId="0CEC6B58" w:rsidR="004C6223" w:rsidRPr="00A062CC" w:rsidRDefault="004C6223" w:rsidP="00F416D7">
            <w:pPr>
              <w:pStyle w:val="Tablecontent"/>
              <w:jc w:val="center"/>
            </w:pPr>
            <w:r>
              <w:t>45.7</w:t>
            </w:r>
          </w:p>
        </w:tc>
      </w:tr>
      <w:tr w:rsidR="004C6223" w14:paraId="28329591" w14:textId="77777777" w:rsidTr="004C6223">
        <w:trPr>
          <w:jc w:val="center"/>
        </w:trPr>
        <w:tc>
          <w:tcPr>
            <w:tcW w:w="1697" w:type="dxa"/>
          </w:tcPr>
          <w:p w14:paraId="44AE2B5F" w14:textId="1A65771B" w:rsidR="004C6223" w:rsidRDefault="004C6223" w:rsidP="00F416D7">
            <w:pPr>
              <w:pStyle w:val="Tablecontent"/>
              <w:jc w:val="center"/>
            </w:pPr>
            <w:r>
              <w:t>99</w:t>
            </w:r>
          </w:p>
        </w:tc>
        <w:tc>
          <w:tcPr>
            <w:tcW w:w="2126" w:type="dxa"/>
          </w:tcPr>
          <w:p w14:paraId="68C2BAF8" w14:textId="7C758F62" w:rsidR="004C6223" w:rsidRPr="00A062CC" w:rsidRDefault="004C6223" w:rsidP="00F416D7">
            <w:pPr>
              <w:pStyle w:val="Tablecontent"/>
              <w:jc w:val="center"/>
            </w:pPr>
            <w:r>
              <w:t>112</w:t>
            </w:r>
          </w:p>
        </w:tc>
        <w:tc>
          <w:tcPr>
            <w:tcW w:w="2126" w:type="dxa"/>
          </w:tcPr>
          <w:p w14:paraId="118BA5AC" w14:textId="1E5D63EF" w:rsidR="004C6223" w:rsidRPr="00A062CC" w:rsidRDefault="004C6223" w:rsidP="00F416D7">
            <w:pPr>
              <w:pStyle w:val="Tablecontent"/>
              <w:jc w:val="center"/>
            </w:pPr>
            <w:r>
              <w:t>73</w:t>
            </w:r>
          </w:p>
        </w:tc>
        <w:tc>
          <w:tcPr>
            <w:tcW w:w="2263" w:type="dxa"/>
          </w:tcPr>
          <w:p w14:paraId="355F6857" w14:textId="6F260971" w:rsidR="004C6223" w:rsidRPr="00A062CC" w:rsidRDefault="004C6223" w:rsidP="00F416D7">
            <w:pPr>
              <w:pStyle w:val="Tablecontent"/>
              <w:jc w:val="center"/>
            </w:pPr>
            <w:r>
              <w:t>34.8</w:t>
            </w:r>
          </w:p>
        </w:tc>
      </w:tr>
      <w:tr w:rsidR="004C6223" w14:paraId="3EEC219E" w14:textId="77777777" w:rsidTr="004C6223">
        <w:trPr>
          <w:jc w:val="center"/>
        </w:trPr>
        <w:tc>
          <w:tcPr>
            <w:tcW w:w="1697" w:type="dxa"/>
            <w:tcBorders>
              <w:bottom w:val="single" w:sz="4" w:space="0" w:color="auto"/>
            </w:tcBorders>
          </w:tcPr>
          <w:p w14:paraId="77B776C1" w14:textId="65DF7F98" w:rsidR="004C6223" w:rsidRDefault="004C6223" w:rsidP="00F416D7">
            <w:pPr>
              <w:pStyle w:val="Tablecontent"/>
              <w:jc w:val="center"/>
            </w:pPr>
            <w:r>
              <w:t>100</w:t>
            </w:r>
          </w:p>
        </w:tc>
        <w:tc>
          <w:tcPr>
            <w:tcW w:w="2126" w:type="dxa"/>
            <w:tcBorders>
              <w:bottom w:val="single" w:sz="4" w:space="0" w:color="auto"/>
            </w:tcBorders>
          </w:tcPr>
          <w:p w14:paraId="5453C0F3" w14:textId="79A7CD69" w:rsidR="004C6223" w:rsidRPr="00A062CC" w:rsidRDefault="004C6223" w:rsidP="00F416D7">
            <w:pPr>
              <w:pStyle w:val="Tablecontent"/>
              <w:jc w:val="center"/>
            </w:pPr>
            <w:r>
              <w:t>30</w:t>
            </w:r>
          </w:p>
        </w:tc>
        <w:tc>
          <w:tcPr>
            <w:tcW w:w="2126" w:type="dxa"/>
            <w:tcBorders>
              <w:bottom w:val="single" w:sz="4" w:space="0" w:color="auto"/>
            </w:tcBorders>
          </w:tcPr>
          <w:p w14:paraId="2C1E076A" w14:textId="5A8B0F5B" w:rsidR="004C6223" w:rsidRPr="00A062CC" w:rsidRDefault="004C6223" w:rsidP="00F416D7">
            <w:pPr>
              <w:pStyle w:val="Tablecontent"/>
              <w:jc w:val="center"/>
            </w:pPr>
            <w:r>
              <w:t>27</w:t>
            </w:r>
          </w:p>
        </w:tc>
        <w:tc>
          <w:tcPr>
            <w:tcW w:w="2263" w:type="dxa"/>
            <w:tcBorders>
              <w:bottom w:val="single" w:sz="4" w:space="0" w:color="auto"/>
            </w:tcBorders>
          </w:tcPr>
          <w:p w14:paraId="170F3EE2" w14:textId="312AFF13" w:rsidR="004C6223" w:rsidRPr="00A062CC" w:rsidRDefault="004C6223" w:rsidP="00F416D7">
            <w:pPr>
              <w:pStyle w:val="Tablecontent"/>
              <w:jc w:val="center"/>
            </w:pPr>
            <w:r>
              <w:t>10.0</w:t>
            </w:r>
          </w:p>
        </w:tc>
      </w:tr>
    </w:tbl>
    <w:p w14:paraId="545C3B6E" w14:textId="2526B36C" w:rsidR="00C75DD5" w:rsidRDefault="00C75DD5" w:rsidP="00391005">
      <w:pPr>
        <w:pStyle w:val="ListParagraph"/>
      </w:pPr>
    </w:p>
    <w:p w14:paraId="1A4A8137" w14:textId="76597BA9" w:rsidR="00A20E9F" w:rsidRDefault="00A20E9F" w:rsidP="00391005">
      <w:pPr>
        <w:pStyle w:val="ListParagraph"/>
      </w:pPr>
      <w:r>
        <w:t xml:space="preserve">This again </w:t>
      </w:r>
      <w:r w:rsidR="00BE6700">
        <w:t>highlight</w:t>
      </w:r>
      <w:r>
        <w:t xml:space="preserve">s the need for strict feature annotation for confirmation of the putative LTR retrotransposons. Near identical false positive rates were observed with the GenomeTools validation program LTR Digest </w:t>
      </w:r>
      <w:r>
        <w:fldChar w:fldCharType="begin" w:fldLock="1"/>
      </w:r>
      <w:r w:rsidR="000604ED">
        <w:instrText>ADDIN CSL_CITATION { "citationItems" : [ { "id" : "ITEM-1", "itemData" : { "DOI" : "10.1093/nar/gkp759", "ISSN" : "1362-4962", "PMID" : "19786494", "abstract" : "Long terminal repeat (LTR) retrotransposons and endogenous retroviruses (ERVs) are transposable elements in eukaryotic genomes well suited for computational identification. De novo identification tools determine the position of potential LTR retrotransposon or ERV insertions in genomic sequences. For further analysis, it is desirable to obtain an annotation of the internal structure of such candidates. This article presents LTRdigest, a novel software tool for automated annotation of internal features of putative LTR retrotransposons. It uses local alignment and hidden Markov model-based algorithms to detect retrotransposon-associated protein domains as well as primer binding sites and polypurine tracts. As an example, we used LTRdigest results to identify 88 (near) full-length ERVs in the chromosome 4 sequence of Mus musculus, separating them from truncated insertions and other repeats. Furthermore, we propose a work flow for the use of LTRdigest in de novo LTR retrotransposon classification and perform an exemplary de novo analysis on the Drosophila melanogaster genome as a proof of concept. Using a new method solely based on the annotations generated by LTRdigest, 518 potential LTR retrotransposons were automatically assigned to 62 candidate groups. Representative sequences from 41 of these 62 groups were matched to reference sequences with &gt;80% global sequence similarity.", "author" : [ { "dropping-particle" : "", "family" : "Steinbiss", "given" : "Sascha", "non-dropping-particle" : "", "parse-names" : false, "suffix" : "" }, { "dropping-particle" : "", "family" : "Willhoeft", "given" : "Ute", "non-dropping-particle" : "", "parse-names" : false, "suffix" : "" }, { "dropping-particle" : "", "family" : "Gremme", "given" : "Gordon", "non-dropping-particle" : "", "parse-names" : false, "suffix" : "" }, { "dropping-particle" : "", "family" : "Kurtz", "given" : "Stefan", "non-dropping-particle" : "", "parse-names" : false, "suffix" : "" } ], "container-title" : "Nucleic acids research", "id" : "ITEM-1", "issue" : "21", "issued" : { "date-parts" : [ [ "2009", "11" ] ] }, "note" : "Invertebrates ERVs are commonly used synonymously with LTR retrotransposons.\n\n        \nHomology based methods (such as RepeatMasker) work best on genomes in which repeats have already been identified - as sequences of a large number of TE families are species specific. \n\n        \nTypical de novo tools rely on the repetitive structure of LTRs. But there are other domains which can be used:\n- polyproteins from gag/pol/env\n- PPT (polypurine tract) directly upstream from the inner 3&amp;#039; LTR boundary, about 8-22bp, purine rich (A/G) - sometimes associated with a U-box (uracil rich)\n- PBS (primer binding site) near the inner 5&amp;#039; LTR boundary\n\n        \nFinding PBS and PPT is implemented in the LTR_FINDER and RetroTector programs\n\n        \nLTRDigest presented as a way to detect and annotate internal features of LTR retrotransposon candidates. This can be used to help discriminate between full length elements and truncated ones with internal insertions. \n\n        \nSuggest that identification of these larger, more complete elements can then be used to help create libraries of solo LTRs etc. \n\n        \n\n        \nPBS Detection:\nDone by detecting regions complentary to host tRNA. Search area can be restricted as it is expected that it will fall nearby to the inner 5&amp;#039; LTR boundary. Use only high scoring alignments (using conservative alignment scores - user definable) done using the Smith-Waterman algorithm. Extra constraints such as minimum length and maximum allowed offsets are also used. \n\n        \nPPT Detection:\nDescribed by base composition of both the PPT and U-box, as well as their length and position near the 3&amp;#039; LTR inner boundary. Use a HMM to identify regions with a purine-rich base composition. Program reports both the PPT domain and the U-box region (if present).\n\n        \nProtein domain detection:\nuse of pHMMs.\nConsider the protein domains as the strongest evidence orientating the candidate. So the candidate domain with the smallest E value is used to dictate the orientation of the whole candidate.. Then PBS, then PPT.", "page" : "7002-13", "title" : "Fine-grained annotation and classification of de novo predicted LTR retrotransposons.", "type" : "article-journal", "volume" : "37" }, "uris" : [ "http://www.mendeley.com/documents/?uuid=f716d131-e207-490e-b38c-623fa51667c6" ] } ], "mendeley" : { "formattedCitation" : "(Steinbiss et al. 2009)", "plainTextFormattedCitation" : "(Steinbiss et al. 2009)", "previouslyFormattedCitation" : "(Steinbiss et al. 2009)" }, "properties" : { "noteIndex" : 0 }, "schema" : "https://github.com/citation-style-language/schema/raw/master/csl-citation.json" }</w:instrText>
      </w:r>
      <w:r>
        <w:fldChar w:fldCharType="separate"/>
      </w:r>
      <w:r w:rsidRPr="00A20E9F">
        <w:rPr>
          <w:noProof/>
        </w:rPr>
        <w:t>(Steinbiss et al. 2009)</w:t>
      </w:r>
      <w:r>
        <w:fldChar w:fldCharType="end"/>
      </w:r>
      <w:r>
        <w:t xml:space="preserve">, suggesting that these are indeed issues with </w:t>
      </w:r>
      <w:r w:rsidR="00D77584">
        <w:t xml:space="preserve">LH </w:t>
      </w:r>
      <w:r>
        <w:t>false positive rates, rather than over-conservatism in the feature annotation analysis.</w:t>
      </w:r>
      <w:r w:rsidR="00D77584">
        <w:t xml:space="preserve"> LTR Digest was not used as the validation methodology for all structure-based programs as it required putative LTR retrotransposons in strict GFF3 format, which proved difficult to </w:t>
      </w:r>
      <w:r w:rsidR="00F55675">
        <w:t xml:space="preserve">reliably produce from the </w:t>
      </w:r>
      <w:r w:rsidR="00D77584">
        <w:t>other programs. Additionally, construction of new scripts to confirm the putative LTR retrotransposons enabled a fresh review</w:t>
      </w:r>
      <w:r w:rsidR="00F55675">
        <w:t xml:space="preserve"> of the</w:t>
      </w:r>
      <w:r w:rsidR="00D77584">
        <w:t xml:space="preserve"> thresholds </w:t>
      </w:r>
      <w:r w:rsidR="00F55675">
        <w:t xml:space="preserve">used </w:t>
      </w:r>
      <w:r w:rsidR="00D77584">
        <w:t>for identifying these elements.</w:t>
      </w:r>
    </w:p>
    <w:p w14:paraId="60D9889F" w14:textId="13525488" w:rsidR="00871430" w:rsidRDefault="00871430" w:rsidP="00871430">
      <w:pPr>
        <w:pStyle w:val="Heading2"/>
      </w:pPr>
      <w:bookmarkStart w:id="169" w:name="_Toc485721591"/>
      <w:bookmarkStart w:id="170" w:name="_Toc486787171"/>
      <w:bookmarkStart w:id="171" w:name="_Toc486787319"/>
      <w:r>
        <w:lastRenderedPageBreak/>
        <w:t>The LocaTR analysis of the Galgal4 chicken assembly</w:t>
      </w:r>
      <w:bookmarkEnd w:id="169"/>
      <w:bookmarkEnd w:id="170"/>
      <w:bookmarkEnd w:id="171"/>
    </w:p>
    <w:p w14:paraId="72EC5EC5" w14:textId="29F347F0" w:rsidR="00CF55A9" w:rsidRDefault="00CF55A9" w:rsidP="00391005">
      <w:pPr>
        <w:pStyle w:val="ListParagraph"/>
      </w:pPr>
      <w:r>
        <w:t>In total, 31.5</w:t>
      </w:r>
      <w:r w:rsidR="004E5D89">
        <w:t xml:space="preserve"> </w:t>
      </w:r>
      <w:r>
        <w:t>Mb of the chicken genome was identified as LTR retrotransposon-derived sequence, accounting for 3.01</w:t>
      </w:r>
      <w:r w:rsidR="004E5D89">
        <w:t xml:space="preserve"> </w:t>
      </w:r>
      <w:r>
        <w:t xml:space="preserve">% of the Galgal4 chicken genome assembly. This comprised 36,109 annotated regions of which 1,073 were structurally intact elements (SIEs): more than double the number previously reported </w:t>
      </w:r>
      <w:r>
        <w:fldChar w:fldCharType="begin" w:fldLock="1"/>
      </w:r>
      <w:r w:rsidR="003909D7">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fldChar w:fldCharType="separate"/>
      </w:r>
      <w:r w:rsidRPr="00CF55A9">
        <w:rPr>
          <w:noProof/>
        </w:rPr>
        <w:t>(Bolisetty et al. 2012)</w:t>
      </w:r>
      <w:r>
        <w:fldChar w:fldCharType="end"/>
      </w:r>
      <w:r>
        <w:t xml:space="preserve">. </w:t>
      </w:r>
      <w:r w:rsidR="00E742D8">
        <w:t>Of</w:t>
      </w:r>
      <w:r>
        <w:t xml:space="preserve"> this total, the expanded homology protocol identified over 20.3</w:t>
      </w:r>
      <w:r w:rsidR="004E5D89">
        <w:t xml:space="preserve"> </w:t>
      </w:r>
      <w:r>
        <w:t>Mb of sequence, almost 4</w:t>
      </w:r>
      <w:r w:rsidR="004E5D89">
        <w:t xml:space="preserve"> </w:t>
      </w:r>
      <w:r>
        <w:t>Mb more than was annotated by RM using</w:t>
      </w:r>
      <w:r w:rsidR="003D006C">
        <w:t xml:space="preserve"> the chicken RepBase libraries (</w:t>
      </w:r>
      <w:r w:rsidR="003D006C" w:rsidRPr="003D006C">
        <w:fldChar w:fldCharType="begin" w:fldLock="1"/>
      </w:r>
      <w:r w:rsidR="003D006C" w:rsidRPr="003D006C">
        <w:instrText xml:space="preserve"> REF _Ref477414592 \h  \* MERGEFORMAT </w:instrText>
      </w:r>
      <w:r w:rsidR="003D006C" w:rsidRPr="003D006C">
        <w:fldChar w:fldCharType="separate"/>
      </w:r>
      <w:r w:rsidR="002C549C" w:rsidRPr="00E71235">
        <w:t xml:space="preserve">Table </w:t>
      </w:r>
      <w:r w:rsidR="002C549C">
        <w:rPr>
          <w:noProof/>
        </w:rPr>
        <w:t>3</w:t>
      </w:r>
      <w:r w:rsidR="002C549C" w:rsidRPr="00E71235">
        <w:rPr>
          <w:noProof/>
        </w:rPr>
        <w:t>.</w:t>
      </w:r>
      <w:r w:rsidR="002C549C">
        <w:rPr>
          <w:noProof/>
        </w:rPr>
        <w:t>3</w:t>
      </w:r>
      <w:r w:rsidR="003D006C" w:rsidRPr="003D006C">
        <w:fldChar w:fldCharType="end"/>
      </w:r>
      <w:r>
        <w:t>). The structural-based methodologies identified 9.1</w:t>
      </w:r>
      <w:r w:rsidR="004E5D89">
        <w:t xml:space="preserve"> </w:t>
      </w:r>
      <w:r>
        <w:t>Mb, 45.8</w:t>
      </w:r>
      <w:r w:rsidR="004E5D89">
        <w:t xml:space="preserve"> </w:t>
      </w:r>
      <w:r>
        <w:t>% of which was ‘novel’, having not been identified in the homology-based searches. The secondary BLAST analysis for fragments related to annotated SIEs identified an additional 7.1</w:t>
      </w:r>
      <w:r w:rsidR="004E5D89">
        <w:t xml:space="preserve"> </w:t>
      </w:r>
      <w:r w:rsidR="00F6396B">
        <w:t>Mb of sequence (</w:t>
      </w:r>
      <w:r w:rsidR="00F6396B" w:rsidRPr="00F6396B">
        <w:fldChar w:fldCharType="begin" w:fldLock="1"/>
      </w:r>
      <w:r w:rsidR="00F6396B" w:rsidRPr="00F6396B">
        <w:instrText xml:space="preserve"> REF _Ref478072361 \h  \* MERGEFORMAT </w:instrText>
      </w:r>
      <w:r w:rsidR="00F6396B" w:rsidRPr="00F6396B">
        <w:fldChar w:fldCharType="separate"/>
      </w:r>
      <w:r w:rsidR="002C549C" w:rsidRPr="00E71235">
        <w:t xml:space="preserve">Figure </w:t>
      </w:r>
      <w:r w:rsidR="002C549C">
        <w:rPr>
          <w:noProof/>
        </w:rPr>
        <w:t>3</w:t>
      </w:r>
      <w:r w:rsidR="002C549C" w:rsidRPr="00E71235">
        <w:rPr>
          <w:noProof/>
        </w:rPr>
        <w:t>.</w:t>
      </w:r>
      <w:r w:rsidR="002C549C">
        <w:rPr>
          <w:noProof/>
        </w:rPr>
        <w:t>2</w:t>
      </w:r>
      <w:r w:rsidR="00F6396B" w:rsidRPr="00F6396B">
        <w:fldChar w:fldCharType="end"/>
      </w:r>
      <w:r>
        <w:t xml:space="preserve">). </w:t>
      </w:r>
    </w:p>
    <w:p w14:paraId="7A76E114" w14:textId="77777777" w:rsidR="00E71235" w:rsidRPr="00E71235" w:rsidRDefault="00E71235" w:rsidP="00391005">
      <w:pPr>
        <w:pStyle w:val="ListParagraph"/>
        <w:rPr>
          <w:sz w:val="2"/>
        </w:rPr>
      </w:pPr>
    </w:p>
    <w:p w14:paraId="34360621" w14:textId="140BBA21" w:rsidR="00DC0A30" w:rsidRDefault="00DC0A30" w:rsidP="00E71235">
      <w:pPr>
        <w:pStyle w:val="ListParagraph"/>
        <w:jc w:val="center"/>
      </w:pPr>
      <w:r>
        <w:rPr>
          <w:noProof/>
          <w:lang w:eastAsia="en-GB"/>
        </w:rPr>
        <w:drawing>
          <wp:inline distT="0" distB="0" distL="0" distR="0" wp14:anchorId="20F04E18" wp14:editId="0311E074">
            <wp:extent cx="3155367" cy="2492091"/>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6977" cy="2493362"/>
                    </a:xfrm>
                    <a:prstGeom prst="rect">
                      <a:avLst/>
                    </a:prstGeom>
                    <a:noFill/>
                  </pic:spPr>
                </pic:pic>
              </a:graphicData>
            </a:graphic>
          </wp:inline>
        </w:drawing>
      </w:r>
    </w:p>
    <w:p w14:paraId="6CCC045D" w14:textId="7B845DB6" w:rsidR="00DC0A30" w:rsidRDefault="00DC0A30" w:rsidP="00F6396B">
      <w:pPr>
        <w:pStyle w:val="Figure"/>
      </w:pPr>
      <w:bookmarkStart w:id="172" w:name="_Ref478072361"/>
      <w:bookmarkStart w:id="173" w:name="_Toc486785428"/>
      <w:r w:rsidRPr="00E71235">
        <w:t xml:space="preserve">Figure </w:t>
      </w:r>
      <w:fldSimple w:instr=" STYLEREF 1 \s " w:fldLock="1">
        <w:r w:rsidR="002C549C">
          <w:rPr>
            <w:noProof/>
          </w:rPr>
          <w:t>3</w:t>
        </w:r>
      </w:fldSimple>
      <w:r w:rsidR="001167C6" w:rsidRPr="00E71235">
        <w:t>.</w:t>
      </w:r>
      <w:fldSimple w:instr=" SEQ Figure \* ARABIC \s 1 " w:fldLock="1">
        <w:r w:rsidR="002C549C">
          <w:rPr>
            <w:noProof/>
          </w:rPr>
          <w:t>2</w:t>
        </w:r>
      </w:fldSimple>
      <w:bookmarkEnd w:id="172"/>
      <w:r>
        <w:t xml:space="preserve"> Performance of the homology and structure-based identification methodologies. Euler diagram representing the relative proportion of LTR retrotransposon content identified by the homology (red), structure (blue) and secondary BLAST (purple) modules of the LocaTR pipeline. Numbers represent the total length in megabases (Mb); 31.5 Mb in total. Homology methods identif</w:t>
      </w:r>
      <w:r w:rsidR="00F6396B">
        <w:t>ied 20.3</w:t>
      </w:r>
      <w:r>
        <w:t xml:space="preserve"> Mb of sequence, and structure-based ID methods 9.1 Mb including 4.9 Mb (54.2 %) overlap with the homology data. The secondary BLAST identified an additional 7.1 Mb based on elements from the structure-based methods.</w:t>
      </w:r>
      <w:bookmarkEnd w:id="173"/>
    </w:p>
    <w:p w14:paraId="5462A7A8" w14:textId="71D220D3" w:rsidR="00CF55A9" w:rsidRDefault="000518C2" w:rsidP="00391005">
      <w:pPr>
        <w:pStyle w:val="ListParagraph"/>
      </w:pPr>
      <w:r>
        <w:t>Most of the 36,109 annotated LTR retrotransposon-derived regions are fragmented, with an average length of 0.9</w:t>
      </w:r>
      <w:r w:rsidR="004E5D89">
        <w:t xml:space="preserve"> </w:t>
      </w:r>
      <w:r>
        <w:t>kb and high standard deviation (2.1</w:t>
      </w:r>
      <w:r w:rsidR="004E5D89">
        <w:t xml:space="preserve"> </w:t>
      </w:r>
      <w:r>
        <w:t xml:space="preserve">kb) reflecting the large </w:t>
      </w:r>
      <w:r>
        <w:lastRenderedPageBreak/>
        <w:t>s</w:t>
      </w:r>
      <w:r w:rsidR="00534955">
        <w:t>equence structural variability.</w:t>
      </w:r>
      <w:r w:rsidR="00A24274">
        <w:t xml:space="preserve"> </w:t>
      </w:r>
      <w:r>
        <w:t>SIEs also exhibit large element size variation (mean length 8.5</w:t>
      </w:r>
      <w:r w:rsidR="004E5D89">
        <w:t xml:space="preserve"> </w:t>
      </w:r>
      <w:r>
        <w:t>kb, standard deviation 6.5</w:t>
      </w:r>
      <w:r w:rsidR="004E5D89">
        <w:t xml:space="preserve"> </w:t>
      </w:r>
      <w:r>
        <w:t>kb), some of which can be accounte</w:t>
      </w:r>
      <w:r w:rsidR="00001B91">
        <w:t>d for by the seven examples of nested</w:t>
      </w:r>
      <w:r>
        <w:t xml:space="preserve"> LTR retrotransposons, where one element has inserted within another resulting in the relative elongation of the outer element. </w:t>
      </w:r>
    </w:p>
    <w:p w14:paraId="17855667" w14:textId="56D607A2" w:rsidR="00CF55A9" w:rsidRDefault="00534955" w:rsidP="00391005">
      <w:pPr>
        <w:pStyle w:val="ListParagraph"/>
      </w:pPr>
      <w:r>
        <w:t>All Galgal4 structurally intact LTR retrotransposons were ERVs, predominantly from the betaretrovirus, gammaretrovirus and spumavirus</w:t>
      </w:r>
      <w:r w:rsidR="000518C2">
        <w:t xml:space="preserve"> </w:t>
      </w:r>
      <w:r>
        <w:t xml:space="preserve">retroviral genera. </w:t>
      </w:r>
      <w:r w:rsidR="000518C2">
        <w:t xml:space="preserve">These are the shared ancestral </w:t>
      </w:r>
      <w:r>
        <w:t>ERV genera</w:t>
      </w:r>
      <w:r w:rsidR="000518C2">
        <w:t xml:space="preserve"> amongst vertebrates</w:t>
      </w:r>
      <w:r w:rsidR="00CC16E6">
        <w:t xml:space="preserve"> (Herniou et al. 1998; Borisenko 2003)</w:t>
      </w:r>
      <w:r w:rsidR="000518C2">
        <w:t xml:space="preserve">, and it is </w:t>
      </w:r>
      <w:r w:rsidR="003909D7">
        <w:t xml:space="preserve">likely that the bias of mammalian sequences in the RepBase vertebrate libraries aided their </w:t>
      </w:r>
      <w:r w:rsidR="00A24274">
        <w:t xml:space="preserve">identification and </w:t>
      </w:r>
      <w:r w:rsidR="003909D7">
        <w:t>classification. A total of 65.7</w:t>
      </w:r>
      <w:r w:rsidR="004E5D89">
        <w:t xml:space="preserve"> </w:t>
      </w:r>
      <w:r w:rsidR="003909D7">
        <w:t>% of SIEs could be classified by protein-coding domain homology. Of these, over a third were ERVs from the alpharetrovirus-betaretrovirus clade, generally the youngest and therefore most easily detectable group, including the assembled ALVE-RJF on chromosome 1. Consistent with previous publications, no elements were ident</w:t>
      </w:r>
      <w:r>
        <w:t>ified from either the Bel/Pao,</w:t>
      </w:r>
      <w:r w:rsidR="003909D7">
        <w:t xml:space="preserve"> DIRS</w:t>
      </w:r>
      <w:r>
        <w:t>, Gypsy or Copia</w:t>
      </w:r>
      <w:r w:rsidR="003909D7">
        <w:t xml:space="preserve"> groups of LTR retrotransposons </w:t>
      </w:r>
      <w:r w:rsidR="003909D7">
        <w:fldChar w:fldCharType="begin" w:fldLock="1"/>
      </w:r>
      <w:r w:rsidR="00F15E5B">
        <w:instrText>ADDIN CSL_CITATION { "citationItems" : [ { "id" : "ITEM-1", "itemData" : { "DOI" : "10.1186/1745-6150-3-9", "ISSN" : "1745-6150", "PMID" : "18361801", "abstract" : "We analyzed the chicken (Gallus gallus) genome sequence to search for previously uncharacterized endogenous retrovirus (ERV) sequences using ab initio and combined evidence approaches. We discovered 11 novel families of ERVs that occupy more than 21 million base pairs, approximately 2%, of the chicken genome. These novel families include a number of recently active full-length elements possessing identical long terminal repeats (LTRs) as well as intact gag and pol open reading frames. The abundance and diversity of chicken ERVs we discovered underscore the utility of an approach that combines multiple methods for the identification of interspersed repeats in vertebrate genomes.", "author" : [ { "dropping-particle" : "", "family" : "Huda", "given" : "Ahsan", "non-dropping-particle" : "", "parse-names" : false, "suffix" : "" }, { "dropping-particle" : "", "family" : "Polavarapu", "given" : "Nalini", "non-dropping-particle" : "", "parse-names" : false, "suffix" : "" }, { "dropping-particle" : "", "family" : "Jordan", "given" : "I King", "non-dropping-particle" : "", "parse-names" : false, "suffix" : "" }, { "dropping-particle" : "", "family" : "McDonald", "given" : "John F", "non-dropping-particle" : "", "parse-names" : false, "suffix" : "" } ], "container-title" : "Biology direct", "id" : "ITEM-1", "issue" : "9", "issued" : { "date-parts" : [ [ "2008", "1" ] ] }, "note" : "Paper records the finding of new ERVs in the chicken genome. It also details some of the methods for finding these kinds of sequences de novo \u2013 talks about LTR_STRUC and RepeatMasker (papers downloaded). Paper states key features usually found with retroviral elements: characteristic repeats and characteristic sizes. Reminder that at the point of insertion the 5\u2019 and 3\u2019 LTRs should be identical.", "title" : "Endogenous retroviruses of the chicken genome.", "type" : "article-journal", "volume" : "3" }, "uris" : [ "http://www.mendeley.com/documents/?uuid=9b2a35cf-d5a3-4f90-b55d-7cb0c3d3ff52" ] }, { "id" : "ITEM-2",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"ITEM-2", "issue" : "1", "issued" : { "date-parts" : [ [ "2011", "1" ] ] }, "page" : "621", "publisher" : "BioMed Central Ltd", "title" : "Eukaryote DIRS1-like retrotransposons: an overview.", "type" : "article-journal", "volume" : "12" }, "uris" : [ "http://www.mendeley.com/documents/?uuid=eb273253-14b9-48d7-aca5-e76e38f87da6" ] }, { "id" : "ITEM-3",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"ITEM-3",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"(Huda et al. 2008; Piedno\u00ebl et al. 2011; Bolisetty et al. 2012)", "plainTextFormattedCitation" : "(Huda et al. 2008; Piedno\u00ebl et al. 2011; Bolisetty et al. 2012)", "previouslyFormattedCitation" : "(Huda et al. 2008; Piedno\u00ebl et al. 2011; Bolisetty et al. 2012)" }, "properties" : { "noteIndex" : 0 }, "schema" : "https://github.com/citation-style-language/schema/raw/master/csl-citation.json" }</w:instrText>
      </w:r>
      <w:r w:rsidR="003909D7">
        <w:fldChar w:fldCharType="separate"/>
      </w:r>
      <w:r w:rsidR="003909D7" w:rsidRPr="003909D7">
        <w:rPr>
          <w:noProof/>
        </w:rPr>
        <w:t>(Huda et al. 2008; Piednoël et al. 2011; Bolisetty et al. 2012)</w:t>
      </w:r>
      <w:r w:rsidR="003909D7">
        <w:fldChar w:fldCharType="end"/>
      </w:r>
      <w:r w:rsidR="003909D7">
        <w:t xml:space="preserve"> and there was no evidence of deltaretrovirus or lentivirus ERVs. </w:t>
      </w:r>
    </w:p>
    <w:p w14:paraId="0C5BEC85" w14:textId="77777777" w:rsidR="00CF55A9" w:rsidRDefault="00CF55A9" w:rsidP="00391005">
      <w:pPr>
        <w:pStyle w:val="ListParagraph"/>
      </w:pPr>
    </w:p>
    <w:p w14:paraId="2921F817" w14:textId="5B37917A" w:rsidR="00CF55A9" w:rsidRDefault="00CF55A9" w:rsidP="00CF55A9">
      <w:pPr>
        <w:pStyle w:val="Heading3"/>
      </w:pPr>
      <w:bookmarkStart w:id="174" w:name="_Toc485721592"/>
      <w:bookmarkStart w:id="175" w:name="_Toc486787172"/>
      <w:bookmarkStart w:id="176" w:name="_Toc486787320"/>
      <w:r>
        <w:t>Characterisation of the structural</w:t>
      </w:r>
      <w:r w:rsidR="003909D7">
        <w:t>ly</w:t>
      </w:r>
      <w:r>
        <w:t xml:space="preserve"> intact LTR retrotransposons</w:t>
      </w:r>
      <w:bookmarkEnd w:id="174"/>
      <w:bookmarkEnd w:id="175"/>
      <w:bookmarkEnd w:id="176"/>
    </w:p>
    <w:p w14:paraId="31F03833" w14:textId="16EE9017" w:rsidR="00E70CBB" w:rsidRDefault="00534955" w:rsidP="00391005">
      <w:pPr>
        <w:pStyle w:val="ListParagraph"/>
      </w:pPr>
      <w:r>
        <w:t>Of the 1,073 SIEs, only 291</w:t>
      </w:r>
      <w:r w:rsidR="00E70CBB">
        <w:t xml:space="preserve"> (27</w:t>
      </w:r>
      <w:r w:rsidR="004E5D89">
        <w:t xml:space="preserve"> </w:t>
      </w:r>
      <w:r w:rsidR="00E70CBB">
        <w:t>%) were identified by two or more programs, with only sev</w:t>
      </w:r>
      <w:r w:rsidR="0042185F">
        <w:t>en SIEs identified by all four (</w:t>
      </w:r>
      <w:r w:rsidR="0042185F" w:rsidRPr="0042185F">
        <w:fldChar w:fldCharType="begin" w:fldLock="1"/>
      </w:r>
      <w:r w:rsidR="0042185F" w:rsidRPr="0042185F">
        <w:instrText xml:space="preserve"> REF _Ref478125348 \h  \* MERGEFORMAT </w:instrText>
      </w:r>
      <w:r w:rsidR="0042185F" w:rsidRPr="0042185F">
        <w:fldChar w:fldCharType="separate"/>
      </w:r>
      <w:r w:rsidR="002C549C" w:rsidRPr="00534955">
        <w:t xml:space="preserve">Figure </w:t>
      </w:r>
      <w:r w:rsidR="002C549C">
        <w:rPr>
          <w:noProof/>
        </w:rPr>
        <w:t>3</w:t>
      </w:r>
      <w:r w:rsidR="002C549C" w:rsidRPr="00534955">
        <w:rPr>
          <w:noProof/>
        </w:rPr>
        <w:t>.</w:t>
      </w:r>
      <w:r w:rsidR="002C549C">
        <w:rPr>
          <w:noProof/>
        </w:rPr>
        <w:t>3</w:t>
      </w:r>
      <w:r w:rsidR="0042185F" w:rsidRPr="0042185F">
        <w:fldChar w:fldCharType="end"/>
      </w:r>
      <w:r w:rsidR="00E70CBB">
        <w:t>). With a strict requirement for identification by at least tw</w:t>
      </w:r>
      <w:r w:rsidR="00A24274">
        <w:t>o structure-based programs, 2.8</w:t>
      </w:r>
      <w:r w:rsidR="004E5D89">
        <w:t xml:space="preserve"> Mb</w:t>
      </w:r>
      <w:r w:rsidR="00E70CBB">
        <w:t xml:space="preserve"> (67.14</w:t>
      </w:r>
      <w:r w:rsidR="004E5D89">
        <w:t xml:space="preserve"> </w:t>
      </w:r>
      <w:r w:rsidR="00E70CBB">
        <w:t xml:space="preserve">%) of the novel annotated sequence identified by these four programs would have been missed. </w:t>
      </w:r>
    </w:p>
    <w:p w14:paraId="048862B6" w14:textId="290E2027" w:rsidR="0042185F" w:rsidRPr="0042185F" w:rsidRDefault="00534955" w:rsidP="00391005">
      <w:pPr>
        <w:pStyle w:val="ListParagraph"/>
      </w:pPr>
      <w:r>
        <w:t xml:space="preserve">Despite low cross-program corroboration, there appears to be no specific program biases for GC content, inner structural intactness, length, element age (shown in </w:t>
      </w:r>
      <w:r w:rsidRPr="00953B9F">
        <w:fldChar w:fldCharType="begin" w:fldLock="1"/>
      </w:r>
      <w:r w:rsidRPr="00953B9F">
        <w:instrText xml:space="preserve"> REF _Ref477419688 \h  \* MERGEFORMAT </w:instrText>
      </w:r>
      <w:r w:rsidRPr="00953B9F">
        <w:fldChar w:fldCharType="separate"/>
      </w:r>
      <w:r w:rsidR="002C549C" w:rsidRPr="00534955">
        <w:t xml:space="preserve">Table </w:t>
      </w:r>
      <w:r w:rsidR="002C549C">
        <w:rPr>
          <w:noProof/>
        </w:rPr>
        <w:t>3</w:t>
      </w:r>
      <w:r w:rsidR="002C549C" w:rsidRPr="00534955">
        <w:rPr>
          <w:noProof/>
        </w:rPr>
        <w:t>.</w:t>
      </w:r>
      <w:r w:rsidR="002C549C">
        <w:rPr>
          <w:noProof/>
        </w:rPr>
        <w:t>8</w:t>
      </w:r>
      <w:r w:rsidRPr="00953B9F">
        <w:fldChar w:fldCharType="end"/>
      </w:r>
      <w:r>
        <w:t xml:space="preserve"> as mean LTR identity), or classified genera, as had been proposed in the annotation of other species </w:t>
      </w:r>
      <w:r>
        <w:fldChar w:fldCharType="begin" w:fldLock="1"/>
      </w:r>
      <w:r>
        <w:instrText>ADDIN CSL_CITATION { "citationItems" : [ { "id" : "ITEM-1", "itemData" : { "DOI" : "10.1128/JVI.00106-10", "ISSN" : "1098-5514", "PMID" : "20686017", "abstract" : "Endogenous retroviruses (ERVs) are the proviral phase of exogenous retroviruses that become integrated into a host germ line. They can play an important role in the host genome. Bioinformatic tools have been used to detect ERVs in several vertebrates, primarily primates and rodents. Less information is available regarding ERVs in other mammalian groups, and the source of this information is basically experimental. We analyzed the genome of the cow (Bos taurus) using three different methods. A BLAST-based method detected 928 possible ERVs, LTR_STRUC detected 4,487 elements flanked by long terminal repeats (LTRs), and Retrotector detected 9,698 ERVs. The ERVs were not homogeneously distributed across chromosomes; the number of ERVs was positively correlated with chromosomal size and negatively correlated with chromosomal GC content. The bovine ERVs (BoERVs) were classified into 24 putative families, with 20 of them not previously described. One of these new families, BoERV1, was the most abundant family and appeared to be specific to ruminants. An analysis of representatives of ERV families from rodents, primates, and ruminants showed a phylogenetic relationship following their hosts' relationships. This study demonstrates the importance of using multiple methods when trying to identify new ERVs and shows that the number of bovine ERV families is not as limited as previously thought.", "author" : [ { "dropping-particle" : "", "family" : "Garcia-Etxebarria", "given" : "Koldo", "non-dropping-particle" : "", "parse-names" : false, "suffix" : "" }, { "dropping-particle" : "", "family" : "Jugo", "given" : "Bego\u00f1a Marina", "non-dropping-particle" : "", "parse-names" : false, "suffix" : "" } ], "container-title" : "Journal of virology", "id" : "ITEM-1", "issue" : "20", "issued" : { "date-parts" : [ [ "2010", "10" ] ] }, "note" : "Read", "page" : "10852-62", "title" : "Genome-wide detection and characterization of endogenous retroviruses in Bos taurus.", "type" : "article-journal", "volume" : "84" }, "uris" : [ "http://www.mendeley.com/documents/?uuid=b20b8539-fc3d-4217-9923-c7273609fb38" ] }, { "id" : "ITEM-2", "itemData" : { "DOI" : "10.1016/j.virol.2012.08.047", "ISSN" : "1096-0341", "PMID" : "23026066", "abstract" : "Endogenous retroviruses (ERVs) are proviral phases of exogenous retroviruses that have become incorporated into the host genome. Little is known about ERVs in the horse genome. By combining 3 bioinformatic approaches, we detected 1947 putative ERVs in the horse genome. These equine ERVs are not scattered randomly across the genome and are especially abundant in the X chromosome. Based on phylogenetic relationships, some of these equine ERVs were classified into 15 previously uncharacterized families of Classes I, II and III. Compared with the cow and other species, the horse genome appears to container fewer ERVs. Although this could be due to limitations of the detection process, it could also stem from characteristics of the horse genome or the effect of the domestication process.", "author" : [ { "dropping-particle" : "", "family" : "Garcia-Etxebarria", "given" : "Koldo", "non-dropping-particle" : "", "parse-names" : false, "suffix" : "" }, { "dropping-particle" : "", "family" : "Jugo", "given" : "Bego\u00f1a M", "non-dropping-particle" : "", "parse-names" : false, "suffix" : "" } ], "container-title" : "Virology", "id" : "ITEM-2", "issued" : { "date-parts" : [ [ "2012", "12", "5" ] ] }, "note" : "Great paper with lots of details about methods and proposals as to why there may be a 'deficit' of ERVs in the horse compared to the cow.\nGood read.", "page" : "59-67", "title" : "Detection and characterization of endogenous retroviruses in the horse genome by in silico analysis.", "type" : "article-journal", "volume" : "434" }, "uris" : [ "http://www.mendeley.com/documents/?uuid=bdcb91f5-00e8-4969-865f-e30ea1609537" ] } ], "mendeley" : { "formattedCitation" : "(Garcia-Etxebarria &amp; Jugo 2010; Garcia-Etxebarria &amp; Jugo 2012)", "plainTextFormattedCitation" : "(Garcia-Etxebarria &amp; Jugo 2010; Garcia-Etxebarria &amp; Jugo 2012)", "previouslyFormattedCitation" : "(Garcia-Etxebarria &amp; Jugo 2010; Garcia-Etxebarria &amp; Jugo 2012)" }, "properties" : { "noteIndex" : 0 }, "schema" : "https://github.com/citation-style-language/schema/raw/master/csl-citation.json" }</w:instrText>
      </w:r>
      <w:r>
        <w:fldChar w:fldCharType="separate"/>
      </w:r>
      <w:r w:rsidRPr="00923187">
        <w:rPr>
          <w:noProof/>
        </w:rPr>
        <w:t>(Garcia-Etxebarria &amp; Jugo 2010; Garcia-Etxebarria &amp; Jugo 2012)</w:t>
      </w:r>
      <w:r>
        <w:fldChar w:fldCharType="end"/>
      </w:r>
      <w:r>
        <w:t>. All programs had SIE length distributions skewed by identification of very long LTR retrotransposons. The high percentages of SIEs unique to each program exemplifies the necessity of using multiple identification approaches. However, the high false positive rates mean stringent confirmation of putative SIEs is essential.</w:t>
      </w:r>
    </w:p>
    <w:p w14:paraId="458946E3" w14:textId="03DAB146" w:rsidR="0042185F" w:rsidRDefault="0042185F" w:rsidP="00534955">
      <w:pPr>
        <w:pStyle w:val="ListParagraph"/>
        <w:jc w:val="center"/>
      </w:pPr>
      <w:r>
        <w:rPr>
          <w:noProof/>
          <w:lang w:eastAsia="en-GB"/>
        </w:rPr>
        <w:lastRenderedPageBreak/>
        <w:drawing>
          <wp:inline distT="0" distB="0" distL="0" distR="0" wp14:anchorId="2113B316" wp14:editId="752CB8C5">
            <wp:extent cx="3482671" cy="252793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93764" cy="2535989"/>
                    </a:xfrm>
                    <a:prstGeom prst="rect">
                      <a:avLst/>
                    </a:prstGeom>
                    <a:noFill/>
                  </pic:spPr>
                </pic:pic>
              </a:graphicData>
            </a:graphic>
          </wp:inline>
        </w:drawing>
      </w:r>
    </w:p>
    <w:p w14:paraId="67A8C641" w14:textId="21848916" w:rsidR="00E70CBB" w:rsidRDefault="0042185F" w:rsidP="00534955">
      <w:pPr>
        <w:pStyle w:val="Figure"/>
      </w:pPr>
      <w:bookmarkStart w:id="177" w:name="_Ref478125348"/>
      <w:bookmarkStart w:id="178" w:name="_Toc486785429"/>
      <w:r w:rsidRPr="00534955">
        <w:t xml:space="preserve">Figure </w:t>
      </w:r>
      <w:fldSimple w:instr=" STYLEREF 1 \s " w:fldLock="1">
        <w:r w:rsidR="002C549C">
          <w:rPr>
            <w:noProof/>
          </w:rPr>
          <w:t>3</w:t>
        </w:r>
      </w:fldSimple>
      <w:r w:rsidR="001167C6" w:rsidRPr="00534955">
        <w:t>.</w:t>
      </w:r>
      <w:fldSimple w:instr=" SEQ Figure \* ARABIC \s 1 " w:fldLock="1">
        <w:r w:rsidR="002C549C">
          <w:rPr>
            <w:noProof/>
          </w:rPr>
          <w:t>3</w:t>
        </w:r>
      </w:fldSimple>
      <w:bookmarkEnd w:id="177"/>
      <w:r>
        <w:t xml:space="preserve"> Four-set Venn diagram of the overlap between structurally intact LTR retrotransposons identified by the four structure-based identification methods. In </w:t>
      </w:r>
      <w:r w:rsidR="00C2497B">
        <w:t>general,</w:t>
      </w:r>
      <w:r>
        <w:t xml:space="preserve"> there was little overlap between programs, with 782 elements (</w:t>
      </w:r>
      <w:r w:rsidR="00C2497B">
        <w:t>72.9 %</w:t>
      </w:r>
      <w:r>
        <w:t>) unique to one program. Each ellipse corresponds to one program (with LS in grey, LH in blue, MGS in orange and ReTe in green). The numbers represent the number of intact elements identified by that program or group of programs, with the ellipse overlaps represe</w:t>
      </w:r>
      <w:r w:rsidR="00534955">
        <w:t>nting shared identification.</w:t>
      </w:r>
      <w:bookmarkEnd w:id="178"/>
    </w:p>
    <w:p w14:paraId="4BF88AFA" w14:textId="77777777" w:rsidR="00534955" w:rsidRPr="00534955" w:rsidRDefault="00534955" w:rsidP="00534955">
      <w:pPr>
        <w:pStyle w:val="ListParagraph"/>
        <w:spacing w:before="0" w:after="0"/>
        <w:rPr>
          <w:sz w:val="2"/>
        </w:rPr>
      </w:pPr>
    </w:p>
    <w:p w14:paraId="2A5526E4" w14:textId="5B2B2D41" w:rsidR="00953B9F" w:rsidRDefault="00953B9F" w:rsidP="00953B9F">
      <w:pPr>
        <w:pStyle w:val="Caption"/>
      </w:pPr>
      <w:bookmarkStart w:id="179" w:name="_Ref477419688"/>
      <w:bookmarkStart w:id="180" w:name="_Toc486786308"/>
      <w:r w:rsidRPr="00534955">
        <w:t xml:space="preserve">Table </w:t>
      </w:r>
      <w:fldSimple w:instr=" STYLEREF 1 \s " w:fldLock="1">
        <w:r w:rsidR="002C549C">
          <w:rPr>
            <w:noProof/>
          </w:rPr>
          <w:t>3</w:t>
        </w:r>
      </w:fldSimple>
      <w:r w:rsidR="001167C6" w:rsidRPr="00534955">
        <w:t>.</w:t>
      </w:r>
      <w:fldSimple w:instr=" SEQ Table \* ARABIC \s 1 " w:fldLock="1">
        <w:r w:rsidR="002C549C">
          <w:rPr>
            <w:noProof/>
          </w:rPr>
          <w:t>8</w:t>
        </w:r>
      </w:fldSimple>
      <w:bookmarkEnd w:id="179"/>
      <w:r>
        <w:t xml:space="preserve"> Comparison of intact LTR retrotransposons (SIEs)</w:t>
      </w:r>
      <w:r w:rsidR="00534955">
        <w:t xml:space="preserve"> features</w:t>
      </w:r>
      <w:r>
        <w:t xml:space="preserve"> identified by the four structure-based identification programs.</w:t>
      </w:r>
      <w:bookmarkEnd w:id="180"/>
    </w:p>
    <w:tbl>
      <w:tblPr>
        <w:tblStyle w:val="TableGrid"/>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1418"/>
        <w:gridCol w:w="1412"/>
        <w:gridCol w:w="1706"/>
        <w:gridCol w:w="1418"/>
      </w:tblGrid>
      <w:tr w:rsidR="00E70CBB" w14:paraId="4CDE994F" w14:textId="77777777" w:rsidTr="003D006C">
        <w:trPr>
          <w:trHeight w:val="450"/>
          <w:jc w:val="center"/>
        </w:trPr>
        <w:tc>
          <w:tcPr>
            <w:tcW w:w="2835" w:type="dxa"/>
            <w:tcBorders>
              <w:top w:val="single" w:sz="4" w:space="0" w:color="auto"/>
              <w:bottom w:val="single" w:sz="4" w:space="0" w:color="auto"/>
            </w:tcBorders>
            <w:vAlign w:val="center"/>
          </w:tcPr>
          <w:p w14:paraId="0F3F2CE3" w14:textId="2D114883" w:rsidR="00E70CBB" w:rsidRDefault="007919AB" w:rsidP="007919AB">
            <w:pPr>
              <w:pStyle w:val="Tablecontent"/>
              <w:jc w:val="center"/>
            </w:pPr>
            <w:r>
              <w:t xml:space="preserve">            SIE program results</w:t>
            </w:r>
          </w:p>
        </w:tc>
        <w:tc>
          <w:tcPr>
            <w:tcW w:w="1418" w:type="dxa"/>
            <w:tcBorders>
              <w:top w:val="single" w:sz="4" w:space="0" w:color="auto"/>
              <w:bottom w:val="single" w:sz="4" w:space="0" w:color="auto"/>
            </w:tcBorders>
            <w:vAlign w:val="center"/>
          </w:tcPr>
          <w:p w14:paraId="459824FB" w14:textId="1A8DAB52" w:rsidR="00E70CBB" w:rsidRDefault="00E70CBB" w:rsidP="003D006C">
            <w:pPr>
              <w:pStyle w:val="Tablecontent"/>
              <w:jc w:val="center"/>
            </w:pPr>
            <w:r>
              <w:t>LTR_STRUC</w:t>
            </w:r>
          </w:p>
        </w:tc>
        <w:tc>
          <w:tcPr>
            <w:tcW w:w="1412" w:type="dxa"/>
            <w:tcBorders>
              <w:top w:val="single" w:sz="4" w:space="0" w:color="auto"/>
              <w:bottom w:val="single" w:sz="4" w:space="0" w:color="auto"/>
            </w:tcBorders>
            <w:vAlign w:val="center"/>
          </w:tcPr>
          <w:p w14:paraId="3146CAFD" w14:textId="5EC6FD8F" w:rsidR="00E70CBB" w:rsidRDefault="00E70CBB" w:rsidP="003D006C">
            <w:pPr>
              <w:pStyle w:val="Tablecontent"/>
              <w:jc w:val="center"/>
            </w:pPr>
            <w:r>
              <w:t>LTR Harvest</w:t>
            </w:r>
          </w:p>
        </w:tc>
        <w:tc>
          <w:tcPr>
            <w:tcW w:w="1706" w:type="dxa"/>
            <w:tcBorders>
              <w:top w:val="single" w:sz="4" w:space="0" w:color="auto"/>
              <w:bottom w:val="single" w:sz="4" w:space="0" w:color="auto"/>
            </w:tcBorders>
            <w:vAlign w:val="center"/>
          </w:tcPr>
          <w:p w14:paraId="03E60981" w14:textId="47AB10E1" w:rsidR="00E70CBB" w:rsidRDefault="00E70CBB" w:rsidP="003D006C">
            <w:pPr>
              <w:pStyle w:val="Tablecontent"/>
              <w:jc w:val="center"/>
            </w:pPr>
            <w:r>
              <w:t>MGEScan_LTR</w:t>
            </w:r>
          </w:p>
        </w:tc>
        <w:tc>
          <w:tcPr>
            <w:tcW w:w="1418" w:type="dxa"/>
            <w:tcBorders>
              <w:top w:val="single" w:sz="4" w:space="0" w:color="auto"/>
              <w:bottom w:val="single" w:sz="4" w:space="0" w:color="auto"/>
            </w:tcBorders>
            <w:vAlign w:val="center"/>
          </w:tcPr>
          <w:p w14:paraId="78CF8999" w14:textId="7FB99592" w:rsidR="00E70CBB" w:rsidRDefault="00E70CBB" w:rsidP="003D006C">
            <w:pPr>
              <w:pStyle w:val="Tablecontent"/>
              <w:jc w:val="center"/>
            </w:pPr>
            <w:r>
              <w:t>RetroTector</w:t>
            </w:r>
          </w:p>
        </w:tc>
      </w:tr>
      <w:tr w:rsidR="00E70CBB" w14:paraId="6C604627" w14:textId="77777777" w:rsidTr="003D006C">
        <w:trPr>
          <w:jc w:val="center"/>
        </w:trPr>
        <w:tc>
          <w:tcPr>
            <w:tcW w:w="2835" w:type="dxa"/>
            <w:tcBorders>
              <w:top w:val="single" w:sz="4" w:space="0" w:color="auto"/>
              <w:right w:val="single" w:sz="4" w:space="0" w:color="auto"/>
            </w:tcBorders>
            <w:vAlign w:val="center"/>
          </w:tcPr>
          <w:p w14:paraId="5E36EE48" w14:textId="73EC93E2" w:rsidR="00E70CBB" w:rsidRDefault="00E70CBB" w:rsidP="003D006C">
            <w:pPr>
              <w:pStyle w:val="Tablecontent"/>
              <w:ind w:right="31"/>
              <w:jc w:val="right"/>
            </w:pPr>
            <w:r>
              <w:t>Initial SIEs identified</w:t>
            </w:r>
          </w:p>
        </w:tc>
        <w:tc>
          <w:tcPr>
            <w:tcW w:w="1418" w:type="dxa"/>
            <w:tcBorders>
              <w:top w:val="single" w:sz="4" w:space="0" w:color="auto"/>
              <w:left w:val="single" w:sz="4" w:space="0" w:color="auto"/>
            </w:tcBorders>
            <w:vAlign w:val="center"/>
          </w:tcPr>
          <w:p w14:paraId="76228EBC" w14:textId="1E83A933" w:rsidR="00E70CBB" w:rsidRPr="00E70CBB" w:rsidRDefault="00BD7550" w:rsidP="003D006C">
            <w:pPr>
              <w:pStyle w:val="Tablecontent"/>
              <w:jc w:val="center"/>
              <w:rPr>
                <w:highlight w:val="yellow"/>
              </w:rPr>
            </w:pPr>
            <w:r>
              <w:t>299</w:t>
            </w:r>
          </w:p>
        </w:tc>
        <w:tc>
          <w:tcPr>
            <w:tcW w:w="1412" w:type="dxa"/>
            <w:tcBorders>
              <w:top w:val="single" w:sz="4" w:space="0" w:color="auto"/>
            </w:tcBorders>
            <w:vAlign w:val="center"/>
          </w:tcPr>
          <w:p w14:paraId="26CAA67A" w14:textId="05E4D20C" w:rsidR="00E70CBB" w:rsidRPr="00E70CBB" w:rsidRDefault="00BD7550" w:rsidP="003D006C">
            <w:pPr>
              <w:pStyle w:val="Tablecontent"/>
              <w:jc w:val="center"/>
              <w:rPr>
                <w:highlight w:val="yellow"/>
              </w:rPr>
            </w:pPr>
            <w:r w:rsidRPr="00BD7550">
              <w:t>5,264</w:t>
            </w:r>
          </w:p>
        </w:tc>
        <w:tc>
          <w:tcPr>
            <w:tcW w:w="1706" w:type="dxa"/>
            <w:tcBorders>
              <w:top w:val="single" w:sz="4" w:space="0" w:color="auto"/>
            </w:tcBorders>
            <w:vAlign w:val="center"/>
          </w:tcPr>
          <w:p w14:paraId="47616A9D" w14:textId="5A93DD19" w:rsidR="00E70CBB" w:rsidRDefault="00E70CBB" w:rsidP="003D006C">
            <w:pPr>
              <w:pStyle w:val="Tablecontent"/>
              <w:jc w:val="center"/>
            </w:pPr>
            <w:r>
              <w:t>523</w:t>
            </w:r>
          </w:p>
        </w:tc>
        <w:tc>
          <w:tcPr>
            <w:tcW w:w="1418" w:type="dxa"/>
            <w:tcBorders>
              <w:top w:val="single" w:sz="4" w:space="0" w:color="auto"/>
            </w:tcBorders>
            <w:vAlign w:val="center"/>
          </w:tcPr>
          <w:p w14:paraId="7F43F022" w14:textId="0CE4FBDE" w:rsidR="00E70CBB" w:rsidRDefault="00E70CBB" w:rsidP="003D006C">
            <w:pPr>
              <w:pStyle w:val="Tablecontent"/>
              <w:jc w:val="center"/>
            </w:pPr>
            <w:r>
              <w:t>567</w:t>
            </w:r>
          </w:p>
        </w:tc>
      </w:tr>
      <w:tr w:rsidR="00E70CBB" w14:paraId="0F4D155A" w14:textId="77777777" w:rsidTr="003D006C">
        <w:trPr>
          <w:jc w:val="center"/>
        </w:trPr>
        <w:tc>
          <w:tcPr>
            <w:tcW w:w="2835" w:type="dxa"/>
            <w:tcBorders>
              <w:right w:val="single" w:sz="4" w:space="0" w:color="auto"/>
            </w:tcBorders>
            <w:vAlign w:val="center"/>
          </w:tcPr>
          <w:p w14:paraId="4AADDAED" w14:textId="1F1D009C" w:rsidR="00E70CBB" w:rsidRDefault="00E70CBB" w:rsidP="003D006C">
            <w:pPr>
              <w:pStyle w:val="Tablecontent"/>
              <w:ind w:right="31"/>
              <w:jc w:val="right"/>
            </w:pPr>
            <w:r>
              <w:t>SIEs with feature support</w:t>
            </w:r>
          </w:p>
        </w:tc>
        <w:tc>
          <w:tcPr>
            <w:tcW w:w="1418" w:type="dxa"/>
            <w:tcBorders>
              <w:left w:val="single" w:sz="4" w:space="0" w:color="auto"/>
            </w:tcBorders>
            <w:vAlign w:val="center"/>
          </w:tcPr>
          <w:p w14:paraId="0AB4A18C" w14:textId="033636AA" w:rsidR="00E70CBB" w:rsidRDefault="00E70CBB" w:rsidP="003D006C">
            <w:pPr>
              <w:pStyle w:val="Tablecontent"/>
              <w:jc w:val="center"/>
            </w:pPr>
            <w:r>
              <w:t>93</w:t>
            </w:r>
          </w:p>
        </w:tc>
        <w:tc>
          <w:tcPr>
            <w:tcW w:w="1412" w:type="dxa"/>
            <w:vAlign w:val="center"/>
          </w:tcPr>
          <w:p w14:paraId="4EA63D78" w14:textId="7C6D13E5" w:rsidR="00E70CBB" w:rsidRDefault="00E70CBB" w:rsidP="003D006C">
            <w:pPr>
              <w:pStyle w:val="Tablecontent"/>
              <w:jc w:val="center"/>
            </w:pPr>
            <w:r>
              <w:t>643</w:t>
            </w:r>
          </w:p>
        </w:tc>
        <w:tc>
          <w:tcPr>
            <w:tcW w:w="1706" w:type="dxa"/>
            <w:vAlign w:val="center"/>
          </w:tcPr>
          <w:p w14:paraId="5A90F49E" w14:textId="4937025A" w:rsidR="00E70CBB" w:rsidRDefault="00E70CBB" w:rsidP="003D006C">
            <w:pPr>
              <w:pStyle w:val="Tablecontent"/>
              <w:jc w:val="center"/>
            </w:pPr>
            <w:r>
              <w:t>427</w:t>
            </w:r>
          </w:p>
        </w:tc>
        <w:tc>
          <w:tcPr>
            <w:tcW w:w="1418" w:type="dxa"/>
            <w:vAlign w:val="center"/>
          </w:tcPr>
          <w:p w14:paraId="06052AF1" w14:textId="4E2D06A9" w:rsidR="00E70CBB" w:rsidRDefault="00E70CBB" w:rsidP="003D006C">
            <w:pPr>
              <w:pStyle w:val="Tablecontent"/>
              <w:jc w:val="center"/>
            </w:pPr>
            <w:r>
              <w:t>290</w:t>
            </w:r>
          </w:p>
        </w:tc>
      </w:tr>
      <w:tr w:rsidR="00E70CBB" w14:paraId="07BFAD6C" w14:textId="77777777" w:rsidTr="003D006C">
        <w:trPr>
          <w:jc w:val="center"/>
        </w:trPr>
        <w:tc>
          <w:tcPr>
            <w:tcW w:w="2835" w:type="dxa"/>
            <w:tcBorders>
              <w:right w:val="single" w:sz="4" w:space="0" w:color="auto"/>
            </w:tcBorders>
            <w:vAlign w:val="center"/>
          </w:tcPr>
          <w:p w14:paraId="364F46B4" w14:textId="2AC1770E" w:rsidR="00E70CBB" w:rsidRDefault="00E70CBB" w:rsidP="003D006C">
            <w:pPr>
              <w:pStyle w:val="Tablecontent"/>
              <w:ind w:right="31"/>
              <w:jc w:val="right"/>
            </w:pPr>
            <w:r>
              <w:t>False positive rate (%)</w:t>
            </w:r>
          </w:p>
        </w:tc>
        <w:tc>
          <w:tcPr>
            <w:tcW w:w="1418" w:type="dxa"/>
            <w:tcBorders>
              <w:left w:val="single" w:sz="4" w:space="0" w:color="auto"/>
            </w:tcBorders>
            <w:vAlign w:val="center"/>
          </w:tcPr>
          <w:p w14:paraId="1A582D3A" w14:textId="69A8FF3D" w:rsidR="00E70CBB" w:rsidRPr="00E70CBB" w:rsidRDefault="00BD7550" w:rsidP="003D006C">
            <w:pPr>
              <w:pStyle w:val="Tablecontent"/>
              <w:jc w:val="center"/>
              <w:rPr>
                <w:highlight w:val="yellow"/>
              </w:rPr>
            </w:pPr>
            <w:r w:rsidRPr="00BD7550">
              <w:t>68.9</w:t>
            </w:r>
          </w:p>
        </w:tc>
        <w:tc>
          <w:tcPr>
            <w:tcW w:w="1412" w:type="dxa"/>
            <w:vAlign w:val="center"/>
          </w:tcPr>
          <w:p w14:paraId="43CBC8A3" w14:textId="0E789E76" w:rsidR="00E70CBB" w:rsidRPr="00E70CBB" w:rsidRDefault="00BD7550" w:rsidP="003D006C">
            <w:pPr>
              <w:pStyle w:val="Tablecontent"/>
              <w:jc w:val="center"/>
              <w:rPr>
                <w:highlight w:val="yellow"/>
              </w:rPr>
            </w:pPr>
            <w:r w:rsidRPr="00BD7550">
              <w:t>87.8</w:t>
            </w:r>
          </w:p>
        </w:tc>
        <w:tc>
          <w:tcPr>
            <w:tcW w:w="1706" w:type="dxa"/>
            <w:vAlign w:val="center"/>
          </w:tcPr>
          <w:p w14:paraId="7BDCE263" w14:textId="54D93466" w:rsidR="00E70CBB" w:rsidRDefault="00E70CBB" w:rsidP="003D006C">
            <w:pPr>
              <w:pStyle w:val="Tablecontent"/>
              <w:jc w:val="center"/>
            </w:pPr>
            <w:r>
              <w:t>18.4</w:t>
            </w:r>
          </w:p>
        </w:tc>
        <w:tc>
          <w:tcPr>
            <w:tcW w:w="1418" w:type="dxa"/>
            <w:vAlign w:val="center"/>
          </w:tcPr>
          <w:p w14:paraId="63E5F39D" w14:textId="3EEBE69D" w:rsidR="00E70CBB" w:rsidRDefault="00E70CBB" w:rsidP="003D006C">
            <w:pPr>
              <w:pStyle w:val="Tablecontent"/>
              <w:jc w:val="center"/>
            </w:pPr>
            <w:r>
              <w:t>48.9</w:t>
            </w:r>
          </w:p>
        </w:tc>
      </w:tr>
      <w:tr w:rsidR="00E70CBB" w14:paraId="42629372" w14:textId="77777777" w:rsidTr="003D006C">
        <w:trPr>
          <w:jc w:val="center"/>
        </w:trPr>
        <w:tc>
          <w:tcPr>
            <w:tcW w:w="2835" w:type="dxa"/>
            <w:tcBorders>
              <w:right w:val="single" w:sz="4" w:space="0" w:color="auto"/>
            </w:tcBorders>
            <w:vAlign w:val="center"/>
          </w:tcPr>
          <w:p w14:paraId="44704579" w14:textId="04772A8F" w:rsidR="00E70CBB" w:rsidRDefault="00E70CBB" w:rsidP="003D006C">
            <w:pPr>
              <w:pStyle w:val="Tablecontent"/>
              <w:ind w:right="31"/>
              <w:jc w:val="right"/>
            </w:pPr>
            <w:r>
              <w:t>Total SIE content (bp)</w:t>
            </w:r>
          </w:p>
        </w:tc>
        <w:tc>
          <w:tcPr>
            <w:tcW w:w="1418" w:type="dxa"/>
            <w:tcBorders>
              <w:left w:val="single" w:sz="4" w:space="0" w:color="auto"/>
            </w:tcBorders>
            <w:vAlign w:val="center"/>
          </w:tcPr>
          <w:p w14:paraId="2225FDD0" w14:textId="5B0EE94A" w:rsidR="00E70CBB" w:rsidRDefault="00E70CBB" w:rsidP="003D006C">
            <w:pPr>
              <w:pStyle w:val="Tablecontent"/>
              <w:jc w:val="center"/>
            </w:pPr>
            <w:r>
              <w:t>767,132</w:t>
            </w:r>
          </w:p>
        </w:tc>
        <w:tc>
          <w:tcPr>
            <w:tcW w:w="1412" w:type="dxa"/>
            <w:vAlign w:val="center"/>
          </w:tcPr>
          <w:p w14:paraId="2686D9A6" w14:textId="027B062E" w:rsidR="00E70CBB" w:rsidRDefault="00E70CBB" w:rsidP="003D006C">
            <w:pPr>
              <w:pStyle w:val="Tablecontent"/>
              <w:jc w:val="center"/>
            </w:pPr>
            <w:r>
              <w:t>4,837,212</w:t>
            </w:r>
          </w:p>
        </w:tc>
        <w:tc>
          <w:tcPr>
            <w:tcW w:w="1706" w:type="dxa"/>
            <w:vAlign w:val="center"/>
          </w:tcPr>
          <w:p w14:paraId="1E587AEA" w14:textId="4477217C" w:rsidR="00E70CBB" w:rsidRDefault="00E70CBB" w:rsidP="003D006C">
            <w:pPr>
              <w:pStyle w:val="Tablecontent"/>
              <w:jc w:val="center"/>
            </w:pPr>
            <w:r>
              <w:t>4,928,810</w:t>
            </w:r>
          </w:p>
        </w:tc>
        <w:tc>
          <w:tcPr>
            <w:tcW w:w="1418" w:type="dxa"/>
            <w:vAlign w:val="center"/>
          </w:tcPr>
          <w:p w14:paraId="43703308" w14:textId="584637B2" w:rsidR="00E70CBB" w:rsidRDefault="00E70CBB" w:rsidP="003D006C">
            <w:pPr>
              <w:pStyle w:val="Tablecontent"/>
              <w:jc w:val="center"/>
            </w:pPr>
            <w:r>
              <w:t>2,664,622</w:t>
            </w:r>
          </w:p>
        </w:tc>
      </w:tr>
      <w:tr w:rsidR="00E70CBB" w14:paraId="4966A548" w14:textId="77777777" w:rsidTr="003D006C">
        <w:trPr>
          <w:jc w:val="center"/>
        </w:trPr>
        <w:tc>
          <w:tcPr>
            <w:tcW w:w="2835" w:type="dxa"/>
            <w:tcBorders>
              <w:right w:val="single" w:sz="4" w:space="0" w:color="auto"/>
            </w:tcBorders>
            <w:vAlign w:val="center"/>
          </w:tcPr>
          <w:p w14:paraId="5ABF5893" w14:textId="07F2810E" w:rsidR="00E70CBB" w:rsidRDefault="00E70CBB" w:rsidP="003D006C">
            <w:pPr>
              <w:pStyle w:val="Tablecontent"/>
              <w:ind w:right="31"/>
              <w:jc w:val="right"/>
            </w:pPr>
            <w:r>
              <w:t>Mean SIE length (bp)</w:t>
            </w:r>
          </w:p>
        </w:tc>
        <w:tc>
          <w:tcPr>
            <w:tcW w:w="1418" w:type="dxa"/>
            <w:tcBorders>
              <w:left w:val="single" w:sz="4" w:space="0" w:color="auto"/>
            </w:tcBorders>
            <w:vAlign w:val="center"/>
          </w:tcPr>
          <w:p w14:paraId="79B5E946" w14:textId="75F4B3F0" w:rsidR="00E70CBB" w:rsidRDefault="00E70CBB" w:rsidP="003D006C">
            <w:pPr>
              <w:pStyle w:val="Tablecontent"/>
              <w:jc w:val="center"/>
            </w:pPr>
            <w:r>
              <w:t>8,249</w:t>
            </w:r>
          </w:p>
        </w:tc>
        <w:tc>
          <w:tcPr>
            <w:tcW w:w="1412" w:type="dxa"/>
            <w:vAlign w:val="center"/>
          </w:tcPr>
          <w:p w14:paraId="52C31585" w14:textId="046AAD6D" w:rsidR="00E70CBB" w:rsidRDefault="00E70CBB" w:rsidP="003D006C">
            <w:pPr>
              <w:pStyle w:val="Tablecontent"/>
              <w:jc w:val="center"/>
            </w:pPr>
            <w:r>
              <w:t>7,523</w:t>
            </w:r>
          </w:p>
        </w:tc>
        <w:tc>
          <w:tcPr>
            <w:tcW w:w="1706" w:type="dxa"/>
            <w:vAlign w:val="center"/>
          </w:tcPr>
          <w:p w14:paraId="211D6928" w14:textId="345BCE09" w:rsidR="00E70CBB" w:rsidRDefault="00E70CBB" w:rsidP="003D006C">
            <w:pPr>
              <w:pStyle w:val="Tablecontent"/>
              <w:jc w:val="center"/>
            </w:pPr>
            <w:r>
              <w:t>11,543</w:t>
            </w:r>
          </w:p>
        </w:tc>
        <w:tc>
          <w:tcPr>
            <w:tcW w:w="1418" w:type="dxa"/>
            <w:vAlign w:val="center"/>
          </w:tcPr>
          <w:p w14:paraId="0057F535" w14:textId="2B6758D9" w:rsidR="00E70CBB" w:rsidRDefault="00E70CBB" w:rsidP="003D006C">
            <w:pPr>
              <w:pStyle w:val="Tablecontent"/>
              <w:jc w:val="center"/>
            </w:pPr>
            <w:r>
              <w:t>9,188</w:t>
            </w:r>
          </w:p>
        </w:tc>
      </w:tr>
      <w:tr w:rsidR="00E70CBB" w14:paraId="1E8493C1" w14:textId="77777777" w:rsidTr="003D006C">
        <w:trPr>
          <w:jc w:val="center"/>
        </w:trPr>
        <w:tc>
          <w:tcPr>
            <w:tcW w:w="2835" w:type="dxa"/>
            <w:tcBorders>
              <w:right w:val="single" w:sz="4" w:space="0" w:color="auto"/>
            </w:tcBorders>
            <w:vAlign w:val="center"/>
          </w:tcPr>
          <w:p w14:paraId="01DF8963" w14:textId="2FEF4CE6" w:rsidR="00E70CBB" w:rsidRDefault="00E70CBB" w:rsidP="003D006C">
            <w:pPr>
              <w:pStyle w:val="Tablecontent"/>
              <w:ind w:right="31"/>
              <w:jc w:val="right"/>
            </w:pPr>
            <w:r>
              <w:t>Median SIE length (bp)</w:t>
            </w:r>
          </w:p>
        </w:tc>
        <w:tc>
          <w:tcPr>
            <w:tcW w:w="1418" w:type="dxa"/>
            <w:tcBorders>
              <w:left w:val="single" w:sz="4" w:space="0" w:color="auto"/>
            </w:tcBorders>
            <w:vAlign w:val="center"/>
          </w:tcPr>
          <w:p w14:paraId="77A64EBD" w14:textId="4B03D614" w:rsidR="00E70CBB" w:rsidRDefault="00E70CBB" w:rsidP="003D006C">
            <w:pPr>
              <w:pStyle w:val="Tablecontent"/>
              <w:jc w:val="center"/>
            </w:pPr>
            <w:r>
              <w:t>6,144</w:t>
            </w:r>
          </w:p>
        </w:tc>
        <w:tc>
          <w:tcPr>
            <w:tcW w:w="1412" w:type="dxa"/>
            <w:vAlign w:val="center"/>
          </w:tcPr>
          <w:p w14:paraId="42279635" w14:textId="61CE4A75" w:rsidR="00E70CBB" w:rsidRDefault="00E70CBB" w:rsidP="003D006C">
            <w:pPr>
              <w:pStyle w:val="Tablecontent"/>
              <w:jc w:val="center"/>
            </w:pPr>
            <w:r>
              <w:t>6,047</w:t>
            </w:r>
          </w:p>
        </w:tc>
        <w:tc>
          <w:tcPr>
            <w:tcW w:w="1706" w:type="dxa"/>
            <w:vAlign w:val="center"/>
          </w:tcPr>
          <w:p w14:paraId="03BA4F3E" w14:textId="248DBA8C" w:rsidR="00E70CBB" w:rsidRDefault="00E70CBB" w:rsidP="003D006C">
            <w:pPr>
              <w:pStyle w:val="Tablecontent"/>
              <w:jc w:val="center"/>
            </w:pPr>
            <w:r>
              <w:t>7,889</w:t>
            </w:r>
          </w:p>
        </w:tc>
        <w:tc>
          <w:tcPr>
            <w:tcW w:w="1418" w:type="dxa"/>
            <w:vAlign w:val="center"/>
          </w:tcPr>
          <w:p w14:paraId="1D7EA4CA" w14:textId="5C6F0673" w:rsidR="00E70CBB" w:rsidRDefault="00E70CBB" w:rsidP="003D006C">
            <w:pPr>
              <w:pStyle w:val="Tablecontent"/>
              <w:jc w:val="center"/>
            </w:pPr>
            <w:r>
              <w:t>7,477</w:t>
            </w:r>
          </w:p>
        </w:tc>
      </w:tr>
      <w:tr w:rsidR="00E70CBB" w14:paraId="4FEDC50E" w14:textId="77777777" w:rsidTr="003D006C">
        <w:trPr>
          <w:jc w:val="center"/>
        </w:trPr>
        <w:tc>
          <w:tcPr>
            <w:tcW w:w="2835" w:type="dxa"/>
            <w:tcBorders>
              <w:right w:val="single" w:sz="4" w:space="0" w:color="auto"/>
            </w:tcBorders>
            <w:vAlign w:val="center"/>
          </w:tcPr>
          <w:p w14:paraId="71C5A4FA" w14:textId="68FE64A0" w:rsidR="00E70CBB" w:rsidRDefault="00E70CBB" w:rsidP="003D006C">
            <w:pPr>
              <w:pStyle w:val="Tablecontent"/>
              <w:ind w:right="31"/>
              <w:jc w:val="right"/>
            </w:pPr>
            <w:r>
              <w:t>Median SIE LTR identity (%)</w:t>
            </w:r>
          </w:p>
        </w:tc>
        <w:tc>
          <w:tcPr>
            <w:tcW w:w="1418" w:type="dxa"/>
            <w:tcBorders>
              <w:left w:val="single" w:sz="4" w:space="0" w:color="auto"/>
            </w:tcBorders>
            <w:vAlign w:val="center"/>
          </w:tcPr>
          <w:p w14:paraId="46571031" w14:textId="2D49CD8F" w:rsidR="00E70CBB" w:rsidRDefault="00E70CBB" w:rsidP="003D006C">
            <w:pPr>
              <w:pStyle w:val="Tablecontent"/>
              <w:jc w:val="center"/>
            </w:pPr>
            <w:r>
              <w:t>95.8</w:t>
            </w:r>
          </w:p>
        </w:tc>
        <w:tc>
          <w:tcPr>
            <w:tcW w:w="1412" w:type="dxa"/>
            <w:vAlign w:val="center"/>
          </w:tcPr>
          <w:p w14:paraId="15150DEE" w14:textId="735193F8" w:rsidR="00E70CBB" w:rsidRDefault="00E70CBB" w:rsidP="003D006C">
            <w:pPr>
              <w:pStyle w:val="Tablecontent"/>
              <w:jc w:val="center"/>
            </w:pPr>
            <w:r>
              <w:t>95.2</w:t>
            </w:r>
          </w:p>
        </w:tc>
        <w:tc>
          <w:tcPr>
            <w:tcW w:w="1706" w:type="dxa"/>
            <w:vAlign w:val="center"/>
          </w:tcPr>
          <w:p w14:paraId="63C42D0A" w14:textId="33D660AE" w:rsidR="00E70CBB" w:rsidRDefault="00E70CBB" w:rsidP="003D006C">
            <w:pPr>
              <w:pStyle w:val="Tablecontent"/>
              <w:jc w:val="center"/>
            </w:pPr>
            <w:r>
              <w:t>91.5</w:t>
            </w:r>
          </w:p>
        </w:tc>
        <w:tc>
          <w:tcPr>
            <w:tcW w:w="1418" w:type="dxa"/>
            <w:vAlign w:val="center"/>
          </w:tcPr>
          <w:p w14:paraId="7800C0B5" w14:textId="5E87F600" w:rsidR="00E70CBB" w:rsidRDefault="00E70CBB" w:rsidP="003D006C">
            <w:pPr>
              <w:pStyle w:val="Tablecontent"/>
              <w:jc w:val="center"/>
            </w:pPr>
            <w:r>
              <w:t>94.0</w:t>
            </w:r>
          </w:p>
        </w:tc>
      </w:tr>
      <w:tr w:rsidR="00E70CBB" w14:paraId="4ADA752B" w14:textId="77777777" w:rsidTr="003D006C">
        <w:trPr>
          <w:jc w:val="center"/>
        </w:trPr>
        <w:tc>
          <w:tcPr>
            <w:tcW w:w="2835" w:type="dxa"/>
            <w:tcBorders>
              <w:right w:val="single" w:sz="4" w:space="0" w:color="auto"/>
            </w:tcBorders>
            <w:vAlign w:val="center"/>
          </w:tcPr>
          <w:p w14:paraId="4DD7A798" w14:textId="2F64B168" w:rsidR="00E70CBB" w:rsidRDefault="00E70CBB" w:rsidP="003D006C">
            <w:pPr>
              <w:pStyle w:val="Tablecontent"/>
              <w:ind w:right="31"/>
              <w:jc w:val="right"/>
            </w:pPr>
            <w:r>
              <w:t>Mean SIE GC content (%)</w:t>
            </w:r>
          </w:p>
        </w:tc>
        <w:tc>
          <w:tcPr>
            <w:tcW w:w="1418" w:type="dxa"/>
            <w:tcBorders>
              <w:left w:val="single" w:sz="4" w:space="0" w:color="auto"/>
            </w:tcBorders>
            <w:vAlign w:val="center"/>
          </w:tcPr>
          <w:p w14:paraId="6545623C" w14:textId="44E6B3AF" w:rsidR="00E70CBB" w:rsidRDefault="00E70CBB" w:rsidP="003D006C">
            <w:pPr>
              <w:pStyle w:val="Tablecontent"/>
              <w:jc w:val="center"/>
            </w:pPr>
            <w:r>
              <w:t>48.1</w:t>
            </w:r>
          </w:p>
        </w:tc>
        <w:tc>
          <w:tcPr>
            <w:tcW w:w="1412" w:type="dxa"/>
            <w:vAlign w:val="center"/>
          </w:tcPr>
          <w:p w14:paraId="31D686D7" w14:textId="1AB00A34" w:rsidR="00E70CBB" w:rsidRDefault="00E70CBB" w:rsidP="003D006C">
            <w:pPr>
              <w:pStyle w:val="Tablecontent"/>
              <w:jc w:val="center"/>
            </w:pPr>
            <w:r>
              <w:t>47.2</w:t>
            </w:r>
          </w:p>
        </w:tc>
        <w:tc>
          <w:tcPr>
            <w:tcW w:w="1706" w:type="dxa"/>
            <w:vAlign w:val="center"/>
          </w:tcPr>
          <w:p w14:paraId="0DFFC74A" w14:textId="35B43581" w:rsidR="00E70CBB" w:rsidRDefault="00E70CBB" w:rsidP="003D006C">
            <w:pPr>
              <w:pStyle w:val="Tablecontent"/>
              <w:jc w:val="center"/>
            </w:pPr>
            <w:r>
              <w:t>45.7</w:t>
            </w:r>
          </w:p>
        </w:tc>
        <w:tc>
          <w:tcPr>
            <w:tcW w:w="1418" w:type="dxa"/>
            <w:vAlign w:val="center"/>
          </w:tcPr>
          <w:p w14:paraId="288D2BEA" w14:textId="111071E3" w:rsidR="00E70CBB" w:rsidRDefault="00E70CBB" w:rsidP="003D006C">
            <w:pPr>
              <w:pStyle w:val="Tablecontent"/>
              <w:jc w:val="center"/>
            </w:pPr>
            <w:r>
              <w:t>46.3</w:t>
            </w:r>
          </w:p>
        </w:tc>
      </w:tr>
      <w:tr w:rsidR="00E70CBB" w14:paraId="6C9BE64D" w14:textId="77777777" w:rsidTr="003D006C">
        <w:trPr>
          <w:jc w:val="center"/>
        </w:trPr>
        <w:tc>
          <w:tcPr>
            <w:tcW w:w="2835" w:type="dxa"/>
            <w:tcBorders>
              <w:bottom w:val="single" w:sz="4" w:space="0" w:color="auto"/>
              <w:right w:val="single" w:sz="4" w:space="0" w:color="auto"/>
            </w:tcBorders>
            <w:vAlign w:val="center"/>
          </w:tcPr>
          <w:p w14:paraId="578B096C" w14:textId="5213F0E4" w:rsidR="00E70CBB" w:rsidRDefault="00E70CBB" w:rsidP="003D006C">
            <w:pPr>
              <w:pStyle w:val="Tablecontent"/>
              <w:ind w:right="31"/>
              <w:jc w:val="right"/>
            </w:pPr>
            <w:r>
              <w:t>SIEs unique to program (%)</w:t>
            </w:r>
          </w:p>
        </w:tc>
        <w:tc>
          <w:tcPr>
            <w:tcW w:w="1418" w:type="dxa"/>
            <w:tcBorders>
              <w:left w:val="single" w:sz="4" w:space="0" w:color="auto"/>
              <w:bottom w:val="single" w:sz="4" w:space="0" w:color="auto"/>
            </w:tcBorders>
            <w:vAlign w:val="center"/>
          </w:tcPr>
          <w:p w14:paraId="0BF5532C" w14:textId="1965B765" w:rsidR="00E70CBB" w:rsidRDefault="00E70CBB" w:rsidP="003D006C">
            <w:pPr>
              <w:pStyle w:val="Tablecontent"/>
              <w:jc w:val="center"/>
            </w:pPr>
            <w:r>
              <w:t>28.0</w:t>
            </w:r>
          </w:p>
        </w:tc>
        <w:tc>
          <w:tcPr>
            <w:tcW w:w="1412" w:type="dxa"/>
            <w:tcBorders>
              <w:bottom w:val="single" w:sz="4" w:space="0" w:color="auto"/>
            </w:tcBorders>
            <w:vAlign w:val="center"/>
          </w:tcPr>
          <w:p w14:paraId="5D8477C7" w14:textId="6409866A" w:rsidR="00E70CBB" w:rsidRDefault="00E70CBB" w:rsidP="003D006C">
            <w:pPr>
              <w:pStyle w:val="Tablecontent"/>
              <w:jc w:val="center"/>
            </w:pPr>
            <w:r>
              <w:t>65.3</w:t>
            </w:r>
          </w:p>
        </w:tc>
        <w:tc>
          <w:tcPr>
            <w:tcW w:w="1706" w:type="dxa"/>
            <w:tcBorders>
              <w:bottom w:val="single" w:sz="4" w:space="0" w:color="auto"/>
            </w:tcBorders>
            <w:vAlign w:val="center"/>
          </w:tcPr>
          <w:p w14:paraId="3DF4015B" w14:textId="47261B3E" w:rsidR="00E70CBB" w:rsidRDefault="00E70CBB" w:rsidP="003D006C">
            <w:pPr>
              <w:pStyle w:val="Tablecontent"/>
              <w:jc w:val="center"/>
            </w:pPr>
            <w:r>
              <w:t>44.3</w:t>
            </w:r>
          </w:p>
        </w:tc>
        <w:tc>
          <w:tcPr>
            <w:tcW w:w="1418" w:type="dxa"/>
            <w:tcBorders>
              <w:bottom w:val="single" w:sz="4" w:space="0" w:color="auto"/>
            </w:tcBorders>
            <w:vAlign w:val="center"/>
          </w:tcPr>
          <w:p w14:paraId="54E4E7C2" w14:textId="2B4803FC" w:rsidR="00E70CBB" w:rsidRDefault="00E70CBB" w:rsidP="003D006C">
            <w:pPr>
              <w:pStyle w:val="Tablecontent"/>
              <w:jc w:val="center"/>
            </w:pPr>
            <w:r>
              <w:t>50.7</w:t>
            </w:r>
          </w:p>
        </w:tc>
      </w:tr>
    </w:tbl>
    <w:p w14:paraId="78E6B1CA" w14:textId="25CDC654" w:rsidR="00CF55A9" w:rsidRPr="00BC3138" w:rsidRDefault="00BC3138" w:rsidP="00391005">
      <w:pPr>
        <w:pStyle w:val="ListParagraph"/>
      </w:pPr>
      <w:r w:rsidRPr="00BC3138">
        <w:lastRenderedPageBreak/>
        <w:t>SIEs tend to represent recent insertions and accordingly exhibit LTRs with less than 10</w:t>
      </w:r>
      <w:r w:rsidR="004E5D89">
        <w:t xml:space="preserve"> </w:t>
      </w:r>
      <w:r w:rsidRPr="00BC3138">
        <w:t>%</w:t>
      </w:r>
      <w:r w:rsidR="00A24274">
        <w:t xml:space="preserve"> sequence divergence, supporting</w:t>
      </w:r>
      <w:r w:rsidRPr="00BC3138">
        <w:t xml:space="preserve"> insertion less than 13.5 million years ago (MYA) (95</w:t>
      </w:r>
      <w:r w:rsidR="004E5D89">
        <w:t xml:space="preserve"> </w:t>
      </w:r>
      <w:r w:rsidRPr="00BC3138">
        <w:t>% confidence range: 12.5-14.7 MYA). Nearly 90</w:t>
      </w:r>
      <w:r w:rsidR="004E5D89">
        <w:t xml:space="preserve"> </w:t>
      </w:r>
      <w:r w:rsidRPr="00BC3138">
        <w:t>% of all identified SIEs have inserted since the separation of the chicken and turkey lineages (27.0</w:t>
      </w:r>
      <w:r w:rsidR="004E5D89">
        <w:t xml:space="preserve"> </w:t>
      </w:r>
      <w:r w:rsidRPr="00BC3138">
        <w:t>MYA, 95</w:t>
      </w:r>
      <w:r w:rsidR="004E5D89">
        <w:t xml:space="preserve"> </w:t>
      </w:r>
      <w:r w:rsidRPr="00BC3138">
        <w:t>% confidence range: 25.0-29.4</w:t>
      </w:r>
      <w:r w:rsidR="004E5D89">
        <w:t xml:space="preserve"> </w:t>
      </w:r>
      <w:r w:rsidRPr="00BC3138">
        <w:t xml:space="preserve">MYA)  </w:t>
      </w:r>
      <w:r w:rsidRPr="00BC3138">
        <w:fldChar w:fldCharType="begin" w:fldLock="1"/>
      </w:r>
      <w:r w:rsidR="005A55BD">
        <w:instrText>ADDIN CSL_CITATION { "citationItems" : [ { "id" : "ITEM-1", "itemData" : { "author" : [ { "dropping-particle" : "", "family" : "Helm-Bychowski", "given" : "Kathleen M", "non-dropping-particle" : "", "parse-names" : false, "suffix" : "" }, { "dropping-particle" : "", "family" : "Wilson", "given" : "Allan C", "non-dropping-particle" : "", "parse-names" : false, "suffix" : "" } ], "container-title" : "PNAS", "id" : "ITEM-1", "issue" : "3", "issued" : { "date-parts" : [ [ "1986" ] ] }, "note" : "Studied 161 nuclear restriction sites in seven species of the Phasianoidea family - chicken, red jungle fowl, turkey, green jungle fowl, guinea fowl, peafowl &amp;amp; chukar.\nLooked at three regions that have been well defined in the chicken genome - globin regions. These have also been studied well in primates (by this stage). Found similar substitution rates in all three regions despite very different Kd rates across the coding regions. Used mainly fossil data to calibrate their tree for calculating divergence, rather than biogeographic knowledge. \nSaw rates of between 0.34 and 0.40% divergence per million years, similar to analysis in primates across the homologous genome regions.\nPrevious suggestions of rates by Sibley &amp;amp; Ahlquist in 1983 and 1984 publications (papers not read) which only used biogeographic data and gave a rate of 0.22% divergence per million years.", "page" : "688-692", "title" : "Rates of nuclear DNA evolution in pheasant-like birds: Evidence from restriction maps", "type" : "article-journal", "volume" : "83" }, "uris" : [ "http://www.mendeley.com/documents/?uuid=a191c6eb-7530-47fa-88f5-559504fdea05" ] } ], "mendeley" : { "formattedCitation" : "(Helm-Bychowski &amp; Wilson 1986)", "plainTextFormattedCitation" : "(Helm-Bychowski &amp; Wilson 1986)", "previouslyFormattedCitation" : "(Helm-Bychowski &amp; Wilson 1986)" }, "properties" : { "noteIndex" : 0 }, "schema" : "https://github.com/citation-style-language/schema/raw/master/csl-citation.json" }</w:instrText>
      </w:r>
      <w:r w:rsidRPr="00BC3138">
        <w:fldChar w:fldCharType="separate"/>
      </w:r>
      <w:r w:rsidRPr="00BC3138">
        <w:rPr>
          <w:noProof/>
        </w:rPr>
        <w:t>(Helm-Bychowski &amp; Wilson 1986)</w:t>
      </w:r>
      <w:r w:rsidRPr="00BC3138">
        <w:fldChar w:fldCharType="end"/>
      </w:r>
      <w:r w:rsidRPr="00BC3138">
        <w:t>.</w:t>
      </w:r>
      <w:r>
        <w:t xml:space="preserve"> In addition, SIE GC-content (46.9</w:t>
      </w:r>
      <w:r w:rsidR="004E5D89">
        <w:t xml:space="preserve"> %) was</w:t>
      </w:r>
      <w:r>
        <w:t xml:space="preserve"> not significantly higher than the genome average of 41.8</w:t>
      </w:r>
      <w:r w:rsidR="004E5D89">
        <w:t xml:space="preserve"> </w:t>
      </w:r>
      <w:r>
        <w:t>%. However, variation in GC-content is explained by SIE insertion age, as absolute element GC-content deviance from the genomic mean decreases for older i</w:t>
      </w:r>
      <w:r w:rsidR="007919AB">
        <w:t>nsertions (r = 0.45, P</w:t>
      </w:r>
      <w:r w:rsidR="00EB4D27">
        <w:t xml:space="preserve"> &lt; 0.001, </w:t>
      </w:r>
      <w:r w:rsidR="00EB4D27" w:rsidRPr="00534955">
        <w:fldChar w:fldCharType="begin" w:fldLock="1"/>
      </w:r>
      <w:r w:rsidR="00EB4D27" w:rsidRPr="00534955">
        <w:instrText xml:space="preserve"> REF _Ref478125827 \h </w:instrText>
      </w:r>
      <w:r w:rsidR="00534955" w:rsidRPr="00534955">
        <w:instrText xml:space="preserve"> \* MERGEFORMAT </w:instrText>
      </w:r>
      <w:r w:rsidR="00EB4D27" w:rsidRPr="00534955">
        <w:fldChar w:fldCharType="separate"/>
      </w:r>
      <w:r w:rsidR="002C549C" w:rsidRPr="00534955">
        <w:t xml:space="preserve">Figure </w:t>
      </w:r>
      <w:r w:rsidR="002C549C">
        <w:rPr>
          <w:noProof/>
        </w:rPr>
        <w:t>3</w:t>
      </w:r>
      <w:r w:rsidR="002C549C" w:rsidRPr="00534955">
        <w:rPr>
          <w:noProof/>
        </w:rPr>
        <w:t>.</w:t>
      </w:r>
      <w:r w:rsidR="002C549C">
        <w:rPr>
          <w:noProof/>
        </w:rPr>
        <w:t>4</w:t>
      </w:r>
      <w:r w:rsidR="00EB4D27" w:rsidRPr="00534955">
        <w:fldChar w:fldCharType="end"/>
      </w:r>
      <w:r>
        <w:t xml:space="preserve">). </w:t>
      </w:r>
    </w:p>
    <w:p w14:paraId="09571369" w14:textId="4A3B9948" w:rsidR="00CF55A9" w:rsidRPr="00534955" w:rsidRDefault="00CF55A9" w:rsidP="00391005">
      <w:pPr>
        <w:pStyle w:val="ListParagraph"/>
        <w:rPr>
          <w:sz w:val="6"/>
        </w:rPr>
      </w:pPr>
    </w:p>
    <w:p w14:paraId="6B7439E4" w14:textId="2DD545CB" w:rsidR="00EB4D27" w:rsidRDefault="00F223B1" w:rsidP="00534955">
      <w:pPr>
        <w:pStyle w:val="ListParagraph"/>
        <w:jc w:val="center"/>
      </w:pPr>
      <w:r>
        <w:rPr>
          <w:noProof/>
          <w:lang w:eastAsia="en-GB"/>
        </w:rPr>
        <w:drawing>
          <wp:inline distT="0" distB="0" distL="0" distR="0" wp14:anchorId="0FD9E615" wp14:editId="5D7A4F2B">
            <wp:extent cx="3811775" cy="29622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23516" cy="2971399"/>
                    </a:xfrm>
                    <a:prstGeom prst="rect">
                      <a:avLst/>
                    </a:prstGeom>
                    <a:noFill/>
                  </pic:spPr>
                </pic:pic>
              </a:graphicData>
            </a:graphic>
          </wp:inline>
        </w:drawing>
      </w:r>
    </w:p>
    <w:p w14:paraId="2159891C" w14:textId="712754DF" w:rsidR="00EB4D27" w:rsidRDefault="00EB4D27" w:rsidP="00F223B1">
      <w:pPr>
        <w:pStyle w:val="Figure"/>
      </w:pPr>
      <w:bookmarkStart w:id="181" w:name="_Ref478125827"/>
      <w:bookmarkStart w:id="182" w:name="_Toc486785430"/>
      <w:r w:rsidRPr="00534955">
        <w:t xml:space="preserve">Figure </w:t>
      </w:r>
      <w:fldSimple w:instr=" STYLEREF 1 \s " w:fldLock="1">
        <w:r w:rsidR="002C549C">
          <w:rPr>
            <w:noProof/>
          </w:rPr>
          <w:t>3</w:t>
        </w:r>
      </w:fldSimple>
      <w:r w:rsidR="001167C6" w:rsidRPr="00534955">
        <w:t>.</w:t>
      </w:r>
      <w:fldSimple w:instr=" SEQ Figure \* ARABIC \s 1 " w:fldLock="1">
        <w:r w:rsidR="002C549C">
          <w:rPr>
            <w:noProof/>
          </w:rPr>
          <w:t>4</w:t>
        </w:r>
      </w:fldSimple>
      <w:bookmarkEnd w:id="181"/>
      <w:r>
        <w:t xml:space="preserve"> Absolute </w:t>
      </w:r>
      <w:r w:rsidR="00534955">
        <w:t xml:space="preserve">SIE </w:t>
      </w:r>
      <w:r>
        <w:t>GC content deviance fr</w:t>
      </w:r>
      <w:r w:rsidR="00534955">
        <w:t>om the genomic mean</w:t>
      </w:r>
      <w:r>
        <w:t xml:space="preserve"> as a function of their age, measured by LTR pair identity. </w:t>
      </w:r>
      <w:r w:rsidR="00F223B1">
        <w:t>The red dashed line is the</w:t>
      </w:r>
      <w:r w:rsidR="00534955">
        <w:t xml:space="preserve"> Pearson</w:t>
      </w:r>
      <w:r w:rsidR="00F223B1">
        <w:t xml:space="preserve"> correlation (r = 0.45</w:t>
      </w:r>
      <w:r w:rsidR="00534955">
        <w:t>, P &lt; 0.001</w:t>
      </w:r>
      <w:r w:rsidR="00F223B1">
        <w:t>). Younger insertions have a more deviant GC content, relative to the genomic average, than older elements.</w:t>
      </w:r>
      <w:bookmarkEnd w:id="182"/>
    </w:p>
    <w:p w14:paraId="232B44BD" w14:textId="77777777" w:rsidR="00534955" w:rsidRPr="00534955" w:rsidRDefault="00534955" w:rsidP="00534955">
      <w:pPr>
        <w:pStyle w:val="ListParagraph"/>
        <w:rPr>
          <w:sz w:val="2"/>
        </w:rPr>
      </w:pPr>
    </w:p>
    <w:p w14:paraId="110A54FE" w14:textId="3952BEAD" w:rsidR="000224FD" w:rsidRDefault="00BC3138" w:rsidP="00BC3138">
      <w:pPr>
        <w:pStyle w:val="Heading3"/>
      </w:pPr>
      <w:bookmarkStart w:id="183" w:name="_Toc485721593"/>
      <w:bookmarkStart w:id="184" w:name="_Toc486787173"/>
      <w:bookmarkStart w:id="185" w:name="_Toc486787321"/>
      <w:r>
        <w:t>Changes in LTR retrotransposon annotation since the previous genome assembly (Galgal3)</w:t>
      </w:r>
      <w:bookmarkEnd w:id="183"/>
      <w:bookmarkEnd w:id="184"/>
      <w:bookmarkEnd w:id="185"/>
    </w:p>
    <w:p w14:paraId="366D4ECC" w14:textId="51B03E0A" w:rsidR="005A55BD" w:rsidRDefault="005C2262" w:rsidP="00391005">
      <w:pPr>
        <w:pStyle w:val="ListParagraph"/>
      </w:pPr>
      <w:r>
        <w:t>Some of the annotation improvement can be attributed to the improved quality of the G</w:t>
      </w:r>
      <w:r w:rsidR="00A24274">
        <w:t>algal4 assembly</w:t>
      </w:r>
      <w:r>
        <w:t>, as previous work used Galgal3 which had a four times higher proportion of ambiguous bases, a contig N50 of only 46.4</w:t>
      </w:r>
      <w:r w:rsidR="006C1FCD">
        <w:t xml:space="preserve"> </w:t>
      </w:r>
      <w:r>
        <w:t xml:space="preserve">kb and significant assembly </w:t>
      </w:r>
      <w:r>
        <w:lastRenderedPageBreak/>
        <w:t>errors on the Z chromosome. However, most improvements can be directly attributed to the use of the LocaTR pipeline, due to the enriched reference sequence database and reduced conserva</w:t>
      </w:r>
      <w:r w:rsidR="00CF5D31">
        <w:t>tism during SIE identification (</w:t>
      </w:r>
      <w:r w:rsidR="00CF5D31" w:rsidRPr="00CF5D31">
        <w:fldChar w:fldCharType="begin" w:fldLock="1"/>
      </w:r>
      <w:r w:rsidR="00CF5D31" w:rsidRPr="00CF5D31">
        <w:instrText xml:space="preserve"> REF _Ref477419900 \h  \* MERGEFORMAT </w:instrText>
      </w:r>
      <w:r w:rsidR="00CF5D31" w:rsidRPr="00CF5D31">
        <w:fldChar w:fldCharType="separate"/>
      </w:r>
      <w:r w:rsidR="002C549C" w:rsidRPr="00E2723B">
        <w:t xml:space="preserve">Table </w:t>
      </w:r>
      <w:r w:rsidR="002C549C">
        <w:rPr>
          <w:noProof/>
        </w:rPr>
        <w:t>3</w:t>
      </w:r>
      <w:r w:rsidR="002C549C" w:rsidRPr="00E2723B">
        <w:rPr>
          <w:noProof/>
        </w:rPr>
        <w:t>.</w:t>
      </w:r>
      <w:r w:rsidR="002C549C">
        <w:rPr>
          <w:noProof/>
        </w:rPr>
        <w:t>9</w:t>
      </w:r>
      <w:r w:rsidR="00CF5D31" w:rsidRPr="00CF5D31">
        <w:fldChar w:fldCharType="end"/>
      </w:r>
      <w:r w:rsidRPr="00CF5D31">
        <w:t>)</w:t>
      </w:r>
      <w:r>
        <w:t xml:space="preserve">. </w:t>
      </w:r>
      <w:r w:rsidR="005A55BD">
        <w:t>Improvements between the assemblies only accounted for an extra 2.5</w:t>
      </w:r>
      <w:r w:rsidR="006C1FCD">
        <w:t xml:space="preserve"> </w:t>
      </w:r>
      <w:r w:rsidR="005A55BD">
        <w:t>Mb of annotated LTR retrotransposons. Use of LocaTR identified a further 14.1</w:t>
      </w:r>
      <w:r w:rsidR="006C1FCD">
        <w:t xml:space="preserve"> </w:t>
      </w:r>
      <w:r w:rsidR="005A55BD">
        <w:t xml:space="preserve">Mb including an additional 587 SIEs not found by the previous RetroTector analysis </w:t>
      </w:r>
      <w:r w:rsidR="005A55BD">
        <w:fldChar w:fldCharType="begin" w:fldLock="1"/>
      </w:r>
      <w:r w:rsidR="00A20E9F">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rsidR="005A55BD">
        <w:fldChar w:fldCharType="separate"/>
      </w:r>
      <w:r w:rsidR="005A55BD" w:rsidRPr="005A55BD">
        <w:rPr>
          <w:noProof/>
        </w:rPr>
        <w:t>(Bolisetty et al. 2012)</w:t>
      </w:r>
      <w:r w:rsidR="005A55BD">
        <w:fldChar w:fldCharType="end"/>
      </w:r>
      <w:r w:rsidR="005A55BD">
        <w:t>.</w:t>
      </w:r>
    </w:p>
    <w:p w14:paraId="117A80B8" w14:textId="24B44E82" w:rsidR="00953B9F" w:rsidRDefault="007472B8" w:rsidP="007472B8">
      <w:pPr>
        <w:pStyle w:val="Caption"/>
      </w:pPr>
      <w:bookmarkStart w:id="186" w:name="_Ref477419900"/>
      <w:bookmarkStart w:id="187" w:name="_Toc486786309"/>
      <w:r w:rsidRPr="00E2723B">
        <w:t xml:space="preserve">Table </w:t>
      </w:r>
      <w:fldSimple w:instr=" STYLEREF 1 \s " w:fldLock="1">
        <w:r w:rsidR="002C549C">
          <w:rPr>
            <w:noProof/>
          </w:rPr>
          <w:t>3</w:t>
        </w:r>
      </w:fldSimple>
      <w:r w:rsidR="001167C6" w:rsidRPr="00E2723B">
        <w:t>.</w:t>
      </w:r>
      <w:fldSimple w:instr=" SEQ Table \* ARABIC \s 1 " w:fldLock="1">
        <w:r w:rsidR="002C549C">
          <w:rPr>
            <w:noProof/>
          </w:rPr>
          <w:t>9</w:t>
        </w:r>
      </w:fldSimple>
      <w:bookmarkEnd w:id="186"/>
      <w:r>
        <w:t xml:space="preserve"> Comparison of LTR retrotransposon annotations between chicken genome assemblies highlighting improvements made with the LocaTR pipeline.</w:t>
      </w:r>
      <w:bookmarkEnd w:id="187"/>
    </w:p>
    <w:tbl>
      <w:tblPr>
        <w:tblStyle w:val="TableGrid"/>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1701"/>
        <w:gridCol w:w="1701"/>
        <w:gridCol w:w="1701"/>
      </w:tblGrid>
      <w:tr w:rsidR="005A55BD" w14:paraId="420CA291" w14:textId="77777777" w:rsidTr="00953B9F">
        <w:trPr>
          <w:trHeight w:val="552"/>
          <w:jc w:val="center"/>
        </w:trPr>
        <w:tc>
          <w:tcPr>
            <w:tcW w:w="2268" w:type="dxa"/>
            <w:tcBorders>
              <w:top w:val="single" w:sz="4" w:space="0" w:color="auto"/>
              <w:bottom w:val="single" w:sz="4" w:space="0" w:color="auto"/>
            </w:tcBorders>
            <w:vAlign w:val="center"/>
          </w:tcPr>
          <w:p w14:paraId="5CDB36E1" w14:textId="0A4B5001" w:rsidR="005A55BD" w:rsidRDefault="007919AB" w:rsidP="007919AB">
            <w:pPr>
              <w:pStyle w:val="Tablecontent"/>
              <w:jc w:val="center"/>
            </w:pPr>
            <w:r>
              <w:t xml:space="preserve">     Assembly feature </w:t>
            </w:r>
          </w:p>
        </w:tc>
        <w:tc>
          <w:tcPr>
            <w:tcW w:w="1701" w:type="dxa"/>
            <w:tcBorders>
              <w:top w:val="single" w:sz="4" w:space="0" w:color="auto"/>
              <w:bottom w:val="single" w:sz="4" w:space="0" w:color="auto"/>
            </w:tcBorders>
            <w:vAlign w:val="center"/>
          </w:tcPr>
          <w:p w14:paraId="60D53BCA" w14:textId="2113FB58" w:rsidR="005A55BD" w:rsidRDefault="005A55BD" w:rsidP="00953B9F">
            <w:pPr>
              <w:pStyle w:val="Tablecontent"/>
              <w:jc w:val="center"/>
            </w:pPr>
            <w:r>
              <w:t>Galgal3</w:t>
            </w:r>
          </w:p>
        </w:tc>
        <w:tc>
          <w:tcPr>
            <w:tcW w:w="1701" w:type="dxa"/>
            <w:tcBorders>
              <w:top w:val="single" w:sz="4" w:space="0" w:color="auto"/>
              <w:bottom w:val="single" w:sz="4" w:space="0" w:color="auto"/>
            </w:tcBorders>
            <w:vAlign w:val="center"/>
          </w:tcPr>
          <w:p w14:paraId="6F63A8D2" w14:textId="59E453DB" w:rsidR="005A55BD" w:rsidRDefault="005A55BD" w:rsidP="00953B9F">
            <w:pPr>
              <w:pStyle w:val="Tablecontent"/>
              <w:jc w:val="center"/>
            </w:pPr>
            <w:r>
              <w:t>Galgal4 (chicken RM)</w:t>
            </w:r>
          </w:p>
        </w:tc>
        <w:tc>
          <w:tcPr>
            <w:tcW w:w="1701" w:type="dxa"/>
            <w:tcBorders>
              <w:top w:val="single" w:sz="4" w:space="0" w:color="auto"/>
              <w:bottom w:val="single" w:sz="4" w:space="0" w:color="auto"/>
            </w:tcBorders>
            <w:vAlign w:val="center"/>
          </w:tcPr>
          <w:p w14:paraId="5D506477" w14:textId="66ED9FF6" w:rsidR="005A55BD" w:rsidRDefault="005A55BD" w:rsidP="00953B9F">
            <w:pPr>
              <w:pStyle w:val="Tablecontent"/>
              <w:jc w:val="center"/>
            </w:pPr>
            <w:r>
              <w:t>Galgal4 (LocaTR)</w:t>
            </w:r>
          </w:p>
        </w:tc>
      </w:tr>
      <w:tr w:rsidR="005A55BD" w14:paraId="31DA385A" w14:textId="77777777" w:rsidTr="00953B9F">
        <w:trPr>
          <w:jc w:val="center"/>
        </w:trPr>
        <w:tc>
          <w:tcPr>
            <w:tcW w:w="2268" w:type="dxa"/>
            <w:tcBorders>
              <w:top w:val="single" w:sz="4" w:space="0" w:color="auto"/>
              <w:right w:val="single" w:sz="4" w:space="0" w:color="auto"/>
            </w:tcBorders>
            <w:vAlign w:val="center"/>
          </w:tcPr>
          <w:p w14:paraId="79C56C1D" w14:textId="1CE08838" w:rsidR="005A55BD" w:rsidRDefault="005A55BD" w:rsidP="00953B9F">
            <w:pPr>
              <w:pStyle w:val="Tablecontent"/>
              <w:ind w:right="41"/>
              <w:jc w:val="right"/>
            </w:pPr>
            <w:r>
              <w:t>Assembly length (bp)</w:t>
            </w:r>
          </w:p>
        </w:tc>
        <w:tc>
          <w:tcPr>
            <w:tcW w:w="1701" w:type="dxa"/>
            <w:tcBorders>
              <w:top w:val="single" w:sz="4" w:space="0" w:color="auto"/>
              <w:left w:val="single" w:sz="4" w:space="0" w:color="auto"/>
            </w:tcBorders>
            <w:vAlign w:val="center"/>
          </w:tcPr>
          <w:p w14:paraId="25D193C4" w14:textId="6CFC2D44" w:rsidR="005A55BD" w:rsidRPr="005A55BD" w:rsidRDefault="005A55BD" w:rsidP="00953B9F">
            <w:pPr>
              <w:pStyle w:val="Tablecontent"/>
              <w:jc w:val="center"/>
            </w:pPr>
            <w:r>
              <w:t>1,098,770,941</w:t>
            </w:r>
          </w:p>
        </w:tc>
        <w:tc>
          <w:tcPr>
            <w:tcW w:w="1701" w:type="dxa"/>
            <w:tcBorders>
              <w:top w:val="single" w:sz="4" w:space="0" w:color="auto"/>
            </w:tcBorders>
            <w:vAlign w:val="center"/>
          </w:tcPr>
          <w:p w14:paraId="741E8A29" w14:textId="0B7D2E91" w:rsidR="005A55BD" w:rsidRPr="005A55BD" w:rsidRDefault="005A55BD" w:rsidP="00953B9F">
            <w:pPr>
              <w:pStyle w:val="Tablecontent"/>
              <w:jc w:val="center"/>
            </w:pPr>
            <w:r>
              <w:t>1,046,932,099</w:t>
            </w:r>
          </w:p>
        </w:tc>
        <w:tc>
          <w:tcPr>
            <w:tcW w:w="1701" w:type="dxa"/>
            <w:tcBorders>
              <w:top w:val="single" w:sz="4" w:space="0" w:color="auto"/>
            </w:tcBorders>
            <w:vAlign w:val="center"/>
          </w:tcPr>
          <w:p w14:paraId="52A73D6E" w14:textId="0D985766" w:rsidR="005A55BD" w:rsidRPr="005A55BD" w:rsidRDefault="005A55BD" w:rsidP="00953B9F">
            <w:pPr>
              <w:pStyle w:val="Tablecontent"/>
              <w:jc w:val="center"/>
            </w:pPr>
            <w:r>
              <w:t>1,046,932,099</w:t>
            </w:r>
          </w:p>
        </w:tc>
      </w:tr>
      <w:tr w:rsidR="005A55BD" w14:paraId="2C08A6E3" w14:textId="77777777" w:rsidTr="00953B9F">
        <w:trPr>
          <w:jc w:val="center"/>
        </w:trPr>
        <w:tc>
          <w:tcPr>
            <w:tcW w:w="2268" w:type="dxa"/>
            <w:tcBorders>
              <w:right w:val="single" w:sz="4" w:space="0" w:color="auto"/>
            </w:tcBorders>
            <w:vAlign w:val="center"/>
          </w:tcPr>
          <w:p w14:paraId="1BB090DE" w14:textId="03E2A7D7" w:rsidR="005A55BD" w:rsidRDefault="005A55BD" w:rsidP="00953B9F">
            <w:pPr>
              <w:pStyle w:val="Tablecontent"/>
              <w:ind w:right="41"/>
              <w:jc w:val="right"/>
            </w:pPr>
            <w:r>
              <w:t>Scaffold N50 (bp)</w:t>
            </w:r>
          </w:p>
        </w:tc>
        <w:tc>
          <w:tcPr>
            <w:tcW w:w="1701" w:type="dxa"/>
            <w:tcBorders>
              <w:left w:val="single" w:sz="4" w:space="0" w:color="auto"/>
            </w:tcBorders>
            <w:vAlign w:val="center"/>
          </w:tcPr>
          <w:p w14:paraId="5FB242A7" w14:textId="213CEB20" w:rsidR="005A55BD" w:rsidRPr="005A55BD" w:rsidRDefault="005A55BD" w:rsidP="00953B9F">
            <w:pPr>
              <w:pStyle w:val="Tablecontent"/>
              <w:jc w:val="center"/>
            </w:pPr>
            <w:r>
              <w:t>11,063,745</w:t>
            </w:r>
          </w:p>
        </w:tc>
        <w:tc>
          <w:tcPr>
            <w:tcW w:w="1701" w:type="dxa"/>
            <w:vAlign w:val="center"/>
          </w:tcPr>
          <w:p w14:paraId="54B3EEBD" w14:textId="783B4269" w:rsidR="005A55BD" w:rsidRPr="005A55BD" w:rsidRDefault="005A55BD" w:rsidP="00953B9F">
            <w:pPr>
              <w:pStyle w:val="Tablecontent"/>
              <w:jc w:val="center"/>
            </w:pPr>
            <w:r>
              <w:t>12,877,381</w:t>
            </w:r>
          </w:p>
        </w:tc>
        <w:tc>
          <w:tcPr>
            <w:tcW w:w="1701" w:type="dxa"/>
            <w:vAlign w:val="center"/>
          </w:tcPr>
          <w:p w14:paraId="15DA9BFC" w14:textId="5CD5DE96" w:rsidR="005A55BD" w:rsidRPr="005A55BD" w:rsidRDefault="005A55BD" w:rsidP="00953B9F">
            <w:pPr>
              <w:pStyle w:val="Tablecontent"/>
              <w:jc w:val="center"/>
            </w:pPr>
            <w:r>
              <w:t>12,877,381</w:t>
            </w:r>
          </w:p>
        </w:tc>
      </w:tr>
      <w:tr w:rsidR="005A55BD" w14:paraId="6D616453" w14:textId="77777777" w:rsidTr="00953B9F">
        <w:trPr>
          <w:jc w:val="center"/>
        </w:trPr>
        <w:tc>
          <w:tcPr>
            <w:tcW w:w="2268" w:type="dxa"/>
            <w:tcBorders>
              <w:right w:val="single" w:sz="4" w:space="0" w:color="auto"/>
            </w:tcBorders>
            <w:vAlign w:val="center"/>
          </w:tcPr>
          <w:p w14:paraId="62F7269C" w14:textId="343A8BFD" w:rsidR="005A55BD" w:rsidRDefault="005A55BD" w:rsidP="00953B9F">
            <w:pPr>
              <w:pStyle w:val="Tablecontent"/>
              <w:ind w:right="41"/>
              <w:jc w:val="right"/>
            </w:pPr>
            <w:r>
              <w:t>Contig N50 (bp)</w:t>
            </w:r>
          </w:p>
        </w:tc>
        <w:tc>
          <w:tcPr>
            <w:tcW w:w="1701" w:type="dxa"/>
            <w:tcBorders>
              <w:left w:val="single" w:sz="4" w:space="0" w:color="auto"/>
            </w:tcBorders>
            <w:vAlign w:val="center"/>
          </w:tcPr>
          <w:p w14:paraId="3E9107D6" w14:textId="54C1F928" w:rsidR="005A55BD" w:rsidRPr="005A55BD" w:rsidRDefault="005A55BD" w:rsidP="00953B9F">
            <w:pPr>
              <w:pStyle w:val="Tablecontent"/>
              <w:jc w:val="center"/>
            </w:pPr>
            <w:r>
              <w:t>46,345</w:t>
            </w:r>
          </w:p>
        </w:tc>
        <w:tc>
          <w:tcPr>
            <w:tcW w:w="1701" w:type="dxa"/>
            <w:vAlign w:val="center"/>
          </w:tcPr>
          <w:p w14:paraId="5CE67C6D" w14:textId="5CD6030A" w:rsidR="005A55BD" w:rsidRPr="005A55BD" w:rsidRDefault="005A55BD" w:rsidP="00953B9F">
            <w:pPr>
              <w:pStyle w:val="Tablecontent"/>
              <w:jc w:val="center"/>
            </w:pPr>
            <w:r>
              <w:t>279,750</w:t>
            </w:r>
          </w:p>
        </w:tc>
        <w:tc>
          <w:tcPr>
            <w:tcW w:w="1701" w:type="dxa"/>
            <w:vAlign w:val="center"/>
          </w:tcPr>
          <w:p w14:paraId="114039B7" w14:textId="13C900A1" w:rsidR="005A55BD" w:rsidRPr="005A55BD" w:rsidRDefault="005A55BD" w:rsidP="00953B9F">
            <w:pPr>
              <w:pStyle w:val="Tablecontent"/>
              <w:jc w:val="center"/>
            </w:pPr>
            <w:r>
              <w:t>279,750</w:t>
            </w:r>
          </w:p>
        </w:tc>
      </w:tr>
      <w:tr w:rsidR="005A55BD" w14:paraId="09CED7E2" w14:textId="77777777" w:rsidTr="00953B9F">
        <w:trPr>
          <w:jc w:val="center"/>
        </w:trPr>
        <w:tc>
          <w:tcPr>
            <w:tcW w:w="2268" w:type="dxa"/>
            <w:tcBorders>
              <w:right w:val="single" w:sz="4" w:space="0" w:color="auto"/>
            </w:tcBorders>
            <w:vAlign w:val="center"/>
          </w:tcPr>
          <w:p w14:paraId="4C52B020" w14:textId="66FD6EAB" w:rsidR="005A55BD" w:rsidRDefault="005A55BD" w:rsidP="00953B9F">
            <w:pPr>
              <w:pStyle w:val="Tablecontent"/>
              <w:ind w:right="41"/>
              <w:jc w:val="right"/>
            </w:pPr>
            <w:r>
              <w:t>LTR content (bp)</w:t>
            </w:r>
          </w:p>
        </w:tc>
        <w:tc>
          <w:tcPr>
            <w:tcW w:w="1701" w:type="dxa"/>
            <w:tcBorders>
              <w:left w:val="single" w:sz="4" w:space="0" w:color="auto"/>
            </w:tcBorders>
            <w:vAlign w:val="center"/>
          </w:tcPr>
          <w:p w14:paraId="1B3B8BBA" w14:textId="315FCD17" w:rsidR="005A55BD" w:rsidRPr="005A55BD" w:rsidRDefault="005A55BD" w:rsidP="00953B9F">
            <w:pPr>
              <w:pStyle w:val="Tablecontent"/>
              <w:jc w:val="center"/>
            </w:pPr>
            <w:r>
              <w:t>14,870,595</w:t>
            </w:r>
          </w:p>
        </w:tc>
        <w:tc>
          <w:tcPr>
            <w:tcW w:w="1701" w:type="dxa"/>
            <w:vAlign w:val="center"/>
          </w:tcPr>
          <w:p w14:paraId="566C18B7" w14:textId="0C220505" w:rsidR="005A55BD" w:rsidRPr="005A55BD" w:rsidRDefault="005A55BD" w:rsidP="00953B9F">
            <w:pPr>
              <w:pStyle w:val="Tablecontent"/>
              <w:jc w:val="center"/>
            </w:pPr>
            <w:r>
              <w:t>17,369,358</w:t>
            </w:r>
          </w:p>
        </w:tc>
        <w:tc>
          <w:tcPr>
            <w:tcW w:w="1701" w:type="dxa"/>
            <w:vAlign w:val="center"/>
          </w:tcPr>
          <w:p w14:paraId="0BFCFC86" w14:textId="3ABCBFA1" w:rsidR="005A55BD" w:rsidRPr="005A55BD" w:rsidRDefault="005A55BD" w:rsidP="00953B9F">
            <w:pPr>
              <w:pStyle w:val="Tablecontent"/>
              <w:jc w:val="center"/>
            </w:pPr>
            <w:r>
              <w:t>31,490,117</w:t>
            </w:r>
          </w:p>
        </w:tc>
      </w:tr>
      <w:tr w:rsidR="005A55BD" w14:paraId="7E885AD8" w14:textId="77777777" w:rsidTr="00953B9F">
        <w:trPr>
          <w:jc w:val="center"/>
        </w:trPr>
        <w:tc>
          <w:tcPr>
            <w:tcW w:w="2268" w:type="dxa"/>
            <w:tcBorders>
              <w:right w:val="single" w:sz="4" w:space="0" w:color="auto"/>
            </w:tcBorders>
            <w:vAlign w:val="center"/>
          </w:tcPr>
          <w:p w14:paraId="5F3CBE55" w14:textId="0F749576" w:rsidR="005A55BD" w:rsidRDefault="005A55BD" w:rsidP="00953B9F">
            <w:pPr>
              <w:pStyle w:val="Tablecontent"/>
              <w:ind w:right="41"/>
              <w:jc w:val="right"/>
            </w:pPr>
            <w:r>
              <w:t>LTR content (%)</w:t>
            </w:r>
          </w:p>
        </w:tc>
        <w:tc>
          <w:tcPr>
            <w:tcW w:w="1701" w:type="dxa"/>
            <w:tcBorders>
              <w:left w:val="single" w:sz="4" w:space="0" w:color="auto"/>
            </w:tcBorders>
            <w:vAlign w:val="center"/>
          </w:tcPr>
          <w:p w14:paraId="385EBCCA" w14:textId="2AE5B7F6" w:rsidR="005A55BD" w:rsidRPr="005A55BD" w:rsidRDefault="005A55BD" w:rsidP="00953B9F">
            <w:pPr>
              <w:pStyle w:val="Tablecontent"/>
              <w:jc w:val="center"/>
            </w:pPr>
            <w:r>
              <w:t>1.35</w:t>
            </w:r>
          </w:p>
        </w:tc>
        <w:tc>
          <w:tcPr>
            <w:tcW w:w="1701" w:type="dxa"/>
            <w:vAlign w:val="center"/>
          </w:tcPr>
          <w:p w14:paraId="257D592B" w14:textId="0CFFCD58" w:rsidR="005A55BD" w:rsidRPr="005A55BD" w:rsidRDefault="005A55BD" w:rsidP="00953B9F">
            <w:pPr>
              <w:pStyle w:val="Tablecontent"/>
              <w:jc w:val="center"/>
            </w:pPr>
            <w:r>
              <w:t>1.66</w:t>
            </w:r>
          </w:p>
        </w:tc>
        <w:tc>
          <w:tcPr>
            <w:tcW w:w="1701" w:type="dxa"/>
            <w:vAlign w:val="center"/>
          </w:tcPr>
          <w:p w14:paraId="54D27A8C" w14:textId="4097D5C0" w:rsidR="005A55BD" w:rsidRPr="005A55BD" w:rsidRDefault="005A55BD" w:rsidP="00953B9F">
            <w:pPr>
              <w:pStyle w:val="Tablecontent"/>
              <w:jc w:val="center"/>
            </w:pPr>
            <w:r>
              <w:t>3.01</w:t>
            </w:r>
          </w:p>
        </w:tc>
      </w:tr>
      <w:tr w:rsidR="005A55BD" w14:paraId="7691978A" w14:textId="77777777" w:rsidTr="00953B9F">
        <w:trPr>
          <w:jc w:val="center"/>
        </w:trPr>
        <w:tc>
          <w:tcPr>
            <w:tcW w:w="2268" w:type="dxa"/>
            <w:tcBorders>
              <w:bottom w:val="single" w:sz="4" w:space="0" w:color="auto"/>
              <w:right w:val="single" w:sz="4" w:space="0" w:color="auto"/>
            </w:tcBorders>
            <w:vAlign w:val="center"/>
          </w:tcPr>
          <w:p w14:paraId="5012074E" w14:textId="5A685057" w:rsidR="005A55BD" w:rsidRDefault="005A55BD" w:rsidP="00953B9F">
            <w:pPr>
              <w:pStyle w:val="Tablecontent"/>
              <w:ind w:right="41"/>
              <w:jc w:val="right"/>
            </w:pPr>
            <w:r>
              <w:t>Number of SIEs</w:t>
            </w:r>
          </w:p>
        </w:tc>
        <w:tc>
          <w:tcPr>
            <w:tcW w:w="1701" w:type="dxa"/>
            <w:tcBorders>
              <w:left w:val="single" w:sz="4" w:space="0" w:color="auto"/>
              <w:bottom w:val="single" w:sz="4" w:space="0" w:color="auto"/>
            </w:tcBorders>
            <w:vAlign w:val="center"/>
          </w:tcPr>
          <w:p w14:paraId="5EAF1878" w14:textId="1C097408" w:rsidR="005A55BD" w:rsidRPr="005A55BD" w:rsidRDefault="005A55BD" w:rsidP="00953B9F">
            <w:pPr>
              <w:pStyle w:val="Tablecontent"/>
              <w:jc w:val="center"/>
            </w:pPr>
            <w:r>
              <w:t>492</w:t>
            </w:r>
          </w:p>
        </w:tc>
        <w:tc>
          <w:tcPr>
            <w:tcW w:w="1701" w:type="dxa"/>
            <w:tcBorders>
              <w:bottom w:val="single" w:sz="4" w:space="0" w:color="auto"/>
            </w:tcBorders>
            <w:vAlign w:val="center"/>
          </w:tcPr>
          <w:p w14:paraId="7E4AAB53" w14:textId="2E59F06E" w:rsidR="005A55BD" w:rsidRPr="005A55BD" w:rsidRDefault="005A55BD" w:rsidP="00953B9F">
            <w:pPr>
              <w:pStyle w:val="Tablecontent"/>
              <w:jc w:val="center"/>
            </w:pPr>
            <w:r>
              <w:t>-</w:t>
            </w:r>
          </w:p>
        </w:tc>
        <w:tc>
          <w:tcPr>
            <w:tcW w:w="1701" w:type="dxa"/>
            <w:tcBorders>
              <w:bottom w:val="single" w:sz="4" w:space="0" w:color="auto"/>
            </w:tcBorders>
            <w:vAlign w:val="center"/>
          </w:tcPr>
          <w:p w14:paraId="119B9966" w14:textId="2FCB5316" w:rsidR="005A55BD" w:rsidRPr="005A55BD" w:rsidRDefault="005A55BD" w:rsidP="00953B9F">
            <w:pPr>
              <w:pStyle w:val="Tablecontent"/>
              <w:jc w:val="center"/>
            </w:pPr>
            <w:r>
              <w:t>1,073</w:t>
            </w:r>
          </w:p>
        </w:tc>
      </w:tr>
    </w:tbl>
    <w:p w14:paraId="7E3DBBC9" w14:textId="77777777" w:rsidR="005A55BD" w:rsidRPr="00E2723B" w:rsidRDefault="005A55BD" w:rsidP="00391005">
      <w:pPr>
        <w:pStyle w:val="ListParagraph"/>
        <w:rPr>
          <w:sz w:val="30"/>
        </w:rPr>
      </w:pPr>
    </w:p>
    <w:p w14:paraId="68D5FC93" w14:textId="1FC98CBA" w:rsidR="00871430" w:rsidRDefault="00C32FAF" w:rsidP="00C32FAF">
      <w:pPr>
        <w:pStyle w:val="Heading2"/>
      </w:pPr>
      <w:bookmarkStart w:id="188" w:name="_Toc485721594"/>
      <w:bookmarkStart w:id="189" w:name="_Ref486610088"/>
      <w:bookmarkStart w:id="190" w:name="_Toc486787174"/>
      <w:bookmarkStart w:id="191" w:name="_Toc486787322"/>
      <w:r>
        <w:t>Analysis of the LTR retrotransposons of Galgal4</w:t>
      </w:r>
      <w:bookmarkEnd w:id="188"/>
      <w:bookmarkEnd w:id="189"/>
      <w:bookmarkEnd w:id="190"/>
      <w:bookmarkEnd w:id="191"/>
    </w:p>
    <w:p w14:paraId="21169B39" w14:textId="72E7952F" w:rsidR="00C32FAF" w:rsidRDefault="00FD3E6C" w:rsidP="00C32FAF">
      <w:pPr>
        <w:pStyle w:val="Heading3"/>
      </w:pPr>
      <w:bookmarkStart w:id="192" w:name="_Ref482452316"/>
      <w:bookmarkStart w:id="193" w:name="_Toc485721595"/>
      <w:bookmarkStart w:id="194" w:name="_Toc486787175"/>
      <w:bookmarkStart w:id="195" w:name="_Toc486787323"/>
      <w:r>
        <w:t>LTR retrotransposon density</w:t>
      </w:r>
      <w:bookmarkEnd w:id="192"/>
      <w:bookmarkEnd w:id="193"/>
      <w:bookmarkEnd w:id="194"/>
      <w:bookmarkEnd w:id="195"/>
    </w:p>
    <w:p w14:paraId="780E7072" w14:textId="3A498751" w:rsidR="007264E7" w:rsidRPr="007264E7" w:rsidRDefault="00043ED2" w:rsidP="00391005">
      <w:pPr>
        <w:pStyle w:val="ListParagraph"/>
      </w:pPr>
      <w:r>
        <w:t>LTR retrotransposon density has a strong, positive correlation with chromosome size (r = 0.91, P &lt; 0.001), and, consequently, a strong negative correlation with recombination rate (r = -0.81, P &lt; 0.001) and gene density (r = -0.72, P &lt; 0.001). Chromosome size was the only significant variable when fitted to the GLM (P &lt; 0.001), but as recombination rate is scaled by sequence length (centimorgan per Mb; cM.Mb</w:t>
      </w:r>
      <w:r>
        <w:rPr>
          <w:vertAlign w:val="superscript"/>
        </w:rPr>
        <w:t>-1</w:t>
      </w:r>
      <w:r>
        <w:t>) this remains an important contextual relationship. Chromosomes 16, 25 and W exhibited much higher than expected element density</w:t>
      </w:r>
      <w:r w:rsidR="00261B68">
        <w:t xml:space="preserve"> (</w:t>
      </w:r>
      <w:r w:rsidR="004E2431" w:rsidRPr="004E2431">
        <w:fldChar w:fldCharType="begin" w:fldLock="1"/>
      </w:r>
      <w:r w:rsidR="004E2431" w:rsidRPr="004E2431">
        <w:instrText xml:space="preserve"> REF _Ref480457556 \h  \* MERGEFORMAT </w:instrText>
      </w:r>
      <w:r w:rsidR="004E2431" w:rsidRPr="004E2431">
        <w:fldChar w:fldCharType="separate"/>
      </w:r>
      <w:r w:rsidR="002C549C" w:rsidRPr="00E2723B">
        <w:t xml:space="preserve">Figure </w:t>
      </w:r>
      <w:r w:rsidR="002C549C">
        <w:rPr>
          <w:noProof/>
        </w:rPr>
        <w:t>3</w:t>
      </w:r>
      <w:r w:rsidR="002C549C" w:rsidRPr="00E2723B">
        <w:rPr>
          <w:noProof/>
        </w:rPr>
        <w:t>.</w:t>
      </w:r>
      <w:r w:rsidR="002C549C">
        <w:rPr>
          <w:noProof/>
        </w:rPr>
        <w:t>5</w:t>
      </w:r>
      <w:r w:rsidR="004E2431" w:rsidRPr="004E2431">
        <w:fldChar w:fldCharType="end"/>
      </w:r>
      <w:r w:rsidR="004E2431">
        <w:t>)</w:t>
      </w:r>
      <w:r w:rsidR="00E2723B">
        <w:t>, but this wa</w:t>
      </w:r>
      <w:r>
        <w:t>s likely due to large amounts of mi</w:t>
      </w:r>
      <w:r w:rsidR="00940C18">
        <w:t>ssing sequence from the assemblies caused by unassembled, collapsed or unsequenced repetitive elements</w:t>
      </w:r>
      <w:r>
        <w:t>.</w:t>
      </w:r>
      <w:r w:rsidR="00940C18">
        <w:t xml:space="preserve"> </w:t>
      </w:r>
      <w:r w:rsidR="00E660DC">
        <w:t xml:space="preserve">However, chromosomes 27 and Z are much </w:t>
      </w:r>
      <w:r w:rsidR="000604ED">
        <w:t xml:space="preserve">more </w:t>
      </w:r>
      <w:r w:rsidR="00E660DC">
        <w:t>complete and have high density relative to their length and recombination rate.</w:t>
      </w:r>
      <w:r w:rsidR="000604ED">
        <w:t xml:space="preserve"> </w:t>
      </w:r>
    </w:p>
    <w:p w14:paraId="7FF4C3BD" w14:textId="77777777" w:rsidR="007264E7" w:rsidRDefault="00FD5872" w:rsidP="00E2723B">
      <w:pPr>
        <w:pStyle w:val="ListParagraph"/>
        <w:jc w:val="center"/>
      </w:pPr>
      <w:r>
        <w:rPr>
          <w:noProof/>
          <w:lang w:eastAsia="en-GB"/>
        </w:rPr>
        <w:lastRenderedPageBreak/>
        <w:drawing>
          <wp:inline distT="0" distB="0" distL="0" distR="0" wp14:anchorId="537BEEA2" wp14:editId="655DBBDF">
            <wp:extent cx="4430864" cy="3438525"/>
            <wp:effectExtent l="0" t="0" r="825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38110" cy="3444148"/>
                    </a:xfrm>
                    <a:prstGeom prst="rect">
                      <a:avLst/>
                    </a:prstGeom>
                    <a:noFill/>
                  </pic:spPr>
                </pic:pic>
              </a:graphicData>
            </a:graphic>
          </wp:inline>
        </w:drawing>
      </w:r>
      <w:bookmarkStart w:id="196" w:name="_Ref478129672"/>
    </w:p>
    <w:p w14:paraId="3BF11246" w14:textId="261109BD" w:rsidR="00FD3E6C" w:rsidRDefault="00261B68" w:rsidP="00E2723B">
      <w:pPr>
        <w:pStyle w:val="Figure"/>
      </w:pPr>
      <w:bookmarkStart w:id="197" w:name="_Ref480457556"/>
      <w:bookmarkStart w:id="198" w:name="_Toc486785431"/>
      <w:r w:rsidRPr="00E2723B">
        <w:t xml:space="preserve">Figure </w:t>
      </w:r>
      <w:fldSimple w:instr=" STYLEREF 1 \s " w:fldLock="1">
        <w:r w:rsidR="002C549C">
          <w:rPr>
            <w:noProof/>
          </w:rPr>
          <w:t>3</w:t>
        </w:r>
      </w:fldSimple>
      <w:r w:rsidR="001167C6" w:rsidRPr="00E2723B">
        <w:t>.</w:t>
      </w:r>
      <w:fldSimple w:instr=" SEQ Figure \* ARABIC \s 1 " w:fldLock="1">
        <w:r w:rsidR="002C549C">
          <w:rPr>
            <w:noProof/>
          </w:rPr>
          <w:t>5</w:t>
        </w:r>
      </w:fldSimple>
      <w:bookmarkEnd w:id="196"/>
      <w:bookmarkEnd w:id="197"/>
      <w:r>
        <w:t xml:space="preserve"> </w:t>
      </w:r>
      <w:r w:rsidR="00FD5872">
        <w:t>Correlation between the chromosome length and its LTR retrotransposon density, where both measures have been log</w:t>
      </w:r>
      <w:r w:rsidR="00FD5872">
        <w:softHyphen/>
      </w:r>
      <w:r w:rsidR="00FD5872">
        <w:rPr>
          <w:vertAlign w:val="subscript"/>
        </w:rPr>
        <w:t>10</w:t>
      </w:r>
      <w:r w:rsidR="00FD5872">
        <w:t xml:space="preserve"> transformed. The dotted grey line represents the strong, positive correlation </w:t>
      </w:r>
      <w:r w:rsidR="0001377A">
        <w:t>when</w:t>
      </w:r>
      <w:r w:rsidR="00FD5872">
        <w:t xml:space="preserve"> named outliers </w:t>
      </w:r>
      <w:r w:rsidR="0001377A">
        <w:t>were</w:t>
      </w:r>
      <w:r w:rsidR="00FD5872">
        <w:t xml:space="preserve"> removed (</w:t>
      </w:r>
      <w:r w:rsidR="00E2723B">
        <w:t xml:space="preserve">r = 0.91, </w:t>
      </w:r>
      <w:r w:rsidR="0001377A">
        <w:t xml:space="preserve">P &lt; 0.001). Chromosomes 16, 25 and W have shorter </w:t>
      </w:r>
      <w:r w:rsidR="00FD5872">
        <w:t>assembly length</w:t>
      </w:r>
      <w:r w:rsidR="004D5E9A">
        <w:t xml:space="preserve">s </w:t>
      </w:r>
      <w:r w:rsidR="0001377A">
        <w:t xml:space="preserve">than the known physical distance </w:t>
      </w:r>
      <w:r w:rsidR="004D5E9A">
        <w:t>(Masabanda et al. 2004)</w:t>
      </w:r>
      <w:r w:rsidR="0001377A">
        <w:t>. Chromosomes 27 and Z have d</w:t>
      </w:r>
      <w:r w:rsidR="00FD5872">
        <w:t>ensities greater than expected for their length.</w:t>
      </w:r>
      <w:bookmarkEnd w:id="198"/>
      <w:r w:rsidR="00FD5872">
        <w:t xml:space="preserve"> </w:t>
      </w:r>
    </w:p>
    <w:p w14:paraId="6D61C49B" w14:textId="2420978C" w:rsidR="00C32FAF" w:rsidRDefault="00763F9F" w:rsidP="00C32FAF">
      <w:pPr>
        <w:pStyle w:val="Heading4"/>
      </w:pPr>
      <w:r>
        <w:t>Identification of intact LTR retrotransposon clusters</w:t>
      </w:r>
    </w:p>
    <w:p w14:paraId="337814D5" w14:textId="06DEE362" w:rsidR="00952A31" w:rsidRDefault="00D63ED4" w:rsidP="00391005">
      <w:pPr>
        <w:pStyle w:val="ListParagraph"/>
      </w:pPr>
      <w:r>
        <w:t>Whilst most LTR retrotransposons were found on the chicken macrochromosomes, i</w:t>
      </w:r>
      <w:r w:rsidR="00246052">
        <w:t>ntra-chromosom</w:t>
      </w:r>
      <w:r w:rsidR="00BA4569">
        <w:t xml:space="preserve">al </w:t>
      </w:r>
      <w:r>
        <w:t>element</w:t>
      </w:r>
      <w:r w:rsidR="00BA4569">
        <w:t xml:space="preserve"> density wa</w:t>
      </w:r>
      <w:r w:rsidR="00246052">
        <w:t xml:space="preserve">s highly heterogeneous. </w:t>
      </w:r>
      <w:r>
        <w:t>T</w:t>
      </w:r>
      <w:r w:rsidR="00E742D8">
        <w:t xml:space="preserve">here </w:t>
      </w:r>
      <w:r w:rsidR="00BA4569">
        <w:t>we</w:t>
      </w:r>
      <w:r w:rsidR="00E742D8">
        <w:t xml:space="preserve">re large regions of the genome devoid of intact elements, </w:t>
      </w:r>
      <w:r>
        <w:t xml:space="preserve">but </w:t>
      </w:r>
      <w:r w:rsidR="00246052">
        <w:t>40.3</w:t>
      </w:r>
      <w:r w:rsidR="009E78CF">
        <w:t xml:space="preserve"> </w:t>
      </w:r>
      <w:r w:rsidR="00246052">
        <w:t xml:space="preserve">% of all SIEs </w:t>
      </w:r>
      <w:r w:rsidR="00BA4569">
        <w:t>we</w:t>
      </w:r>
      <w:r w:rsidR="00246052">
        <w:t>re found wit</w:t>
      </w:r>
      <w:r w:rsidR="00016D4D">
        <w:t>hin clusters (432 elements in 28</w:t>
      </w:r>
      <w:r w:rsidR="00246052">
        <w:t xml:space="preserve"> clusters) unrelated by insertion age or genera</w:t>
      </w:r>
      <w:r w:rsidR="00E2723B">
        <w:t xml:space="preserve"> (Appendix 2; AF03). This was significantly higher than</w:t>
      </w:r>
      <w:r w:rsidR="00246052">
        <w:t xml:space="preserve"> expected under random integration, where only 6.49</w:t>
      </w:r>
      <w:r w:rsidR="009E78CF">
        <w:t xml:space="preserve"> </w:t>
      </w:r>
      <w:r w:rsidR="00E2723B">
        <w:t>% of SIEs</w:t>
      </w:r>
      <w:r w:rsidR="00246052">
        <w:t xml:space="preserve"> fall within clusters (P = 1.58x10</w:t>
      </w:r>
      <w:r w:rsidR="00246052">
        <w:rPr>
          <w:vertAlign w:val="superscript"/>
        </w:rPr>
        <w:t>-30</w:t>
      </w:r>
      <w:r w:rsidR="00F416D7">
        <w:t>). Cluster size varied</w:t>
      </w:r>
      <w:r w:rsidR="00246052">
        <w:t xml:space="preserve"> from the minimum defined of five, up</w:t>
      </w:r>
      <w:r w:rsidR="00E742D8">
        <w:t xml:space="preserve"> to a cluster </w:t>
      </w:r>
      <w:r w:rsidR="00F416D7">
        <w:t xml:space="preserve">which contained all </w:t>
      </w:r>
      <w:r w:rsidR="00E742D8">
        <w:t>fif</w:t>
      </w:r>
      <w:r w:rsidR="00246052">
        <w:t xml:space="preserve">ty-six identified SIEs on chromosome W </w:t>
      </w:r>
      <w:r w:rsidR="00016D4D">
        <w:t>(</w:t>
      </w:r>
      <w:r w:rsidR="00016D4D" w:rsidRPr="00016D4D">
        <w:fldChar w:fldCharType="begin" w:fldLock="1"/>
      </w:r>
      <w:r w:rsidR="00016D4D" w:rsidRPr="00016D4D">
        <w:instrText xml:space="preserve"> REF _Ref477464095 \h  \* MERGEFORMAT </w:instrText>
      </w:r>
      <w:r w:rsidR="00016D4D" w:rsidRPr="00016D4D">
        <w:fldChar w:fldCharType="separate"/>
      </w:r>
      <w:r w:rsidR="002C549C" w:rsidRPr="00E2723B">
        <w:t xml:space="preserve">Table </w:t>
      </w:r>
      <w:r w:rsidR="002C549C">
        <w:rPr>
          <w:noProof/>
        </w:rPr>
        <w:t>3</w:t>
      </w:r>
      <w:r w:rsidR="002C549C" w:rsidRPr="00E2723B">
        <w:rPr>
          <w:noProof/>
        </w:rPr>
        <w:t>.</w:t>
      </w:r>
      <w:r w:rsidR="002C549C">
        <w:rPr>
          <w:noProof/>
        </w:rPr>
        <w:t>10</w:t>
      </w:r>
      <w:r w:rsidR="00016D4D" w:rsidRPr="00016D4D">
        <w:fldChar w:fldCharType="end"/>
      </w:r>
      <w:r w:rsidR="00016D4D">
        <w:t xml:space="preserve">). </w:t>
      </w:r>
    </w:p>
    <w:p w14:paraId="1BCD3F9A" w14:textId="7FF8311A" w:rsidR="00343031" w:rsidRDefault="00952A31" w:rsidP="00391005">
      <w:pPr>
        <w:pStyle w:val="ListParagraph"/>
      </w:pPr>
      <w:r>
        <w:t xml:space="preserve">The suitability of using a cluster cut-off of 5 elements per Mb (chosen to match the work of Bolisetty et al. 2012) was tested by doubling the required frequency to 10 elements per Mb (matching the </w:t>
      </w:r>
      <w:r w:rsidR="00972A03">
        <w:t xml:space="preserve">relative </w:t>
      </w:r>
      <w:r>
        <w:t xml:space="preserve">density cut-off of Bolisetty et al. 2012). This caused a </w:t>
      </w:r>
      <w:r>
        <w:lastRenderedPageBreak/>
        <w:t>reduction of the number of SIEs within clusters (down to 343; 32.0</w:t>
      </w:r>
      <w:r w:rsidR="009E78CF">
        <w:t xml:space="preserve"> </w:t>
      </w:r>
      <w:r>
        <w:t>%) but all previously identified cluster regions were retained, suggesting that all were genuine clusters rather than random noise.</w:t>
      </w:r>
    </w:p>
    <w:p w14:paraId="0A997329" w14:textId="09D24E8F" w:rsidR="00343031" w:rsidRDefault="00ED3931" w:rsidP="00ED3931">
      <w:pPr>
        <w:pStyle w:val="Caption"/>
      </w:pPr>
      <w:bookmarkStart w:id="199" w:name="_Ref477464095"/>
      <w:bookmarkStart w:id="200" w:name="_Toc486786310"/>
      <w:r w:rsidRPr="00E2723B">
        <w:t xml:space="preserve">Table </w:t>
      </w:r>
      <w:fldSimple w:instr=" STYLEREF 1 \s " w:fldLock="1">
        <w:r w:rsidR="002C549C">
          <w:rPr>
            <w:noProof/>
          </w:rPr>
          <w:t>3</w:t>
        </w:r>
      </w:fldSimple>
      <w:r w:rsidR="001167C6" w:rsidRPr="00E2723B">
        <w:t>.</w:t>
      </w:r>
      <w:fldSimple w:instr=" SEQ Table \* ARABIC \s 1 " w:fldLock="1">
        <w:r w:rsidR="002C549C">
          <w:rPr>
            <w:noProof/>
          </w:rPr>
          <w:t>10</w:t>
        </w:r>
      </w:fldSimple>
      <w:bookmarkEnd w:id="199"/>
      <w:r>
        <w:t xml:space="preserve"> Identified LTR retrotransposon clusters in the Galgal4 assembly.</w:t>
      </w:r>
      <w:r w:rsidR="00E2723B">
        <w:t xml:space="preserve"> Cluster coordinates and contained SIE features are shown in Appendix 2; AF03.</w:t>
      </w:r>
      <w:bookmarkEnd w:id="200"/>
    </w:p>
    <w:tbl>
      <w:tblPr>
        <w:tblStyle w:val="TableGrid"/>
        <w:tblW w:w="7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9"/>
        <w:gridCol w:w="1276"/>
        <w:gridCol w:w="1842"/>
        <w:gridCol w:w="2268"/>
      </w:tblGrid>
      <w:tr w:rsidR="00343031" w14:paraId="1CBDCD60" w14:textId="7BC37021" w:rsidTr="00CB079D">
        <w:trPr>
          <w:trHeight w:val="397"/>
          <w:jc w:val="center"/>
        </w:trPr>
        <w:tc>
          <w:tcPr>
            <w:tcW w:w="2269" w:type="dxa"/>
            <w:tcBorders>
              <w:top w:val="single" w:sz="4" w:space="0" w:color="auto"/>
              <w:bottom w:val="single" w:sz="4" w:space="0" w:color="auto"/>
            </w:tcBorders>
            <w:vAlign w:val="center"/>
          </w:tcPr>
          <w:p w14:paraId="7FFDF9F4" w14:textId="5F59599B" w:rsidR="00343031" w:rsidRDefault="00CB079D" w:rsidP="00343031">
            <w:pPr>
              <w:pStyle w:val="Tablecontent"/>
              <w:jc w:val="center"/>
            </w:pPr>
            <w:r>
              <w:t>Chromosome/Contig</w:t>
            </w:r>
          </w:p>
        </w:tc>
        <w:tc>
          <w:tcPr>
            <w:tcW w:w="1276" w:type="dxa"/>
            <w:tcBorders>
              <w:top w:val="single" w:sz="4" w:space="0" w:color="auto"/>
              <w:left w:val="nil"/>
              <w:bottom w:val="single" w:sz="4" w:space="0" w:color="auto"/>
            </w:tcBorders>
            <w:vAlign w:val="center"/>
          </w:tcPr>
          <w:p w14:paraId="4D6AFECD" w14:textId="16314871" w:rsidR="00343031" w:rsidRDefault="00343031" w:rsidP="00343031">
            <w:pPr>
              <w:pStyle w:val="Tablecontent"/>
              <w:jc w:val="center"/>
            </w:pPr>
            <w:r>
              <w:t># Clusters</w:t>
            </w:r>
          </w:p>
        </w:tc>
        <w:tc>
          <w:tcPr>
            <w:tcW w:w="1842" w:type="dxa"/>
            <w:tcBorders>
              <w:top w:val="single" w:sz="4" w:space="0" w:color="auto"/>
              <w:left w:val="nil"/>
              <w:bottom w:val="single" w:sz="4" w:space="0" w:color="auto"/>
            </w:tcBorders>
          </w:tcPr>
          <w:p w14:paraId="41B52C70" w14:textId="15902706" w:rsidR="00343031" w:rsidRDefault="00343031" w:rsidP="00343031">
            <w:pPr>
              <w:pStyle w:val="Tablecontent"/>
              <w:jc w:val="center"/>
            </w:pPr>
            <w:r>
              <w:t># SIEs in clusters</w:t>
            </w:r>
          </w:p>
        </w:tc>
        <w:tc>
          <w:tcPr>
            <w:tcW w:w="2268" w:type="dxa"/>
            <w:tcBorders>
              <w:top w:val="single" w:sz="4" w:space="0" w:color="auto"/>
              <w:left w:val="nil"/>
              <w:bottom w:val="single" w:sz="4" w:space="0" w:color="auto"/>
            </w:tcBorders>
          </w:tcPr>
          <w:p w14:paraId="13B19934" w14:textId="00E893A8" w:rsidR="00343031" w:rsidRDefault="00343031" w:rsidP="00343031">
            <w:pPr>
              <w:pStyle w:val="Tablecontent"/>
              <w:jc w:val="center"/>
            </w:pPr>
            <w:r>
              <w:t>Cluster sizes</w:t>
            </w:r>
          </w:p>
        </w:tc>
      </w:tr>
      <w:tr w:rsidR="00343031" w14:paraId="5F4B378F" w14:textId="1F4F1312" w:rsidTr="00CB079D">
        <w:trPr>
          <w:jc w:val="center"/>
        </w:trPr>
        <w:tc>
          <w:tcPr>
            <w:tcW w:w="2269" w:type="dxa"/>
            <w:tcBorders>
              <w:top w:val="single" w:sz="4" w:space="0" w:color="auto"/>
            </w:tcBorders>
          </w:tcPr>
          <w:p w14:paraId="387C999E" w14:textId="77777777" w:rsidR="00343031" w:rsidRDefault="00343031" w:rsidP="000604ED">
            <w:pPr>
              <w:pStyle w:val="Tablecontent"/>
              <w:jc w:val="center"/>
            </w:pPr>
            <w:r>
              <w:t>1</w:t>
            </w:r>
          </w:p>
        </w:tc>
        <w:tc>
          <w:tcPr>
            <w:tcW w:w="1276" w:type="dxa"/>
            <w:tcBorders>
              <w:top w:val="single" w:sz="4" w:space="0" w:color="auto"/>
              <w:left w:val="nil"/>
            </w:tcBorders>
          </w:tcPr>
          <w:p w14:paraId="1F1E0FA7" w14:textId="255B4859" w:rsidR="00343031" w:rsidRDefault="000531AB" w:rsidP="000604ED">
            <w:pPr>
              <w:pStyle w:val="Tablecontent"/>
              <w:jc w:val="center"/>
            </w:pPr>
            <w:r>
              <w:t>7</w:t>
            </w:r>
          </w:p>
        </w:tc>
        <w:tc>
          <w:tcPr>
            <w:tcW w:w="1842" w:type="dxa"/>
            <w:tcBorders>
              <w:top w:val="single" w:sz="4" w:space="0" w:color="auto"/>
              <w:left w:val="nil"/>
            </w:tcBorders>
          </w:tcPr>
          <w:p w14:paraId="060E8557" w14:textId="571E6BD2" w:rsidR="00343031" w:rsidRDefault="000531AB" w:rsidP="000604ED">
            <w:pPr>
              <w:pStyle w:val="Tablecontent"/>
              <w:jc w:val="center"/>
            </w:pPr>
            <w:r>
              <w:t>107</w:t>
            </w:r>
          </w:p>
        </w:tc>
        <w:tc>
          <w:tcPr>
            <w:tcW w:w="2268" w:type="dxa"/>
            <w:tcBorders>
              <w:top w:val="single" w:sz="4" w:space="0" w:color="auto"/>
              <w:left w:val="nil"/>
            </w:tcBorders>
          </w:tcPr>
          <w:p w14:paraId="379B4F57" w14:textId="018C3D5A" w:rsidR="00343031" w:rsidRDefault="000531AB" w:rsidP="000604ED">
            <w:pPr>
              <w:pStyle w:val="Tablecontent"/>
              <w:jc w:val="center"/>
            </w:pPr>
            <w:r>
              <w:t>32, 8, 7, 23, 9, 5, 23</w:t>
            </w:r>
          </w:p>
        </w:tc>
      </w:tr>
      <w:tr w:rsidR="00343031" w:rsidRPr="00A062CC" w14:paraId="29D89182" w14:textId="5C3F801D" w:rsidTr="00CB079D">
        <w:trPr>
          <w:jc w:val="center"/>
        </w:trPr>
        <w:tc>
          <w:tcPr>
            <w:tcW w:w="2269" w:type="dxa"/>
          </w:tcPr>
          <w:p w14:paraId="639F4423" w14:textId="2CC719A3" w:rsidR="00343031" w:rsidRDefault="00343031" w:rsidP="000604ED">
            <w:pPr>
              <w:pStyle w:val="Tablecontent"/>
              <w:jc w:val="center"/>
            </w:pPr>
            <w:r>
              <w:t>2</w:t>
            </w:r>
          </w:p>
        </w:tc>
        <w:tc>
          <w:tcPr>
            <w:tcW w:w="1276" w:type="dxa"/>
            <w:tcBorders>
              <w:left w:val="nil"/>
            </w:tcBorders>
          </w:tcPr>
          <w:p w14:paraId="7005CEB9" w14:textId="69DB299B" w:rsidR="00343031" w:rsidRPr="00A062CC" w:rsidRDefault="000531AB" w:rsidP="000604ED">
            <w:pPr>
              <w:pStyle w:val="Tablecontent"/>
              <w:jc w:val="center"/>
            </w:pPr>
            <w:r>
              <w:t>2</w:t>
            </w:r>
          </w:p>
        </w:tc>
        <w:tc>
          <w:tcPr>
            <w:tcW w:w="1842" w:type="dxa"/>
            <w:tcBorders>
              <w:left w:val="nil"/>
            </w:tcBorders>
          </w:tcPr>
          <w:p w14:paraId="7CAFAF09" w14:textId="6D52BB97" w:rsidR="00343031" w:rsidRDefault="000531AB" w:rsidP="000604ED">
            <w:pPr>
              <w:pStyle w:val="Tablecontent"/>
              <w:jc w:val="center"/>
            </w:pPr>
            <w:r>
              <w:t>52</w:t>
            </w:r>
          </w:p>
        </w:tc>
        <w:tc>
          <w:tcPr>
            <w:tcW w:w="2268" w:type="dxa"/>
            <w:tcBorders>
              <w:left w:val="nil"/>
            </w:tcBorders>
          </w:tcPr>
          <w:p w14:paraId="0B22CBA1" w14:textId="3291FB12" w:rsidR="00343031" w:rsidRDefault="000531AB" w:rsidP="000604ED">
            <w:pPr>
              <w:pStyle w:val="Tablecontent"/>
              <w:jc w:val="center"/>
            </w:pPr>
            <w:r>
              <w:t>46, 6</w:t>
            </w:r>
          </w:p>
        </w:tc>
      </w:tr>
      <w:tr w:rsidR="00343031" w:rsidRPr="00A062CC" w14:paraId="419C405E" w14:textId="50EA92F7" w:rsidTr="00CB079D">
        <w:trPr>
          <w:jc w:val="center"/>
        </w:trPr>
        <w:tc>
          <w:tcPr>
            <w:tcW w:w="2269" w:type="dxa"/>
          </w:tcPr>
          <w:p w14:paraId="7452FD44" w14:textId="14891136" w:rsidR="00343031" w:rsidRDefault="00343031" w:rsidP="000604ED">
            <w:pPr>
              <w:pStyle w:val="Tablecontent"/>
              <w:jc w:val="center"/>
            </w:pPr>
            <w:r>
              <w:t>4</w:t>
            </w:r>
          </w:p>
        </w:tc>
        <w:tc>
          <w:tcPr>
            <w:tcW w:w="1276" w:type="dxa"/>
            <w:tcBorders>
              <w:left w:val="nil"/>
            </w:tcBorders>
          </w:tcPr>
          <w:p w14:paraId="2ECB2020" w14:textId="06F80959" w:rsidR="00343031" w:rsidRPr="00A062CC" w:rsidRDefault="000531AB" w:rsidP="000604ED">
            <w:pPr>
              <w:pStyle w:val="Tablecontent"/>
              <w:jc w:val="center"/>
            </w:pPr>
            <w:r>
              <w:t>2</w:t>
            </w:r>
          </w:p>
        </w:tc>
        <w:tc>
          <w:tcPr>
            <w:tcW w:w="1842" w:type="dxa"/>
            <w:tcBorders>
              <w:left w:val="nil"/>
            </w:tcBorders>
          </w:tcPr>
          <w:p w14:paraId="3AD43989" w14:textId="4D48C001" w:rsidR="00343031" w:rsidRPr="00A062CC" w:rsidRDefault="000531AB" w:rsidP="000604ED">
            <w:pPr>
              <w:pStyle w:val="Tablecontent"/>
              <w:jc w:val="center"/>
            </w:pPr>
            <w:r>
              <w:t>30</w:t>
            </w:r>
          </w:p>
        </w:tc>
        <w:tc>
          <w:tcPr>
            <w:tcW w:w="2268" w:type="dxa"/>
            <w:tcBorders>
              <w:left w:val="nil"/>
            </w:tcBorders>
          </w:tcPr>
          <w:p w14:paraId="5214DF67" w14:textId="7AADE147" w:rsidR="00343031" w:rsidRPr="00A062CC" w:rsidRDefault="000531AB" w:rsidP="000604ED">
            <w:pPr>
              <w:pStyle w:val="Tablecontent"/>
              <w:jc w:val="center"/>
            </w:pPr>
            <w:r>
              <w:t>22, 8</w:t>
            </w:r>
          </w:p>
        </w:tc>
      </w:tr>
      <w:tr w:rsidR="00343031" w:rsidRPr="00A062CC" w14:paraId="294F4123" w14:textId="05CB4BD0" w:rsidTr="00CB079D">
        <w:trPr>
          <w:jc w:val="center"/>
        </w:trPr>
        <w:tc>
          <w:tcPr>
            <w:tcW w:w="2269" w:type="dxa"/>
          </w:tcPr>
          <w:p w14:paraId="225E40B3" w14:textId="7CDBD54F" w:rsidR="00343031" w:rsidRDefault="00343031" w:rsidP="000604ED">
            <w:pPr>
              <w:pStyle w:val="Tablecontent"/>
              <w:jc w:val="center"/>
            </w:pPr>
            <w:r>
              <w:t>5</w:t>
            </w:r>
          </w:p>
        </w:tc>
        <w:tc>
          <w:tcPr>
            <w:tcW w:w="1276" w:type="dxa"/>
            <w:tcBorders>
              <w:left w:val="nil"/>
            </w:tcBorders>
          </w:tcPr>
          <w:p w14:paraId="14E4D1BF" w14:textId="11936A02" w:rsidR="00343031" w:rsidRPr="00A062CC" w:rsidRDefault="000531AB" w:rsidP="000604ED">
            <w:pPr>
              <w:pStyle w:val="Tablecontent"/>
              <w:jc w:val="center"/>
            </w:pPr>
            <w:r>
              <w:t>2</w:t>
            </w:r>
          </w:p>
        </w:tc>
        <w:tc>
          <w:tcPr>
            <w:tcW w:w="1842" w:type="dxa"/>
            <w:tcBorders>
              <w:left w:val="nil"/>
            </w:tcBorders>
          </w:tcPr>
          <w:p w14:paraId="4C8EDC50" w14:textId="43F2A80C" w:rsidR="00343031" w:rsidRPr="00A062CC" w:rsidRDefault="000531AB" w:rsidP="000604ED">
            <w:pPr>
              <w:pStyle w:val="Tablecontent"/>
              <w:jc w:val="center"/>
            </w:pPr>
            <w:r>
              <w:t>21</w:t>
            </w:r>
          </w:p>
        </w:tc>
        <w:tc>
          <w:tcPr>
            <w:tcW w:w="2268" w:type="dxa"/>
            <w:tcBorders>
              <w:left w:val="nil"/>
            </w:tcBorders>
          </w:tcPr>
          <w:p w14:paraId="6328126C" w14:textId="3DD012FF" w:rsidR="00343031" w:rsidRPr="00A062CC" w:rsidRDefault="000531AB" w:rsidP="000604ED">
            <w:pPr>
              <w:pStyle w:val="Tablecontent"/>
              <w:jc w:val="center"/>
            </w:pPr>
            <w:r>
              <w:t>15, 6</w:t>
            </w:r>
          </w:p>
        </w:tc>
      </w:tr>
      <w:tr w:rsidR="00343031" w:rsidRPr="00A062CC" w14:paraId="45D6765D" w14:textId="1357AB5A" w:rsidTr="00CB079D">
        <w:trPr>
          <w:jc w:val="center"/>
        </w:trPr>
        <w:tc>
          <w:tcPr>
            <w:tcW w:w="2269" w:type="dxa"/>
          </w:tcPr>
          <w:p w14:paraId="6082B0C2" w14:textId="0C7920A7" w:rsidR="00343031" w:rsidRDefault="00343031" w:rsidP="000604ED">
            <w:pPr>
              <w:pStyle w:val="Tablecontent"/>
              <w:jc w:val="center"/>
            </w:pPr>
            <w:r>
              <w:t>8</w:t>
            </w:r>
          </w:p>
        </w:tc>
        <w:tc>
          <w:tcPr>
            <w:tcW w:w="1276" w:type="dxa"/>
            <w:tcBorders>
              <w:left w:val="nil"/>
            </w:tcBorders>
          </w:tcPr>
          <w:p w14:paraId="10C3E28A" w14:textId="4B38A4D3" w:rsidR="00343031" w:rsidRPr="00A062CC" w:rsidRDefault="000531AB" w:rsidP="000604ED">
            <w:pPr>
              <w:pStyle w:val="Tablecontent"/>
              <w:jc w:val="center"/>
            </w:pPr>
            <w:r>
              <w:t>1</w:t>
            </w:r>
          </w:p>
        </w:tc>
        <w:tc>
          <w:tcPr>
            <w:tcW w:w="1842" w:type="dxa"/>
            <w:tcBorders>
              <w:left w:val="nil"/>
            </w:tcBorders>
          </w:tcPr>
          <w:p w14:paraId="5E86C772" w14:textId="2EC4CA58" w:rsidR="00343031" w:rsidRPr="00A062CC" w:rsidRDefault="000531AB" w:rsidP="000604ED">
            <w:pPr>
              <w:pStyle w:val="Tablecontent"/>
              <w:jc w:val="center"/>
            </w:pPr>
            <w:r>
              <w:t>5</w:t>
            </w:r>
          </w:p>
        </w:tc>
        <w:tc>
          <w:tcPr>
            <w:tcW w:w="2268" w:type="dxa"/>
            <w:tcBorders>
              <w:left w:val="nil"/>
            </w:tcBorders>
          </w:tcPr>
          <w:p w14:paraId="255567AD" w14:textId="6B5D20AE" w:rsidR="00343031" w:rsidRPr="00A062CC" w:rsidRDefault="000531AB" w:rsidP="000604ED">
            <w:pPr>
              <w:pStyle w:val="Tablecontent"/>
              <w:jc w:val="center"/>
            </w:pPr>
            <w:r>
              <w:t>-</w:t>
            </w:r>
          </w:p>
        </w:tc>
      </w:tr>
      <w:tr w:rsidR="00343031" w:rsidRPr="00A062CC" w14:paraId="6BD11E85" w14:textId="77777777" w:rsidTr="00CB079D">
        <w:trPr>
          <w:jc w:val="center"/>
        </w:trPr>
        <w:tc>
          <w:tcPr>
            <w:tcW w:w="2269" w:type="dxa"/>
          </w:tcPr>
          <w:p w14:paraId="65D5BF2B" w14:textId="6C85CC09" w:rsidR="00343031" w:rsidRDefault="00343031" w:rsidP="000604ED">
            <w:pPr>
              <w:pStyle w:val="Tablecontent"/>
              <w:jc w:val="center"/>
            </w:pPr>
            <w:r>
              <w:t>16</w:t>
            </w:r>
          </w:p>
        </w:tc>
        <w:tc>
          <w:tcPr>
            <w:tcW w:w="1276" w:type="dxa"/>
            <w:tcBorders>
              <w:left w:val="nil"/>
            </w:tcBorders>
          </w:tcPr>
          <w:p w14:paraId="5413CA08" w14:textId="11795C86" w:rsidR="00343031" w:rsidRPr="00A062CC" w:rsidRDefault="000531AB" w:rsidP="000604ED">
            <w:pPr>
              <w:pStyle w:val="Tablecontent"/>
              <w:jc w:val="center"/>
            </w:pPr>
            <w:r>
              <w:t>1</w:t>
            </w:r>
          </w:p>
        </w:tc>
        <w:tc>
          <w:tcPr>
            <w:tcW w:w="1842" w:type="dxa"/>
            <w:tcBorders>
              <w:left w:val="nil"/>
            </w:tcBorders>
          </w:tcPr>
          <w:p w14:paraId="163A86F3" w14:textId="4B599D2C" w:rsidR="00343031" w:rsidRPr="00A062CC" w:rsidRDefault="000531AB" w:rsidP="000604ED">
            <w:pPr>
              <w:pStyle w:val="Tablecontent"/>
              <w:jc w:val="center"/>
            </w:pPr>
            <w:r>
              <w:t>8</w:t>
            </w:r>
          </w:p>
        </w:tc>
        <w:tc>
          <w:tcPr>
            <w:tcW w:w="2268" w:type="dxa"/>
            <w:tcBorders>
              <w:left w:val="nil"/>
            </w:tcBorders>
          </w:tcPr>
          <w:p w14:paraId="5E57DD49" w14:textId="1C757DDB" w:rsidR="00343031" w:rsidRPr="00A062CC" w:rsidRDefault="000531AB" w:rsidP="000604ED">
            <w:pPr>
              <w:pStyle w:val="Tablecontent"/>
              <w:jc w:val="center"/>
            </w:pPr>
            <w:r>
              <w:t>-</w:t>
            </w:r>
          </w:p>
        </w:tc>
      </w:tr>
      <w:tr w:rsidR="00343031" w:rsidRPr="00A062CC" w14:paraId="00705D8B" w14:textId="77777777" w:rsidTr="00CB079D">
        <w:trPr>
          <w:jc w:val="center"/>
        </w:trPr>
        <w:tc>
          <w:tcPr>
            <w:tcW w:w="2269" w:type="dxa"/>
          </w:tcPr>
          <w:p w14:paraId="18D50026" w14:textId="3152B53F" w:rsidR="00343031" w:rsidRDefault="00343031" w:rsidP="000604ED">
            <w:pPr>
              <w:pStyle w:val="Tablecontent"/>
              <w:jc w:val="center"/>
            </w:pPr>
            <w:r>
              <w:t>27</w:t>
            </w:r>
          </w:p>
        </w:tc>
        <w:tc>
          <w:tcPr>
            <w:tcW w:w="1276" w:type="dxa"/>
            <w:tcBorders>
              <w:left w:val="nil"/>
            </w:tcBorders>
          </w:tcPr>
          <w:p w14:paraId="3E736954" w14:textId="13E59ACB" w:rsidR="00343031" w:rsidRPr="00A062CC" w:rsidRDefault="000531AB" w:rsidP="000604ED">
            <w:pPr>
              <w:pStyle w:val="Tablecontent"/>
              <w:jc w:val="center"/>
            </w:pPr>
            <w:r>
              <w:t>1</w:t>
            </w:r>
          </w:p>
        </w:tc>
        <w:tc>
          <w:tcPr>
            <w:tcW w:w="1842" w:type="dxa"/>
            <w:tcBorders>
              <w:left w:val="nil"/>
            </w:tcBorders>
          </w:tcPr>
          <w:p w14:paraId="6C9C9CD8" w14:textId="214B8F23" w:rsidR="00343031" w:rsidRPr="00A062CC" w:rsidRDefault="000531AB" w:rsidP="000604ED">
            <w:pPr>
              <w:pStyle w:val="Tablecontent"/>
              <w:jc w:val="center"/>
            </w:pPr>
            <w:r>
              <w:t>8</w:t>
            </w:r>
          </w:p>
        </w:tc>
        <w:tc>
          <w:tcPr>
            <w:tcW w:w="2268" w:type="dxa"/>
            <w:tcBorders>
              <w:left w:val="nil"/>
            </w:tcBorders>
          </w:tcPr>
          <w:p w14:paraId="4F3A08CC" w14:textId="62E4BD34" w:rsidR="00343031" w:rsidRPr="00A062CC" w:rsidRDefault="000531AB" w:rsidP="000604ED">
            <w:pPr>
              <w:pStyle w:val="Tablecontent"/>
              <w:jc w:val="center"/>
            </w:pPr>
            <w:r>
              <w:t>-</w:t>
            </w:r>
          </w:p>
        </w:tc>
      </w:tr>
      <w:tr w:rsidR="00343031" w:rsidRPr="00A062CC" w14:paraId="02FA3633" w14:textId="77777777" w:rsidTr="00CB079D">
        <w:trPr>
          <w:jc w:val="center"/>
        </w:trPr>
        <w:tc>
          <w:tcPr>
            <w:tcW w:w="2269" w:type="dxa"/>
          </w:tcPr>
          <w:p w14:paraId="12F724A5" w14:textId="26F29E5F" w:rsidR="00343031" w:rsidRDefault="00343031" w:rsidP="000604ED">
            <w:pPr>
              <w:pStyle w:val="Tablecontent"/>
              <w:jc w:val="center"/>
            </w:pPr>
            <w:r>
              <w:t>W</w:t>
            </w:r>
          </w:p>
        </w:tc>
        <w:tc>
          <w:tcPr>
            <w:tcW w:w="1276" w:type="dxa"/>
            <w:tcBorders>
              <w:left w:val="nil"/>
            </w:tcBorders>
          </w:tcPr>
          <w:p w14:paraId="2E458A67" w14:textId="721E2ECF" w:rsidR="00343031" w:rsidRPr="00A062CC" w:rsidRDefault="000531AB" w:rsidP="000604ED">
            <w:pPr>
              <w:pStyle w:val="Tablecontent"/>
              <w:jc w:val="center"/>
            </w:pPr>
            <w:r>
              <w:t>1</w:t>
            </w:r>
          </w:p>
        </w:tc>
        <w:tc>
          <w:tcPr>
            <w:tcW w:w="1842" w:type="dxa"/>
            <w:tcBorders>
              <w:left w:val="nil"/>
            </w:tcBorders>
          </w:tcPr>
          <w:p w14:paraId="3CDB4C0D" w14:textId="4880F8CB" w:rsidR="00343031" w:rsidRPr="00A062CC" w:rsidRDefault="000531AB" w:rsidP="000604ED">
            <w:pPr>
              <w:pStyle w:val="Tablecontent"/>
              <w:jc w:val="center"/>
            </w:pPr>
            <w:r>
              <w:t>56</w:t>
            </w:r>
          </w:p>
        </w:tc>
        <w:tc>
          <w:tcPr>
            <w:tcW w:w="2268" w:type="dxa"/>
            <w:tcBorders>
              <w:left w:val="nil"/>
            </w:tcBorders>
          </w:tcPr>
          <w:p w14:paraId="44015A83" w14:textId="5FA9120B" w:rsidR="00343031" w:rsidRPr="00A062CC" w:rsidRDefault="000531AB" w:rsidP="000604ED">
            <w:pPr>
              <w:pStyle w:val="Tablecontent"/>
              <w:jc w:val="center"/>
            </w:pPr>
            <w:r>
              <w:t>-</w:t>
            </w:r>
          </w:p>
        </w:tc>
      </w:tr>
      <w:tr w:rsidR="00343031" w:rsidRPr="00A062CC" w14:paraId="0EE8F1CC" w14:textId="77777777" w:rsidTr="00CB079D">
        <w:trPr>
          <w:jc w:val="center"/>
        </w:trPr>
        <w:tc>
          <w:tcPr>
            <w:tcW w:w="2269" w:type="dxa"/>
          </w:tcPr>
          <w:p w14:paraId="47D89F20" w14:textId="2D73C06D" w:rsidR="00343031" w:rsidRDefault="00343031" w:rsidP="000604ED">
            <w:pPr>
              <w:pStyle w:val="Tablecontent"/>
              <w:jc w:val="center"/>
            </w:pPr>
            <w:r>
              <w:t>Z</w:t>
            </w:r>
          </w:p>
        </w:tc>
        <w:tc>
          <w:tcPr>
            <w:tcW w:w="1276" w:type="dxa"/>
            <w:tcBorders>
              <w:left w:val="nil"/>
            </w:tcBorders>
          </w:tcPr>
          <w:p w14:paraId="5C5D6FCE" w14:textId="72990ACA" w:rsidR="00343031" w:rsidRPr="00A062CC" w:rsidRDefault="000531AB" w:rsidP="000604ED">
            <w:pPr>
              <w:pStyle w:val="Tablecontent"/>
              <w:jc w:val="center"/>
            </w:pPr>
            <w:r>
              <w:t>5</w:t>
            </w:r>
          </w:p>
        </w:tc>
        <w:tc>
          <w:tcPr>
            <w:tcW w:w="1842" w:type="dxa"/>
            <w:tcBorders>
              <w:left w:val="nil"/>
            </w:tcBorders>
          </w:tcPr>
          <w:p w14:paraId="0797223B" w14:textId="3A93C901" w:rsidR="00343031" w:rsidRPr="00A062CC" w:rsidRDefault="000531AB" w:rsidP="000604ED">
            <w:pPr>
              <w:pStyle w:val="Tablecontent"/>
              <w:jc w:val="center"/>
            </w:pPr>
            <w:r>
              <w:t>103</w:t>
            </w:r>
          </w:p>
        </w:tc>
        <w:tc>
          <w:tcPr>
            <w:tcW w:w="2268" w:type="dxa"/>
            <w:tcBorders>
              <w:left w:val="nil"/>
            </w:tcBorders>
          </w:tcPr>
          <w:p w14:paraId="4C08F698" w14:textId="18601660" w:rsidR="00343031" w:rsidRPr="00A062CC" w:rsidRDefault="000531AB" w:rsidP="000604ED">
            <w:pPr>
              <w:pStyle w:val="Tablecontent"/>
              <w:jc w:val="center"/>
            </w:pPr>
            <w:r>
              <w:t>15, 29, 10, 41, 8</w:t>
            </w:r>
          </w:p>
        </w:tc>
      </w:tr>
      <w:tr w:rsidR="00343031" w:rsidRPr="00A062CC" w14:paraId="47D8CAB5" w14:textId="77777777" w:rsidTr="00CB079D">
        <w:trPr>
          <w:jc w:val="center"/>
        </w:trPr>
        <w:tc>
          <w:tcPr>
            <w:tcW w:w="2269" w:type="dxa"/>
          </w:tcPr>
          <w:p w14:paraId="0CB19D69" w14:textId="4CB546B4" w:rsidR="00343031" w:rsidRDefault="00343031" w:rsidP="000604ED">
            <w:pPr>
              <w:pStyle w:val="Tablecontent"/>
              <w:jc w:val="center"/>
            </w:pPr>
            <w:r>
              <w:t>AADN03011155.1</w:t>
            </w:r>
          </w:p>
        </w:tc>
        <w:tc>
          <w:tcPr>
            <w:tcW w:w="1276" w:type="dxa"/>
            <w:tcBorders>
              <w:left w:val="nil"/>
            </w:tcBorders>
          </w:tcPr>
          <w:p w14:paraId="14F088E2" w14:textId="1C89048A" w:rsidR="00343031" w:rsidRPr="00A062CC" w:rsidRDefault="000531AB" w:rsidP="000604ED">
            <w:pPr>
              <w:pStyle w:val="Tablecontent"/>
              <w:jc w:val="center"/>
            </w:pPr>
            <w:r>
              <w:t>1</w:t>
            </w:r>
          </w:p>
        </w:tc>
        <w:tc>
          <w:tcPr>
            <w:tcW w:w="1842" w:type="dxa"/>
            <w:tcBorders>
              <w:left w:val="nil"/>
            </w:tcBorders>
          </w:tcPr>
          <w:p w14:paraId="6AC0015E" w14:textId="3ED51818" w:rsidR="00343031" w:rsidRPr="00A062CC" w:rsidRDefault="000531AB" w:rsidP="000604ED">
            <w:pPr>
              <w:pStyle w:val="Tablecontent"/>
              <w:jc w:val="center"/>
            </w:pPr>
            <w:r>
              <w:t>6</w:t>
            </w:r>
          </w:p>
        </w:tc>
        <w:tc>
          <w:tcPr>
            <w:tcW w:w="2268" w:type="dxa"/>
            <w:tcBorders>
              <w:left w:val="nil"/>
            </w:tcBorders>
          </w:tcPr>
          <w:p w14:paraId="630166FC" w14:textId="10E60F0B" w:rsidR="00343031" w:rsidRPr="00A062CC" w:rsidRDefault="000531AB" w:rsidP="000604ED">
            <w:pPr>
              <w:pStyle w:val="Tablecontent"/>
              <w:jc w:val="center"/>
            </w:pPr>
            <w:r>
              <w:t>-</w:t>
            </w:r>
          </w:p>
        </w:tc>
      </w:tr>
      <w:tr w:rsidR="00343031" w:rsidRPr="00A062CC" w14:paraId="7068878C" w14:textId="77777777" w:rsidTr="00CB079D">
        <w:trPr>
          <w:jc w:val="center"/>
        </w:trPr>
        <w:tc>
          <w:tcPr>
            <w:tcW w:w="2269" w:type="dxa"/>
          </w:tcPr>
          <w:p w14:paraId="403B4323" w14:textId="2EDD439C" w:rsidR="00343031" w:rsidRDefault="00343031" w:rsidP="000604ED">
            <w:pPr>
              <w:pStyle w:val="Tablecontent"/>
              <w:jc w:val="center"/>
            </w:pPr>
            <w:r>
              <w:t>JH375232.1</w:t>
            </w:r>
          </w:p>
        </w:tc>
        <w:tc>
          <w:tcPr>
            <w:tcW w:w="1276" w:type="dxa"/>
            <w:tcBorders>
              <w:left w:val="nil"/>
            </w:tcBorders>
          </w:tcPr>
          <w:p w14:paraId="3C8B6EE1" w14:textId="14D92A7B" w:rsidR="00343031" w:rsidRPr="00A062CC" w:rsidRDefault="000531AB" w:rsidP="000604ED">
            <w:pPr>
              <w:pStyle w:val="Tablecontent"/>
              <w:jc w:val="center"/>
            </w:pPr>
            <w:r>
              <w:t>1</w:t>
            </w:r>
          </w:p>
        </w:tc>
        <w:tc>
          <w:tcPr>
            <w:tcW w:w="1842" w:type="dxa"/>
            <w:tcBorders>
              <w:left w:val="nil"/>
            </w:tcBorders>
          </w:tcPr>
          <w:p w14:paraId="4C298D6C" w14:textId="6D558BCC" w:rsidR="00343031" w:rsidRPr="00A062CC" w:rsidRDefault="000531AB" w:rsidP="000604ED">
            <w:pPr>
              <w:pStyle w:val="Tablecontent"/>
              <w:jc w:val="center"/>
            </w:pPr>
            <w:r>
              <w:t>6</w:t>
            </w:r>
          </w:p>
        </w:tc>
        <w:tc>
          <w:tcPr>
            <w:tcW w:w="2268" w:type="dxa"/>
            <w:tcBorders>
              <w:left w:val="nil"/>
            </w:tcBorders>
          </w:tcPr>
          <w:p w14:paraId="71234059" w14:textId="17EA6B5B" w:rsidR="00343031" w:rsidRPr="00A062CC" w:rsidRDefault="000531AB" w:rsidP="000604ED">
            <w:pPr>
              <w:pStyle w:val="Tablecontent"/>
              <w:jc w:val="center"/>
            </w:pPr>
            <w:r>
              <w:t>-</w:t>
            </w:r>
          </w:p>
        </w:tc>
      </w:tr>
      <w:tr w:rsidR="00343031" w:rsidRPr="00A062CC" w14:paraId="7BDF9BDA" w14:textId="77777777" w:rsidTr="00CB079D">
        <w:trPr>
          <w:jc w:val="center"/>
        </w:trPr>
        <w:tc>
          <w:tcPr>
            <w:tcW w:w="2269" w:type="dxa"/>
          </w:tcPr>
          <w:p w14:paraId="4AFEE6D0" w14:textId="52FE97B5" w:rsidR="00343031" w:rsidRDefault="00343031" w:rsidP="000604ED">
            <w:pPr>
              <w:pStyle w:val="Tablecontent"/>
              <w:jc w:val="center"/>
            </w:pPr>
            <w:r>
              <w:t>JH375233.1</w:t>
            </w:r>
          </w:p>
        </w:tc>
        <w:tc>
          <w:tcPr>
            <w:tcW w:w="1276" w:type="dxa"/>
            <w:tcBorders>
              <w:left w:val="nil"/>
            </w:tcBorders>
          </w:tcPr>
          <w:p w14:paraId="2FE98458" w14:textId="7D94C914" w:rsidR="00343031" w:rsidRPr="00A062CC" w:rsidRDefault="000531AB" w:rsidP="000604ED">
            <w:pPr>
              <w:pStyle w:val="Tablecontent"/>
              <w:jc w:val="center"/>
            </w:pPr>
            <w:r>
              <w:t>1</w:t>
            </w:r>
          </w:p>
        </w:tc>
        <w:tc>
          <w:tcPr>
            <w:tcW w:w="1842" w:type="dxa"/>
            <w:tcBorders>
              <w:left w:val="nil"/>
            </w:tcBorders>
          </w:tcPr>
          <w:p w14:paraId="2C86E216" w14:textId="31025CEF" w:rsidR="00343031" w:rsidRPr="00A062CC" w:rsidRDefault="000531AB" w:rsidP="000604ED">
            <w:pPr>
              <w:pStyle w:val="Tablecontent"/>
              <w:jc w:val="center"/>
            </w:pPr>
            <w:r>
              <w:t>7</w:t>
            </w:r>
          </w:p>
        </w:tc>
        <w:tc>
          <w:tcPr>
            <w:tcW w:w="2268" w:type="dxa"/>
            <w:tcBorders>
              <w:left w:val="nil"/>
            </w:tcBorders>
          </w:tcPr>
          <w:p w14:paraId="4D9C2FB9" w14:textId="32F966A7" w:rsidR="00343031" w:rsidRPr="00A062CC" w:rsidRDefault="000531AB" w:rsidP="000604ED">
            <w:pPr>
              <w:pStyle w:val="Tablecontent"/>
              <w:jc w:val="center"/>
            </w:pPr>
            <w:r>
              <w:t>-</w:t>
            </w:r>
          </w:p>
        </w:tc>
      </w:tr>
      <w:tr w:rsidR="00343031" w:rsidRPr="00A062CC" w14:paraId="097410A4" w14:textId="77777777" w:rsidTr="00CB079D">
        <w:trPr>
          <w:jc w:val="center"/>
        </w:trPr>
        <w:tc>
          <w:tcPr>
            <w:tcW w:w="2269" w:type="dxa"/>
          </w:tcPr>
          <w:p w14:paraId="08808354" w14:textId="1134D368" w:rsidR="00343031" w:rsidRDefault="00343031" w:rsidP="000604ED">
            <w:pPr>
              <w:pStyle w:val="Tablecontent"/>
              <w:jc w:val="center"/>
            </w:pPr>
            <w:r>
              <w:t>JH375236.1</w:t>
            </w:r>
          </w:p>
        </w:tc>
        <w:tc>
          <w:tcPr>
            <w:tcW w:w="1276" w:type="dxa"/>
            <w:tcBorders>
              <w:left w:val="nil"/>
            </w:tcBorders>
          </w:tcPr>
          <w:p w14:paraId="453AE0FE" w14:textId="0B52E825" w:rsidR="00343031" w:rsidRPr="00A062CC" w:rsidRDefault="000531AB" w:rsidP="000604ED">
            <w:pPr>
              <w:pStyle w:val="Tablecontent"/>
              <w:jc w:val="center"/>
            </w:pPr>
            <w:r>
              <w:t>1</w:t>
            </w:r>
          </w:p>
        </w:tc>
        <w:tc>
          <w:tcPr>
            <w:tcW w:w="1842" w:type="dxa"/>
            <w:tcBorders>
              <w:left w:val="nil"/>
            </w:tcBorders>
          </w:tcPr>
          <w:p w14:paraId="7ED641F1" w14:textId="7BBE1DCE" w:rsidR="00343031" w:rsidRPr="00A062CC" w:rsidRDefault="000531AB" w:rsidP="000604ED">
            <w:pPr>
              <w:pStyle w:val="Tablecontent"/>
              <w:jc w:val="center"/>
            </w:pPr>
            <w:r>
              <w:t>11</w:t>
            </w:r>
          </w:p>
        </w:tc>
        <w:tc>
          <w:tcPr>
            <w:tcW w:w="2268" w:type="dxa"/>
            <w:tcBorders>
              <w:left w:val="nil"/>
            </w:tcBorders>
          </w:tcPr>
          <w:p w14:paraId="7CACBA4D" w14:textId="5E28A6B0" w:rsidR="00343031" w:rsidRPr="00A062CC" w:rsidRDefault="000531AB" w:rsidP="000604ED">
            <w:pPr>
              <w:pStyle w:val="Tablecontent"/>
              <w:jc w:val="center"/>
            </w:pPr>
            <w:r>
              <w:t>-</w:t>
            </w:r>
          </w:p>
        </w:tc>
      </w:tr>
      <w:tr w:rsidR="00343031" w:rsidRPr="00A062CC" w14:paraId="384EC256" w14:textId="77777777" w:rsidTr="007620F0">
        <w:trPr>
          <w:jc w:val="center"/>
        </w:trPr>
        <w:tc>
          <w:tcPr>
            <w:tcW w:w="2269" w:type="dxa"/>
          </w:tcPr>
          <w:p w14:paraId="784DDECD" w14:textId="64F31EE4" w:rsidR="00343031" w:rsidRDefault="00343031" w:rsidP="000604ED">
            <w:pPr>
              <w:pStyle w:val="Tablecontent"/>
              <w:jc w:val="center"/>
            </w:pPr>
            <w:r>
              <w:t>JH376410.1</w:t>
            </w:r>
          </w:p>
        </w:tc>
        <w:tc>
          <w:tcPr>
            <w:tcW w:w="1276" w:type="dxa"/>
            <w:tcBorders>
              <w:left w:val="nil"/>
            </w:tcBorders>
          </w:tcPr>
          <w:p w14:paraId="5E694559" w14:textId="74CAD169" w:rsidR="00343031" w:rsidRPr="00A062CC" w:rsidRDefault="000531AB" w:rsidP="000604ED">
            <w:pPr>
              <w:pStyle w:val="Tablecontent"/>
              <w:jc w:val="center"/>
            </w:pPr>
            <w:r>
              <w:t>1</w:t>
            </w:r>
          </w:p>
        </w:tc>
        <w:tc>
          <w:tcPr>
            <w:tcW w:w="1842" w:type="dxa"/>
            <w:tcBorders>
              <w:left w:val="nil"/>
            </w:tcBorders>
          </w:tcPr>
          <w:p w14:paraId="0796504F" w14:textId="306F6AD7" w:rsidR="00343031" w:rsidRPr="00A062CC" w:rsidRDefault="000531AB" w:rsidP="000604ED">
            <w:pPr>
              <w:pStyle w:val="Tablecontent"/>
              <w:jc w:val="center"/>
            </w:pPr>
            <w:r>
              <w:t>7</w:t>
            </w:r>
          </w:p>
        </w:tc>
        <w:tc>
          <w:tcPr>
            <w:tcW w:w="2268" w:type="dxa"/>
            <w:tcBorders>
              <w:left w:val="nil"/>
            </w:tcBorders>
          </w:tcPr>
          <w:p w14:paraId="2C93AC89" w14:textId="6D12D92D" w:rsidR="00343031" w:rsidRPr="00A062CC" w:rsidRDefault="000531AB" w:rsidP="000604ED">
            <w:pPr>
              <w:pStyle w:val="Tablecontent"/>
              <w:jc w:val="center"/>
            </w:pPr>
            <w:r>
              <w:t>-</w:t>
            </w:r>
          </w:p>
        </w:tc>
      </w:tr>
      <w:tr w:rsidR="00343031" w:rsidRPr="00A062CC" w14:paraId="3BB33E8C" w14:textId="77777777" w:rsidTr="007620F0">
        <w:trPr>
          <w:jc w:val="center"/>
        </w:trPr>
        <w:tc>
          <w:tcPr>
            <w:tcW w:w="2269" w:type="dxa"/>
            <w:tcBorders>
              <w:bottom w:val="single" w:sz="4" w:space="0" w:color="auto"/>
            </w:tcBorders>
          </w:tcPr>
          <w:p w14:paraId="7544D5EB" w14:textId="638F4AA5" w:rsidR="00343031" w:rsidRDefault="00343031" w:rsidP="000604ED">
            <w:pPr>
              <w:pStyle w:val="Tablecontent"/>
              <w:jc w:val="center"/>
            </w:pPr>
            <w:r>
              <w:t>LGE64</w:t>
            </w:r>
          </w:p>
        </w:tc>
        <w:tc>
          <w:tcPr>
            <w:tcW w:w="1276" w:type="dxa"/>
            <w:tcBorders>
              <w:left w:val="nil"/>
              <w:bottom w:val="single" w:sz="4" w:space="0" w:color="auto"/>
            </w:tcBorders>
          </w:tcPr>
          <w:p w14:paraId="6CCF80F8" w14:textId="28E858AD" w:rsidR="00343031" w:rsidRPr="00A062CC" w:rsidRDefault="000531AB" w:rsidP="000604ED">
            <w:pPr>
              <w:pStyle w:val="Tablecontent"/>
              <w:jc w:val="center"/>
            </w:pPr>
            <w:r>
              <w:t>1</w:t>
            </w:r>
          </w:p>
        </w:tc>
        <w:tc>
          <w:tcPr>
            <w:tcW w:w="1842" w:type="dxa"/>
            <w:tcBorders>
              <w:left w:val="nil"/>
              <w:bottom w:val="single" w:sz="4" w:space="0" w:color="auto"/>
            </w:tcBorders>
          </w:tcPr>
          <w:p w14:paraId="6F9399CF" w14:textId="6415E8D2" w:rsidR="00343031" w:rsidRPr="00A062CC" w:rsidRDefault="000531AB" w:rsidP="000604ED">
            <w:pPr>
              <w:pStyle w:val="Tablecontent"/>
              <w:jc w:val="center"/>
            </w:pPr>
            <w:r>
              <w:t>5</w:t>
            </w:r>
          </w:p>
        </w:tc>
        <w:tc>
          <w:tcPr>
            <w:tcW w:w="2268" w:type="dxa"/>
            <w:tcBorders>
              <w:left w:val="nil"/>
              <w:bottom w:val="single" w:sz="4" w:space="0" w:color="auto"/>
            </w:tcBorders>
          </w:tcPr>
          <w:p w14:paraId="0C8093D0" w14:textId="513777A0" w:rsidR="00343031" w:rsidRPr="00A062CC" w:rsidRDefault="000531AB" w:rsidP="000604ED">
            <w:pPr>
              <w:pStyle w:val="Tablecontent"/>
              <w:jc w:val="center"/>
            </w:pPr>
            <w:r>
              <w:t>-</w:t>
            </w:r>
          </w:p>
        </w:tc>
      </w:tr>
    </w:tbl>
    <w:p w14:paraId="2C3A09A9" w14:textId="77777777" w:rsidR="00343031" w:rsidRDefault="00343031" w:rsidP="00391005">
      <w:pPr>
        <w:pStyle w:val="ListParagraph"/>
      </w:pPr>
    </w:p>
    <w:p w14:paraId="28757A86" w14:textId="7661D549" w:rsidR="00E2723B" w:rsidRPr="00E2723B" w:rsidRDefault="00F416D7" w:rsidP="00E2723B">
      <w:pPr>
        <w:pStyle w:val="ListParagraph"/>
        <w:rPr>
          <w:sz w:val="2"/>
        </w:rPr>
      </w:pPr>
      <w:r>
        <w:t>Clusters we</w:t>
      </w:r>
      <w:r w:rsidR="00246052">
        <w:t>re commonly associated with regions of e</w:t>
      </w:r>
      <w:r w:rsidR="002B55AA">
        <w:t>levated frag</w:t>
      </w:r>
      <w:r w:rsidR="00246052">
        <w:t>mented LTR retrotransposon density, suggesting the persistence of these</w:t>
      </w:r>
      <w:r w:rsidR="00E742D8">
        <w:t xml:space="preserve"> seemingly</w:t>
      </w:r>
      <w:r w:rsidR="00246052">
        <w:t xml:space="preserve"> favourable areas over time. </w:t>
      </w:r>
      <w:r>
        <w:t>There we</w:t>
      </w:r>
      <w:r w:rsidR="002B55AA">
        <w:t>re also several examples of regions with a high density of fragmented LTR retrotransposons linking two separately identified SIE clusters, most notably the two clusters nea</w:t>
      </w:r>
      <w:r w:rsidR="006C6910">
        <w:t>r the centromere of chromosome 4</w:t>
      </w:r>
      <w:r w:rsidR="002B55AA">
        <w:t xml:space="preserve">. Almost all clusters </w:t>
      </w:r>
      <w:r>
        <w:t>we</w:t>
      </w:r>
      <w:r w:rsidR="002B55AA">
        <w:t>re in regions of low recombination relative to the chromosome a</w:t>
      </w:r>
      <w:r w:rsidR="009E78CF">
        <w:t>verage, which likely facilitated</w:t>
      </w:r>
      <w:r w:rsidR="002B55AA">
        <w:t xml:space="preserve"> the structural longevity of elements in these regions</w:t>
      </w:r>
      <w:r w:rsidR="00793825">
        <w:t xml:space="preserve"> (</w:t>
      </w:r>
      <w:r w:rsidR="00793825" w:rsidRPr="00793825">
        <w:fldChar w:fldCharType="begin" w:fldLock="1"/>
      </w:r>
      <w:r w:rsidR="00793825" w:rsidRPr="00793825">
        <w:instrText xml:space="preserve"> REF _Ref477468433 \h  \* MERGEFORMAT </w:instrText>
      </w:r>
      <w:r w:rsidR="00793825" w:rsidRPr="00793825">
        <w:fldChar w:fldCharType="separate"/>
      </w:r>
      <w:r w:rsidR="002C549C" w:rsidRPr="00274F0A">
        <w:t xml:space="preserve">Table </w:t>
      </w:r>
      <w:r w:rsidR="002C549C">
        <w:rPr>
          <w:noProof/>
        </w:rPr>
        <w:t>3</w:t>
      </w:r>
      <w:r w:rsidR="002C549C" w:rsidRPr="00274F0A">
        <w:rPr>
          <w:noProof/>
        </w:rPr>
        <w:t>.</w:t>
      </w:r>
      <w:r w:rsidR="002C549C">
        <w:rPr>
          <w:noProof/>
        </w:rPr>
        <w:t>11</w:t>
      </w:r>
      <w:r w:rsidR="00793825" w:rsidRPr="00793825">
        <w:fldChar w:fldCharType="end"/>
      </w:r>
      <w:r w:rsidR="00793825">
        <w:t>)</w:t>
      </w:r>
      <w:r w:rsidR="00D214AB">
        <w:t>. However, this c</w:t>
      </w:r>
      <w:r w:rsidR="00952A31">
        <w:t xml:space="preserve">orrelation </w:t>
      </w:r>
      <w:r w:rsidR="00952A31">
        <w:lastRenderedPageBreak/>
        <w:t xml:space="preserve">was </w:t>
      </w:r>
      <w:r w:rsidR="00D214AB">
        <w:t>limited by the lack</w:t>
      </w:r>
      <w:r w:rsidR="00952A31">
        <w:t xml:space="preserve"> of data for chromosome 16</w:t>
      </w:r>
      <w:r w:rsidR="00D214AB">
        <w:t xml:space="preserve">, </w:t>
      </w:r>
      <w:r w:rsidR="00952A31">
        <w:t>the unassembled contigs</w:t>
      </w:r>
      <w:r w:rsidR="00D214AB">
        <w:t xml:space="preserve"> and the non-recombining W</w:t>
      </w:r>
      <w:r w:rsidR="00952A31">
        <w:t>. C</w:t>
      </w:r>
      <w:r w:rsidR="002B55AA">
        <w:t xml:space="preserve">lusters </w:t>
      </w:r>
      <w:r w:rsidR="00BD0486">
        <w:t xml:space="preserve">on </w:t>
      </w:r>
      <w:r w:rsidR="00952A31">
        <w:t xml:space="preserve">chromosomes 1, 2, 4 and 8 </w:t>
      </w:r>
      <w:r w:rsidR="00BD0486">
        <w:t>encompass</w:t>
      </w:r>
      <w:r w:rsidR="00952A31">
        <w:t>ed</w:t>
      </w:r>
      <w:r w:rsidR="00BD0486">
        <w:t xml:space="preserve"> the</w:t>
      </w:r>
      <w:r w:rsidR="00952A31">
        <w:t xml:space="preserve"> poorly recombining centromeric regions</w:t>
      </w:r>
      <w:r w:rsidR="00016D4D">
        <w:t xml:space="preserve"> (asterisked clusters in</w:t>
      </w:r>
      <w:r w:rsidR="00952A31">
        <w:t xml:space="preserve"> </w:t>
      </w:r>
      <w:r w:rsidR="00EE0F44" w:rsidRPr="00EE0F44">
        <w:fldChar w:fldCharType="begin" w:fldLock="1"/>
      </w:r>
      <w:r w:rsidR="00EE0F44" w:rsidRPr="00EE0F44">
        <w:instrText xml:space="preserve"> REF _Ref477468433 \h  \* MERGEFORMAT </w:instrText>
      </w:r>
      <w:r w:rsidR="00EE0F44" w:rsidRPr="00EE0F44">
        <w:fldChar w:fldCharType="separate"/>
      </w:r>
      <w:r w:rsidR="002C549C" w:rsidRPr="00274F0A">
        <w:t xml:space="preserve">Table </w:t>
      </w:r>
      <w:r w:rsidR="002C549C">
        <w:rPr>
          <w:noProof/>
        </w:rPr>
        <w:t>3</w:t>
      </w:r>
      <w:r w:rsidR="002C549C" w:rsidRPr="00274F0A">
        <w:rPr>
          <w:noProof/>
        </w:rPr>
        <w:t>.</w:t>
      </w:r>
      <w:r w:rsidR="002C549C">
        <w:rPr>
          <w:noProof/>
        </w:rPr>
        <w:t>11</w:t>
      </w:r>
      <w:r w:rsidR="00EE0F44" w:rsidRPr="00EE0F44">
        <w:fldChar w:fldCharType="end"/>
      </w:r>
      <w:r w:rsidR="00016D4D">
        <w:t>)</w:t>
      </w:r>
      <w:r w:rsidR="00BD0486">
        <w:t xml:space="preserve">. </w:t>
      </w:r>
      <w:r w:rsidR="00952A31">
        <w:t>Contrastingly, the cluster on chromosome 5 which encompasses the centromere has a 500</w:t>
      </w:r>
      <w:r w:rsidR="00AE46FC">
        <w:t xml:space="preserve"> </w:t>
      </w:r>
      <w:r w:rsidR="00952A31">
        <w:t>kb bin</w:t>
      </w:r>
      <w:r w:rsidR="00E2723B">
        <w:br/>
      </w:r>
    </w:p>
    <w:p w14:paraId="52C91C74" w14:textId="1FC7EF99" w:rsidR="00246052" w:rsidRDefault="00EE0F44" w:rsidP="00016D4D">
      <w:pPr>
        <w:pStyle w:val="Caption"/>
      </w:pPr>
      <w:bookmarkStart w:id="201" w:name="_Ref477468433"/>
      <w:bookmarkStart w:id="202" w:name="_Toc486786311"/>
      <w:r w:rsidRPr="00274F0A">
        <w:t xml:space="preserve">Table </w:t>
      </w:r>
      <w:fldSimple w:instr=" STYLEREF 1 \s " w:fldLock="1">
        <w:r w:rsidR="002C549C">
          <w:rPr>
            <w:noProof/>
          </w:rPr>
          <w:t>3</w:t>
        </w:r>
      </w:fldSimple>
      <w:r w:rsidR="001167C6" w:rsidRPr="00274F0A">
        <w:t>.</w:t>
      </w:r>
      <w:fldSimple w:instr=" SEQ Table \* ARABIC \s 1 " w:fldLock="1">
        <w:r w:rsidR="002C549C">
          <w:rPr>
            <w:noProof/>
          </w:rPr>
          <w:t>11</w:t>
        </w:r>
      </w:fldSimple>
      <w:bookmarkEnd w:id="201"/>
      <w:r>
        <w:t xml:space="preserve"> Observed recombination rates in assembled chromosome clusters</w:t>
      </w:r>
      <w:r w:rsidR="00274F0A">
        <w:t xml:space="preserve">. The </w:t>
      </w:r>
      <w:r w:rsidR="00AE5306">
        <w:t>clusters</w:t>
      </w:r>
      <w:r w:rsidR="00274F0A">
        <w:t xml:space="preserve"> indicated with an asterisk</w:t>
      </w:r>
      <w:r w:rsidR="00AE5306">
        <w:t xml:space="preserve"> overlap the centromeres.</w:t>
      </w:r>
      <w:bookmarkEnd w:id="202"/>
      <w:r w:rsidR="00AE5306">
        <w:t xml:space="preserve"> </w:t>
      </w:r>
    </w:p>
    <w:tbl>
      <w:tblPr>
        <w:tblStyle w:val="TableGrid"/>
        <w:tblW w:w="75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1984"/>
        <w:gridCol w:w="2268"/>
      </w:tblGrid>
      <w:tr w:rsidR="000279CF" w14:paraId="5D7594B6" w14:textId="4DF51C97" w:rsidTr="007620F0">
        <w:trPr>
          <w:trHeight w:val="397"/>
          <w:jc w:val="center"/>
        </w:trPr>
        <w:tc>
          <w:tcPr>
            <w:tcW w:w="3261" w:type="dxa"/>
            <w:tcBorders>
              <w:bottom w:val="single" w:sz="4" w:space="0" w:color="auto"/>
            </w:tcBorders>
            <w:vAlign w:val="center"/>
          </w:tcPr>
          <w:p w14:paraId="11669AFF" w14:textId="77777777" w:rsidR="000279CF" w:rsidRDefault="000279CF" w:rsidP="000279CF">
            <w:pPr>
              <w:pStyle w:val="Tablecontent"/>
            </w:pPr>
          </w:p>
        </w:tc>
        <w:tc>
          <w:tcPr>
            <w:tcW w:w="4252" w:type="dxa"/>
            <w:gridSpan w:val="2"/>
            <w:tcBorders>
              <w:top w:val="single" w:sz="4" w:space="0" w:color="auto"/>
              <w:left w:val="nil"/>
              <w:bottom w:val="single" w:sz="4" w:space="0" w:color="auto"/>
            </w:tcBorders>
            <w:vAlign w:val="center"/>
          </w:tcPr>
          <w:p w14:paraId="4F56B2AF" w14:textId="462BFB70" w:rsidR="000279CF" w:rsidRPr="000279CF" w:rsidRDefault="000279CF" w:rsidP="000604ED">
            <w:pPr>
              <w:pStyle w:val="Tablecontent"/>
              <w:jc w:val="center"/>
            </w:pPr>
            <w:r>
              <w:t>Recombination rate (cM.Mb</w:t>
            </w:r>
            <w:r>
              <w:rPr>
                <w:vertAlign w:val="superscript"/>
              </w:rPr>
              <w:t>-1</w:t>
            </w:r>
            <w:r>
              <w:t>)</w:t>
            </w:r>
          </w:p>
        </w:tc>
      </w:tr>
      <w:tr w:rsidR="000279CF" w14:paraId="7CB95FE1" w14:textId="4C11B7A5" w:rsidTr="006F014D">
        <w:trPr>
          <w:trHeight w:val="397"/>
          <w:jc w:val="center"/>
        </w:trPr>
        <w:tc>
          <w:tcPr>
            <w:tcW w:w="3261" w:type="dxa"/>
            <w:tcBorders>
              <w:top w:val="single" w:sz="4" w:space="0" w:color="auto"/>
              <w:bottom w:val="single" w:sz="4" w:space="0" w:color="auto"/>
            </w:tcBorders>
            <w:vAlign w:val="center"/>
          </w:tcPr>
          <w:p w14:paraId="476A64B2" w14:textId="579A45F8" w:rsidR="000279CF" w:rsidRDefault="000279CF" w:rsidP="000279CF">
            <w:pPr>
              <w:pStyle w:val="Tablecontent"/>
            </w:pPr>
            <w:r>
              <w:t>Cluster location</w:t>
            </w:r>
          </w:p>
        </w:tc>
        <w:tc>
          <w:tcPr>
            <w:tcW w:w="1984" w:type="dxa"/>
            <w:tcBorders>
              <w:top w:val="single" w:sz="4" w:space="0" w:color="auto"/>
              <w:left w:val="nil"/>
              <w:bottom w:val="single" w:sz="4" w:space="0" w:color="auto"/>
            </w:tcBorders>
            <w:vAlign w:val="center"/>
          </w:tcPr>
          <w:p w14:paraId="57A5C945" w14:textId="381FFE62" w:rsidR="000279CF" w:rsidRDefault="000279CF" w:rsidP="000604ED">
            <w:pPr>
              <w:pStyle w:val="Tablecontent"/>
              <w:jc w:val="center"/>
            </w:pPr>
            <w:r>
              <w:t>500kb-bin average</w:t>
            </w:r>
          </w:p>
        </w:tc>
        <w:tc>
          <w:tcPr>
            <w:tcW w:w="2268" w:type="dxa"/>
            <w:tcBorders>
              <w:top w:val="single" w:sz="4" w:space="0" w:color="auto"/>
              <w:left w:val="nil"/>
              <w:bottom w:val="single" w:sz="4" w:space="0" w:color="auto"/>
            </w:tcBorders>
          </w:tcPr>
          <w:p w14:paraId="5EBF0723" w14:textId="1806EF30" w:rsidR="000279CF" w:rsidRDefault="000279CF" w:rsidP="000604ED">
            <w:pPr>
              <w:pStyle w:val="Tablecontent"/>
              <w:jc w:val="center"/>
            </w:pPr>
            <w:r>
              <w:t>Chromosome average</w:t>
            </w:r>
          </w:p>
        </w:tc>
      </w:tr>
      <w:tr w:rsidR="000279CF" w14:paraId="5B6B8120" w14:textId="6181AD85" w:rsidTr="006F014D">
        <w:trPr>
          <w:jc w:val="center"/>
        </w:trPr>
        <w:tc>
          <w:tcPr>
            <w:tcW w:w="3261" w:type="dxa"/>
            <w:tcBorders>
              <w:top w:val="single" w:sz="4" w:space="0" w:color="auto"/>
            </w:tcBorders>
          </w:tcPr>
          <w:p w14:paraId="59C089D3" w14:textId="6D64F7C5" w:rsidR="000279CF" w:rsidRDefault="000279CF" w:rsidP="000279CF">
            <w:pPr>
              <w:pStyle w:val="Tablecontent"/>
            </w:pPr>
            <w:r>
              <w:t>1:</w:t>
            </w:r>
            <w:r w:rsidR="006F014D">
              <w:t xml:space="preserve"> </w:t>
            </w:r>
            <w:r>
              <w:t>72,775,206</w:t>
            </w:r>
            <w:r w:rsidR="006F014D">
              <w:t xml:space="preserve"> </w:t>
            </w:r>
            <w:r>
              <w:t>-</w:t>
            </w:r>
            <w:r w:rsidR="006F014D">
              <w:t xml:space="preserve"> </w:t>
            </w:r>
            <w:r>
              <w:t>76,073,001</w:t>
            </w:r>
            <w:r w:rsidR="006F014D">
              <w:t xml:space="preserve"> *</w:t>
            </w:r>
          </w:p>
        </w:tc>
        <w:tc>
          <w:tcPr>
            <w:tcW w:w="1984" w:type="dxa"/>
            <w:tcBorders>
              <w:top w:val="single" w:sz="4" w:space="0" w:color="auto"/>
              <w:left w:val="nil"/>
            </w:tcBorders>
          </w:tcPr>
          <w:p w14:paraId="4A744A14" w14:textId="7425FD1B" w:rsidR="000279CF" w:rsidRDefault="006F014D" w:rsidP="000604ED">
            <w:pPr>
              <w:pStyle w:val="Tablecontent"/>
              <w:jc w:val="center"/>
            </w:pPr>
            <w:r>
              <w:t>0.16</w:t>
            </w:r>
          </w:p>
        </w:tc>
        <w:tc>
          <w:tcPr>
            <w:tcW w:w="2268" w:type="dxa"/>
            <w:tcBorders>
              <w:top w:val="single" w:sz="4" w:space="0" w:color="auto"/>
              <w:left w:val="nil"/>
            </w:tcBorders>
          </w:tcPr>
          <w:p w14:paraId="46EA9F0F" w14:textId="2A311251" w:rsidR="000279CF" w:rsidRDefault="006F014D" w:rsidP="000604ED">
            <w:pPr>
              <w:pStyle w:val="Tablecontent"/>
              <w:jc w:val="center"/>
            </w:pPr>
            <w:r>
              <w:t>2.10</w:t>
            </w:r>
          </w:p>
        </w:tc>
      </w:tr>
      <w:tr w:rsidR="000279CF" w14:paraId="74CF6E92" w14:textId="31E4D0D3" w:rsidTr="006F014D">
        <w:trPr>
          <w:jc w:val="center"/>
        </w:trPr>
        <w:tc>
          <w:tcPr>
            <w:tcW w:w="3261" w:type="dxa"/>
          </w:tcPr>
          <w:p w14:paraId="46458A8E" w14:textId="6F51E6AF" w:rsidR="000279CF" w:rsidRDefault="000279CF" w:rsidP="000279CF">
            <w:pPr>
              <w:pStyle w:val="Tablecontent"/>
            </w:pPr>
            <w:r>
              <w:t>1:</w:t>
            </w:r>
            <w:r w:rsidR="006F014D">
              <w:t xml:space="preserve"> </w:t>
            </w:r>
            <w:r>
              <w:t>99,226,520</w:t>
            </w:r>
            <w:r w:rsidR="006F014D">
              <w:t xml:space="preserve"> </w:t>
            </w:r>
            <w:r>
              <w:t>-</w:t>
            </w:r>
            <w:r w:rsidR="006F014D">
              <w:t xml:space="preserve"> </w:t>
            </w:r>
            <w:r>
              <w:t>100,570,014</w:t>
            </w:r>
          </w:p>
        </w:tc>
        <w:tc>
          <w:tcPr>
            <w:tcW w:w="1984" w:type="dxa"/>
            <w:tcBorders>
              <w:left w:val="nil"/>
            </w:tcBorders>
          </w:tcPr>
          <w:p w14:paraId="74E152EF" w14:textId="6DB23C24" w:rsidR="000279CF" w:rsidRPr="00A062CC" w:rsidRDefault="006F014D" w:rsidP="000604ED">
            <w:pPr>
              <w:pStyle w:val="Tablecontent"/>
              <w:jc w:val="center"/>
            </w:pPr>
            <w:r>
              <w:t>0.60</w:t>
            </w:r>
          </w:p>
        </w:tc>
        <w:tc>
          <w:tcPr>
            <w:tcW w:w="2268" w:type="dxa"/>
            <w:tcBorders>
              <w:left w:val="nil"/>
            </w:tcBorders>
          </w:tcPr>
          <w:p w14:paraId="322C0858" w14:textId="76FB88B3" w:rsidR="000279CF" w:rsidRDefault="006F014D" w:rsidP="000604ED">
            <w:pPr>
              <w:pStyle w:val="Tablecontent"/>
              <w:jc w:val="center"/>
            </w:pPr>
            <w:r>
              <w:t>2.10</w:t>
            </w:r>
          </w:p>
        </w:tc>
      </w:tr>
      <w:tr w:rsidR="000279CF" w14:paraId="04CD8107" w14:textId="5E48DBB4" w:rsidTr="006F014D">
        <w:trPr>
          <w:jc w:val="center"/>
        </w:trPr>
        <w:tc>
          <w:tcPr>
            <w:tcW w:w="3261" w:type="dxa"/>
          </w:tcPr>
          <w:p w14:paraId="07CB3007" w14:textId="07FD8B52" w:rsidR="000279CF" w:rsidRDefault="006F014D" w:rsidP="000279CF">
            <w:pPr>
              <w:pStyle w:val="Tablecontent"/>
            </w:pPr>
            <w:r>
              <w:t>1: 140,707,522 - 141,575,378</w:t>
            </w:r>
          </w:p>
        </w:tc>
        <w:tc>
          <w:tcPr>
            <w:tcW w:w="1984" w:type="dxa"/>
            <w:tcBorders>
              <w:left w:val="nil"/>
            </w:tcBorders>
          </w:tcPr>
          <w:p w14:paraId="18FE2335" w14:textId="6891F2EE" w:rsidR="000279CF" w:rsidRPr="00A062CC" w:rsidRDefault="006F014D" w:rsidP="000604ED">
            <w:pPr>
              <w:pStyle w:val="Tablecontent"/>
              <w:jc w:val="center"/>
            </w:pPr>
            <w:r>
              <w:t>0.16</w:t>
            </w:r>
          </w:p>
        </w:tc>
        <w:tc>
          <w:tcPr>
            <w:tcW w:w="2268" w:type="dxa"/>
            <w:tcBorders>
              <w:left w:val="nil"/>
            </w:tcBorders>
          </w:tcPr>
          <w:p w14:paraId="2C216A06" w14:textId="59A35B17" w:rsidR="000279CF" w:rsidRPr="00A062CC" w:rsidRDefault="006F014D" w:rsidP="000604ED">
            <w:pPr>
              <w:pStyle w:val="Tablecontent"/>
              <w:jc w:val="center"/>
            </w:pPr>
            <w:r>
              <w:t>2.10</w:t>
            </w:r>
          </w:p>
        </w:tc>
      </w:tr>
      <w:tr w:rsidR="000279CF" w14:paraId="56407BD1" w14:textId="18ED35A9" w:rsidTr="006F014D">
        <w:trPr>
          <w:jc w:val="center"/>
        </w:trPr>
        <w:tc>
          <w:tcPr>
            <w:tcW w:w="3261" w:type="dxa"/>
          </w:tcPr>
          <w:p w14:paraId="6253E301" w14:textId="437756CC" w:rsidR="000279CF" w:rsidRDefault="006F014D" w:rsidP="000279CF">
            <w:pPr>
              <w:pStyle w:val="Tablecontent"/>
            </w:pPr>
            <w:r>
              <w:t>1: 147,783,930 - 151,568,638</w:t>
            </w:r>
          </w:p>
        </w:tc>
        <w:tc>
          <w:tcPr>
            <w:tcW w:w="1984" w:type="dxa"/>
            <w:tcBorders>
              <w:left w:val="nil"/>
            </w:tcBorders>
          </w:tcPr>
          <w:p w14:paraId="47388789" w14:textId="22840E21" w:rsidR="000279CF" w:rsidRPr="00A062CC" w:rsidRDefault="006F014D" w:rsidP="000604ED">
            <w:pPr>
              <w:pStyle w:val="Tablecontent"/>
              <w:jc w:val="center"/>
            </w:pPr>
            <w:r>
              <w:t>0.11</w:t>
            </w:r>
          </w:p>
        </w:tc>
        <w:tc>
          <w:tcPr>
            <w:tcW w:w="2268" w:type="dxa"/>
            <w:tcBorders>
              <w:left w:val="nil"/>
            </w:tcBorders>
          </w:tcPr>
          <w:p w14:paraId="5F3040D3" w14:textId="1F48CA9E" w:rsidR="000279CF" w:rsidRPr="00A062CC" w:rsidRDefault="006F014D" w:rsidP="000604ED">
            <w:pPr>
              <w:pStyle w:val="Tablecontent"/>
              <w:jc w:val="center"/>
            </w:pPr>
            <w:r>
              <w:t>2.10</w:t>
            </w:r>
          </w:p>
        </w:tc>
      </w:tr>
      <w:tr w:rsidR="006F014D" w14:paraId="3BF731D5" w14:textId="5933D3D7" w:rsidTr="006F014D">
        <w:trPr>
          <w:jc w:val="center"/>
        </w:trPr>
        <w:tc>
          <w:tcPr>
            <w:tcW w:w="3261" w:type="dxa"/>
          </w:tcPr>
          <w:p w14:paraId="1EBC0D5C" w14:textId="3C67A99A" w:rsidR="006F014D" w:rsidRDefault="006F014D" w:rsidP="006F014D">
            <w:pPr>
              <w:pStyle w:val="Tablecontent"/>
            </w:pPr>
            <w:r>
              <w:t>1: 152,941,395 - 154,373,881</w:t>
            </w:r>
          </w:p>
        </w:tc>
        <w:tc>
          <w:tcPr>
            <w:tcW w:w="1984" w:type="dxa"/>
            <w:tcBorders>
              <w:left w:val="nil"/>
            </w:tcBorders>
          </w:tcPr>
          <w:p w14:paraId="2F593F0A" w14:textId="6E966D89" w:rsidR="006F014D" w:rsidRPr="00A062CC" w:rsidRDefault="006F014D" w:rsidP="006F014D">
            <w:pPr>
              <w:pStyle w:val="Tablecontent"/>
              <w:jc w:val="center"/>
            </w:pPr>
            <w:r>
              <w:t>0.00</w:t>
            </w:r>
          </w:p>
        </w:tc>
        <w:tc>
          <w:tcPr>
            <w:tcW w:w="2268" w:type="dxa"/>
            <w:tcBorders>
              <w:left w:val="nil"/>
            </w:tcBorders>
          </w:tcPr>
          <w:p w14:paraId="3452BC3E" w14:textId="7834F23B" w:rsidR="006F014D" w:rsidRPr="00A062CC" w:rsidRDefault="006F014D" w:rsidP="006F014D">
            <w:pPr>
              <w:pStyle w:val="Tablecontent"/>
              <w:jc w:val="center"/>
            </w:pPr>
            <w:r>
              <w:t>2.10</w:t>
            </w:r>
          </w:p>
        </w:tc>
      </w:tr>
      <w:tr w:rsidR="006F014D" w14:paraId="1D859D86" w14:textId="650C67E5" w:rsidTr="006F014D">
        <w:trPr>
          <w:jc w:val="center"/>
        </w:trPr>
        <w:tc>
          <w:tcPr>
            <w:tcW w:w="3261" w:type="dxa"/>
          </w:tcPr>
          <w:p w14:paraId="66701466" w14:textId="66B22495" w:rsidR="006F014D" w:rsidRDefault="006F014D" w:rsidP="006F014D">
            <w:pPr>
              <w:pStyle w:val="Tablecontent"/>
            </w:pPr>
            <w:r>
              <w:t>1: 157,335,033 - 157,917,833</w:t>
            </w:r>
          </w:p>
        </w:tc>
        <w:tc>
          <w:tcPr>
            <w:tcW w:w="1984" w:type="dxa"/>
            <w:tcBorders>
              <w:left w:val="nil"/>
            </w:tcBorders>
          </w:tcPr>
          <w:p w14:paraId="74CB8157" w14:textId="61F4FD6F" w:rsidR="006F014D" w:rsidRPr="00A062CC" w:rsidRDefault="006F014D" w:rsidP="006F014D">
            <w:pPr>
              <w:pStyle w:val="Tablecontent"/>
              <w:jc w:val="center"/>
            </w:pPr>
            <w:r>
              <w:t>0.00</w:t>
            </w:r>
          </w:p>
        </w:tc>
        <w:tc>
          <w:tcPr>
            <w:tcW w:w="2268" w:type="dxa"/>
            <w:tcBorders>
              <w:left w:val="nil"/>
            </w:tcBorders>
          </w:tcPr>
          <w:p w14:paraId="27FAA013" w14:textId="6CF7F01A" w:rsidR="006F014D" w:rsidRPr="00A062CC" w:rsidRDefault="006F014D" w:rsidP="006F014D">
            <w:pPr>
              <w:pStyle w:val="Tablecontent"/>
              <w:jc w:val="center"/>
            </w:pPr>
            <w:r>
              <w:t>2.10</w:t>
            </w:r>
          </w:p>
        </w:tc>
      </w:tr>
      <w:tr w:rsidR="006F014D" w14:paraId="146650E9" w14:textId="54DBB13F" w:rsidTr="006F014D">
        <w:trPr>
          <w:jc w:val="center"/>
        </w:trPr>
        <w:tc>
          <w:tcPr>
            <w:tcW w:w="3261" w:type="dxa"/>
          </w:tcPr>
          <w:p w14:paraId="4B736F03" w14:textId="1DAE330B" w:rsidR="006F014D" w:rsidRDefault="006F014D" w:rsidP="006F014D">
            <w:pPr>
              <w:pStyle w:val="Tablecontent"/>
            </w:pPr>
            <w:r>
              <w:t>1: 158,996,141 - 161,747,651</w:t>
            </w:r>
          </w:p>
        </w:tc>
        <w:tc>
          <w:tcPr>
            <w:tcW w:w="1984" w:type="dxa"/>
            <w:tcBorders>
              <w:left w:val="nil"/>
            </w:tcBorders>
          </w:tcPr>
          <w:p w14:paraId="26769C1C" w14:textId="4EB11389" w:rsidR="006F014D" w:rsidRPr="00A062CC" w:rsidRDefault="006F014D" w:rsidP="006F014D">
            <w:pPr>
              <w:pStyle w:val="Tablecontent"/>
              <w:jc w:val="center"/>
            </w:pPr>
            <w:r>
              <w:t>0.12</w:t>
            </w:r>
          </w:p>
        </w:tc>
        <w:tc>
          <w:tcPr>
            <w:tcW w:w="2268" w:type="dxa"/>
            <w:tcBorders>
              <w:left w:val="nil"/>
            </w:tcBorders>
          </w:tcPr>
          <w:p w14:paraId="0B2BAE82" w14:textId="3743713A" w:rsidR="006F014D" w:rsidRPr="00A062CC" w:rsidRDefault="006F014D" w:rsidP="006F014D">
            <w:pPr>
              <w:pStyle w:val="Tablecontent"/>
              <w:jc w:val="center"/>
            </w:pPr>
            <w:r>
              <w:t>2.10</w:t>
            </w:r>
          </w:p>
        </w:tc>
      </w:tr>
      <w:tr w:rsidR="006F014D" w14:paraId="68282544" w14:textId="25D264EE" w:rsidTr="006F014D">
        <w:trPr>
          <w:jc w:val="center"/>
        </w:trPr>
        <w:tc>
          <w:tcPr>
            <w:tcW w:w="3261" w:type="dxa"/>
          </w:tcPr>
          <w:p w14:paraId="5C8D4F0E" w14:textId="3A09AF22" w:rsidR="006F014D" w:rsidRDefault="006F014D" w:rsidP="006F014D">
            <w:pPr>
              <w:pStyle w:val="Tablecontent"/>
            </w:pPr>
            <w:r>
              <w:t xml:space="preserve">2: </w:t>
            </w:r>
            <w:r w:rsidR="00E1481D">
              <w:t>52,169,051 -</w:t>
            </w:r>
            <w:r>
              <w:t xml:space="preserve"> </w:t>
            </w:r>
            <w:r w:rsidR="00E1481D">
              <w:t xml:space="preserve">56,240,034 </w:t>
            </w:r>
            <w:r>
              <w:t>*</w:t>
            </w:r>
          </w:p>
        </w:tc>
        <w:tc>
          <w:tcPr>
            <w:tcW w:w="1984" w:type="dxa"/>
            <w:tcBorders>
              <w:left w:val="nil"/>
            </w:tcBorders>
          </w:tcPr>
          <w:p w14:paraId="341EA181" w14:textId="26E6FD05" w:rsidR="006F014D" w:rsidRPr="00A062CC" w:rsidRDefault="006F014D" w:rsidP="006F014D">
            <w:pPr>
              <w:pStyle w:val="Tablecontent"/>
              <w:jc w:val="center"/>
            </w:pPr>
            <w:r>
              <w:t>0.26</w:t>
            </w:r>
          </w:p>
        </w:tc>
        <w:tc>
          <w:tcPr>
            <w:tcW w:w="2268" w:type="dxa"/>
            <w:tcBorders>
              <w:left w:val="nil"/>
            </w:tcBorders>
          </w:tcPr>
          <w:p w14:paraId="1376BEAD" w14:textId="5A158A61" w:rsidR="006F014D" w:rsidRPr="00A062CC" w:rsidRDefault="006F014D" w:rsidP="006F014D">
            <w:pPr>
              <w:pStyle w:val="Tablecontent"/>
              <w:jc w:val="center"/>
            </w:pPr>
            <w:r>
              <w:t>1.80</w:t>
            </w:r>
          </w:p>
        </w:tc>
      </w:tr>
      <w:tr w:rsidR="006F014D" w14:paraId="2AB68E7F" w14:textId="77777777" w:rsidTr="006F014D">
        <w:trPr>
          <w:jc w:val="center"/>
        </w:trPr>
        <w:tc>
          <w:tcPr>
            <w:tcW w:w="3261" w:type="dxa"/>
          </w:tcPr>
          <w:p w14:paraId="6293A1B8" w14:textId="3978AEA2" w:rsidR="006F014D" w:rsidRDefault="006F014D" w:rsidP="006F014D">
            <w:pPr>
              <w:pStyle w:val="Tablecontent"/>
            </w:pPr>
            <w:r>
              <w:t>2</w:t>
            </w:r>
            <w:r w:rsidR="00E1481D">
              <w:t>: 132,517,171 - 133,448,919</w:t>
            </w:r>
          </w:p>
        </w:tc>
        <w:tc>
          <w:tcPr>
            <w:tcW w:w="1984" w:type="dxa"/>
            <w:tcBorders>
              <w:left w:val="nil"/>
            </w:tcBorders>
          </w:tcPr>
          <w:p w14:paraId="54AFEB1C" w14:textId="554E408F" w:rsidR="006F014D" w:rsidRPr="00A062CC" w:rsidRDefault="006F014D" w:rsidP="006F014D">
            <w:pPr>
              <w:pStyle w:val="Tablecontent"/>
              <w:jc w:val="center"/>
            </w:pPr>
            <w:r>
              <w:t>0.10</w:t>
            </w:r>
          </w:p>
        </w:tc>
        <w:tc>
          <w:tcPr>
            <w:tcW w:w="2268" w:type="dxa"/>
            <w:tcBorders>
              <w:left w:val="nil"/>
            </w:tcBorders>
          </w:tcPr>
          <w:p w14:paraId="7BDB64CA" w14:textId="7FEE977A" w:rsidR="006F014D" w:rsidRPr="00A062CC" w:rsidRDefault="006F014D" w:rsidP="006F014D">
            <w:pPr>
              <w:pStyle w:val="Tablecontent"/>
              <w:jc w:val="center"/>
            </w:pPr>
            <w:r>
              <w:t>1.80</w:t>
            </w:r>
          </w:p>
        </w:tc>
      </w:tr>
      <w:tr w:rsidR="006F014D" w14:paraId="059856EA" w14:textId="77777777" w:rsidTr="006F014D">
        <w:trPr>
          <w:jc w:val="center"/>
        </w:trPr>
        <w:tc>
          <w:tcPr>
            <w:tcW w:w="3261" w:type="dxa"/>
          </w:tcPr>
          <w:p w14:paraId="52F1F79B" w14:textId="02D216CF" w:rsidR="006F014D" w:rsidRDefault="006F014D" w:rsidP="006F014D">
            <w:pPr>
              <w:pStyle w:val="Tablecontent"/>
            </w:pPr>
            <w:r>
              <w:t xml:space="preserve">4: </w:t>
            </w:r>
            <w:r w:rsidR="00E1481D">
              <w:t>18,033,066 -</w:t>
            </w:r>
            <w:r>
              <w:t xml:space="preserve"> </w:t>
            </w:r>
            <w:r w:rsidR="00E1481D">
              <w:t xml:space="preserve">19,885,008 </w:t>
            </w:r>
            <w:r>
              <w:t>*</w:t>
            </w:r>
          </w:p>
        </w:tc>
        <w:tc>
          <w:tcPr>
            <w:tcW w:w="1984" w:type="dxa"/>
            <w:tcBorders>
              <w:left w:val="nil"/>
            </w:tcBorders>
          </w:tcPr>
          <w:p w14:paraId="27B4E5A1" w14:textId="4A6EA7E3" w:rsidR="006F014D" w:rsidRPr="00A062CC" w:rsidRDefault="006F014D" w:rsidP="006F014D">
            <w:pPr>
              <w:pStyle w:val="Tablecontent"/>
              <w:jc w:val="center"/>
            </w:pPr>
            <w:r>
              <w:t>0.00</w:t>
            </w:r>
          </w:p>
        </w:tc>
        <w:tc>
          <w:tcPr>
            <w:tcW w:w="2268" w:type="dxa"/>
            <w:tcBorders>
              <w:left w:val="nil"/>
            </w:tcBorders>
          </w:tcPr>
          <w:p w14:paraId="61DA0FAD" w14:textId="686E7255" w:rsidR="006F014D" w:rsidRPr="00A062CC" w:rsidRDefault="006F014D" w:rsidP="006F014D">
            <w:pPr>
              <w:pStyle w:val="Tablecontent"/>
              <w:jc w:val="center"/>
            </w:pPr>
            <w:r>
              <w:t>2.10</w:t>
            </w:r>
          </w:p>
        </w:tc>
      </w:tr>
      <w:tr w:rsidR="006F014D" w14:paraId="7E4B15CD" w14:textId="77777777" w:rsidTr="006F014D">
        <w:trPr>
          <w:jc w:val="center"/>
        </w:trPr>
        <w:tc>
          <w:tcPr>
            <w:tcW w:w="3261" w:type="dxa"/>
          </w:tcPr>
          <w:p w14:paraId="7B6CD566" w14:textId="52C0C9E5" w:rsidR="006F014D" w:rsidRDefault="006F014D" w:rsidP="006F014D">
            <w:pPr>
              <w:pStyle w:val="Tablecontent"/>
            </w:pPr>
            <w:r>
              <w:t xml:space="preserve">4: </w:t>
            </w:r>
            <w:r w:rsidR="00E1481D">
              <w:t>21,732,969 -</w:t>
            </w:r>
            <w:r>
              <w:t xml:space="preserve"> </w:t>
            </w:r>
            <w:r w:rsidR="006C6910">
              <w:t>22,756,182</w:t>
            </w:r>
          </w:p>
        </w:tc>
        <w:tc>
          <w:tcPr>
            <w:tcW w:w="1984" w:type="dxa"/>
            <w:tcBorders>
              <w:left w:val="nil"/>
            </w:tcBorders>
          </w:tcPr>
          <w:p w14:paraId="1943937B" w14:textId="23267B4D" w:rsidR="006F014D" w:rsidRPr="00A062CC" w:rsidRDefault="006F014D" w:rsidP="006F014D">
            <w:pPr>
              <w:pStyle w:val="Tablecontent"/>
              <w:jc w:val="center"/>
            </w:pPr>
            <w:r>
              <w:t>0.00</w:t>
            </w:r>
          </w:p>
        </w:tc>
        <w:tc>
          <w:tcPr>
            <w:tcW w:w="2268" w:type="dxa"/>
            <w:tcBorders>
              <w:left w:val="nil"/>
            </w:tcBorders>
          </w:tcPr>
          <w:p w14:paraId="507D9F0A" w14:textId="3C3D6486" w:rsidR="006F014D" w:rsidRPr="00A062CC" w:rsidRDefault="006F014D" w:rsidP="006F014D">
            <w:pPr>
              <w:pStyle w:val="Tablecontent"/>
              <w:jc w:val="center"/>
            </w:pPr>
            <w:r>
              <w:t>2.10</w:t>
            </w:r>
          </w:p>
        </w:tc>
      </w:tr>
      <w:tr w:rsidR="006F014D" w14:paraId="79B63A76" w14:textId="77777777" w:rsidTr="006F014D">
        <w:trPr>
          <w:jc w:val="center"/>
        </w:trPr>
        <w:tc>
          <w:tcPr>
            <w:tcW w:w="3261" w:type="dxa"/>
          </w:tcPr>
          <w:p w14:paraId="79FE0B08" w14:textId="65CC5B7F" w:rsidR="006F014D" w:rsidRDefault="006F014D" w:rsidP="006F014D">
            <w:pPr>
              <w:pStyle w:val="Tablecontent"/>
            </w:pPr>
            <w:r>
              <w:t>5</w:t>
            </w:r>
            <w:r w:rsidR="00E1481D">
              <w:t>: 2,544,652 - 4,179,090</w:t>
            </w:r>
          </w:p>
        </w:tc>
        <w:tc>
          <w:tcPr>
            <w:tcW w:w="1984" w:type="dxa"/>
            <w:tcBorders>
              <w:left w:val="nil"/>
            </w:tcBorders>
          </w:tcPr>
          <w:p w14:paraId="21FA3A6E" w14:textId="4C021A95" w:rsidR="006F014D" w:rsidRPr="00A062CC" w:rsidRDefault="006F014D" w:rsidP="006F014D">
            <w:pPr>
              <w:pStyle w:val="Tablecontent"/>
              <w:jc w:val="center"/>
            </w:pPr>
            <w:r>
              <w:t>0.00</w:t>
            </w:r>
          </w:p>
        </w:tc>
        <w:tc>
          <w:tcPr>
            <w:tcW w:w="2268" w:type="dxa"/>
            <w:tcBorders>
              <w:left w:val="nil"/>
            </w:tcBorders>
          </w:tcPr>
          <w:p w14:paraId="17A03FA4" w14:textId="1CE883AC" w:rsidR="006F014D" w:rsidRPr="00A062CC" w:rsidRDefault="006F014D" w:rsidP="006F014D">
            <w:pPr>
              <w:pStyle w:val="Tablecontent"/>
              <w:jc w:val="center"/>
            </w:pPr>
            <w:r>
              <w:t>2.50</w:t>
            </w:r>
          </w:p>
        </w:tc>
      </w:tr>
      <w:tr w:rsidR="006F014D" w14:paraId="53274FAC" w14:textId="77777777" w:rsidTr="006F014D">
        <w:trPr>
          <w:jc w:val="center"/>
        </w:trPr>
        <w:tc>
          <w:tcPr>
            <w:tcW w:w="3261" w:type="dxa"/>
          </w:tcPr>
          <w:p w14:paraId="30FE39AD" w14:textId="7CF424AE" w:rsidR="006F014D" w:rsidRDefault="006F014D" w:rsidP="006F014D">
            <w:pPr>
              <w:pStyle w:val="Tablecontent"/>
            </w:pPr>
            <w:r>
              <w:t xml:space="preserve">5: </w:t>
            </w:r>
            <w:r w:rsidR="00E1481D">
              <w:t>5,395,023 -</w:t>
            </w:r>
            <w:r>
              <w:t xml:space="preserve"> </w:t>
            </w:r>
            <w:r w:rsidR="00E1481D">
              <w:t xml:space="preserve">5,835,541 </w:t>
            </w:r>
            <w:r>
              <w:t>*</w:t>
            </w:r>
          </w:p>
        </w:tc>
        <w:tc>
          <w:tcPr>
            <w:tcW w:w="1984" w:type="dxa"/>
            <w:tcBorders>
              <w:left w:val="nil"/>
            </w:tcBorders>
          </w:tcPr>
          <w:p w14:paraId="23F761EA" w14:textId="03B5EF8D" w:rsidR="006F014D" w:rsidRPr="00A062CC" w:rsidRDefault="006F014D" w:rsidP="006F014D">
            <w:pPr>
              <w:pStyle w:val="Tablecontent"/>
              <w:jc w:val="center"/>
            </w:pPr>
            <w:r>
              <w:t>3.77</w:t>
            </w:r>
          </w:p>
        </w:tc>
        <w:tc>
          <w:tcPr>
            <w:tcW w:w="2268" w:type="dxa"/>
            <w:tcBorders>
              <w:left w:val="nil"/>
            </w:tcBorders>
          </w:tcPr>
          <w:p w14:paraId="64740D18" w14:textId="31C6CA58" w:rsidR="006F014D" w:rsidRPr="00A062CC" w:rsidRDefault="006F014D" w:rsidP="006F014D">
            <w:pPr>
              <w:pStyle w:val="Tablecontent"/>
              <w:jc w:val="center"/>
            </w:pPr>
            <w:r>
              <w:t>2.50</w:t>
            </w:r>
          </w:p>
        </w:tc>
      </w:tr>
      <w:tr w:rsidR="006F014D" w14:paraId="30C68CBA" w14:textId="77777777" w:rsidTr="006F014D">
        <w:trPr>
          <w:jc w:val="center"/>
        </w:trPr>
        <w:tc>
          <w:tcPr>
            <w:tcW w:w="3261" w:type="dxa"/>
          </w:tcPr>
          <w:p w14:paraId="6368D8E1" w14:textId="24E94534" w:rsidR="006F014D" w:rsidRDefault="006F014D" w:rsidP="006F014D">
            <w:pPr>
              <w:pStyle w:val="Tablecontent"/>
            </w:pPr>
            <w:r>
              <w:t xml:space="preserve">8: </w:t>
            </w:r>
            <w:r w:rsidR="00E1481D">
              <w:t>9,568,649 -</w:t>
            </w:r>
            <w:r>
              <w:t xml:space="preserve"> </w:t>
            </w:r>
            <w:r w:rsidR="00E1481D">
              <w:t xml:space="preserve">10,505,342 </w:t>
            </w:r>
            <w:r>
              <w:t>*</w:t>
            </w:r>
          </w:p>
        </w:tc>
        <w:tc>
          <w:tcPr>
            <w:tcW w:w="1984" w:type="dxa"/>
            <w:tcBorders>
              <w:left w:val="nil"/>
            </w:tcBorders>
          </w:tcPr>
          <w:p w14:paraId="485516D7" w14:textId="4B45463A" w:rsidR="006F014D" w:rsidRPr="00A062CC" w:rsidRDefault="006F014D" w:rsidP="006F014D">
            <w:pPr>
              <w:pStyle w:val="Tablecontent"/>
              <w:jc w:val="center"/>
            </w:pPr>
            <w:r>
              <w:t>0.00</w:t>
            </w:r>
          </w:p>
        </w:tc>
        <w:tc>
          <w:tcPr>
            <w:tcW w:w="2268" w:type="dxa"/>
            <w:tcBorders>
              <w:left w:val="nil"/>
            </w:tcBorders>
          </w:tcPr>
          <w:p w14:paraId="035A0D8D" w14:textId="48A8F377" w:rsidR="006F014D" w:rsidRPr="00A062CC" w:rsidRDefault="006F014D" w:rsidP="006F014D">
            <w:pPr>
              <w:pStyle w:val="Tablecontent"/>
              <w:jc w:val="center"/>
            </w:pPr>
            <w:r>
              <w:t>3.20</w:t>
            </w:r>
          </w:p>
        </w:tc>
      </w:tr>
      <w:tr w:rsidR="006F014D" w14:paraId="00EBEDD1" w14:textId="77777777" w:rsidTr="006F014D">
        <w:trPr>
          <w:jc w:val="center"/>
        </w:trPr>
        <w:tc>
          <w:tcPr>
            <w:tcW w:w="3261" w:type="dxa"/>
          </w:tcPr>
          <w:p w14:paraId="4635E2CB" w14:textId="75D1B01A" w:rsidR="006F014D" w:rsidRDefault="006F014D" w:rsidP="006F014D">
            <w:pPr>
              <w:pStyle w:val="Tablecontent"/>
            </w:pPr>
            <w:r>
              <w:t>27</w:t>
            </w:r>
            <w:r w:rsidR="00E1481D">
              <w:t>: 42,531 - 857,048</w:t>
            </w:r>
          </w:p>
        </w:tc>
        <w:tc>
          <w:tcPr>
            <w:tcW w:w="1984" w:type="dxa"/>
            <w:tcBorders>
              <w:left w:val="nil"/>
            </w:tcBorders>
          </w:tcPr>
          <w:p w14:paraId="1C4A4F07" w14:textId="762F2C98" w:rsidR="006F014D" w:rsidRPr="00A062CC" w:rsidRDefault="006F014D" w:rsidP="006F014D">
            <w:pPr>
              <w:pStyle w:val="Tablecontent"/>
              <w:jc w:val="center"/>
            </w:pPr>
            <w:r>
              <w:t>0.70</w:t>
            </w:r>
          </w:p>
        </w:tc>
        <w:tc>
          <w:tcPr>
            <w:tcW w:w="2268" w:type="dxa"/>
            <w:tcBorders>
              <w:left w:val="nil"/>
            </w:tcBorders>
          </w:tcPr>
          <w:p w14:paraId="69C68BBE" w14:textId="3D368F2B" w:rsidR="006F014D" w:rsidRPr="00A062CC" w:rsidRDefault="006F014D" w:rsidP="006F014D">
            <w:pPr>
              <w:pStyle w:val="Tablecontent"/>
              <w:jc w:val="center"/>
            </w:pPr>
            <w:r>
              <w:t>10.80</w:t>
            </w:r>
          </w:p>
        </w:tc>
      </w:tr>
      <w:tr w:rsidR="006F014D" w14:paraId="1CAB99A2" w14:textId="77777777" w:rsidTr="006F014D">
        <w:trPr>
          <w:jc w:val="center"/>
        </w:trPr>
        <w:tc>
          <w:tcPr>
            <w:tcW w:w="3261" w:type="dxa"/>
          </w:tcPr>
          <w:p w14:paraId="79241744" w14:textId="037FC530" w:rsidR="006F014D" w:rsidRDefault="006F014D" w:rsidP="006F014D">
            <w:pPr>
              <w:pStyle w:val="Tablecontent"/>
            </w:pPr>
            <w:r>
              <w:t>Z</w:t>
            </w:r>
            <w:r w:rsidR="00E1481D">
              <w:t>: 26,957,545 - 27,971,718</w:t>
            </w:r>
          </w:p>
        </w:tc>
        <w:tc>
          <w:tcPr>
            <w:tcW w:w="1984" w:type="dxa"/>
            <w:tcBorders>
              <w:left w:val="nil"/>
            </w:tcBorders>
          </w:tcPr>
          <w:p w14:paraId="789D86A8" w14:textId="17C8EDE8" w:rsidR="006F014D" w:rsidRPr="00A062CC" w:rsidRDefault="006F014D" w:rsidP="006F014D">
            <w:pPr>
              <w:pStyle w:val="Tablecontent"/>
              <w:jc w:val="center"/>
            </w:pPr>
            <w:r>
              <w:t>1.70</w:t>
            </w:r>
          </w:p>
        </w:tc>
        <w:tc>
          <w:tcPr>
            <w:tcW w:w="2268" w:type="dxa"/>
            <w:tcBorders>
              <w:left w:val="nil"/>
            </w:tcBorders>
          </w:tcPr>
          <w:p w14:paraId="4E43DE15" w14:textId="7BFE030F" w:rsidR="006F014D" w:rsidRPr="00A062CC" w:rsidRDefault="006F014D" w:rsidP="006F014D">
            <w:pPr>
              <w:pStyle w:val="Tablecontent"/>
              <w:jc w:val="center"/>
            </w:pPr>
            <w:r>
              <w:t>3.00</w:t>
            </w:r>
          </w:p>
        </w:tc>
      </w:tr>
      <w:tr w:rsidR="006F014D" w14:paraId="2DA97187" w14:textId="77777777" w:rsidTr="006F014D">
        <w:trPr>
          <w:jc w:val="center"/>
        </w:trPr>
        <w:tc>
          <w:tcPr>
            <w:tcW w:w="3261" w:type="dxa"/>
          </w:tcPr>
          <w:p w14:paraId="2C4131FC" w14:textId="15CE979E" w:rsidR="006F014D" w:rsidRDefault="006F014D" w:rsidP="006F014D">
            <w:pPr>
              <w:pStyle w:val="Tablecontent"/>
            </w:pPr>
            <w:r>
              <w:t>Z</w:t>
            </w:r>
            <w:r w:rsidR="00E1481D">
              <w:t>: 41,956,846 - 44,554,708</w:t>
            </w:r>
          </w:p>
        </w:tc>
        <w:tc>
          <w:tcPr>
            <w:tcW w:w="1984" w:type="dxa"/>
            <w:tcBorders>
              <w:left w:val="nil"/>
            </w:tcBorders>
          </w:tcPr>
          <w:p w14:paraId="5C274AEA" w14:textId="134C0985" w:rsidR="006F014D" w:rsidRPr="00A062CC" w:rsidRDefault="006F014D" w:rsidP="006F014D">
            <w:pPr>
              <w:pStyle w:val="Tablecontent"/>
              <w:jc w:val="center"/>
            </w:pPr>
            <w:r>
              <w:t>0.13</w:t>
            </w:r>
          </w:p>
        </w:tc>
        <w:tc>
          <w:tcPr>
            <w:tcW w:w="2268" w:type="dxa"/>
            <w:tcBorders>
              <w:left w:val="nil"/>
            </w:tcBorders>
          </w:tcPr>
          <w:p w14:paraId="6A71DFF4" w14:textId="4F6F5176" w:rsidR="006F014D" w:rsidRPr="00A062CC" w:rsidRDefault="006F014D" w:rsidP="006F014D">
            <w:pPr>
              <w:pStyle w:val="Tablecontent"/>
              <w:jc w:val="center"/>
            </w:pPr>
            <w:r>
              <w:t>3.00</w:t>
            </w:r>
          </w:p>
        </w:tc>
      </w:tr>
      <w:tr w:rsidR="006F014D" w14:paraId="7636F619" w14:textId="77777777" w:rsidTr="006F014D">
        <w:trPr>
          <w:jc w:val="center"/>
        </w:trPr>
        <w:tc>
          <w:tcPr>
            <w:tcW w:w="3261" w:type="dxa"/>
          </w:tcPr>
          <w:p w14:paraId="1E79C6D0" w14:textId="2FEBB129" w:rsidR="006F014D" w:rsidRDefault="006F014D" w:rsidP="006F014D">
            <w:pPr>
              <w:pStyle w:val="Tablecontent"/>
            </w:pPr>
            <w:r>
              <w:t>Z</w:t>
            </w:r>
            <w:r w:rsidR="00E1481D">
              <w:t>: 48,504,870 - 49,571,015</w:t>
            </w:r>
          </w:p>
        </w:tc>
        <w:tc>
          <w:tcPr>
            <w:tcW w:w="1984" w:type="dxa"/>
            <w:tcBorders>
              <w:left w:val="nil"/>
            </w:tcBorders>
          </w:tcPr>
          <w:p w14:paraId="40CCEAEF" w14:textId="5D4CE4CC" w:rsidR="006F014D" w:rsidRPr="00A062CC" w:rsidRDefault="006F014D" w:rsidP="006F014D">
            <w:pPr>
              <w:pStyle w:val="Tablecontent"/>
              <w:jc w:val="center"/>
            </w:pPr>
            <w:r>
              <w:t>0.40</w:t>
            </w:r>
          </w:p>
        </w:tc>
        <w:tc>
          <w:tcPr>
            <w:tcW w:w="2268" w:type="dxa"/>
            <w:tcBorders>
              <w:left w:val="nil"/>
            </w:tcBorders>
          </w:tcPr>
          <w:p w14:paraId="105DB6B5" w14:textId="2089C83A" w:rsidR="006F014D" w:rsidRPr="00A062CC" w:rsidRDefault="006F014D" w:rsidP="006F014D">
            <w:pPr>
              <w:pStyle w:val="Tablecontent"/>
              <w:jc w:val="center"/>
            </w:pPr>
            <w:r>
              <w:t>3.00</w:t>
            </w:r>
          </w:p>
        </w:tc>
      </w:tr>
      <w:tr w:rsidR="006F014D" w14:paraId="4F6E429C" w14:textId="77777777" w:rsidTr="007620F0">
        <w:trPr>
          <w:jc w:val="center"/>
        </w:trPr>
        <w:tc>
          <w:tcPr>
            <w:tcW w:w="3261" w:type="dxa"/>
          </w:tcPr>
          <w:p w14:paraId="7034DD58" w14:textId="64BD661F" w:rsidR="006F014D" w:rsidRDefault="006F014D" w:rsidP="006F014D">
            <w:pPr>
              <w:pStyle w:val="Tablecontent"/>
            </w:pPr>
            <w:r>
              <w:t>Z</w:t>
            </w:r>
            <w:r w:rsidR="00E1481D">
              <w:t>: 72,996,715 - 78,405,920</w:t>
            </w:r>
          </w:p>
        </w:tc>
        <w:tc>
          <w:tcPr>
            <w:tcW w:w="1984" w:type="dxa"/>
            <w:tcBorders>
              <w:left w:val="nil"/>
            </w:tcBorders>
          </w:tcPr>
          <w:p w14:paraId="371C605F" w14:textId="7B9E5A1F" w:rsidR="006F014D" w:rsidRPr="00A062CC" w:rsidRDefault="006F014D" w:rsidP="006F014D">
            <w:pPr>
              <w:pStyle w:val="Tablecontent"/>
              <w:jc w:val="center"/>
            </w:pPr>
            <w:r>
              <w:t>0.60</w:t>
            </w:r>
          </w:p>
        </w:tc>
        <w:tc>
          <w:tcPr>
            <w:tcW w:w="2268" w:type="dxa"/>
            <w:tcBorders>
              <w:left w:val="nil"/>
            </w:tcBorders>
          </w:tcPr>
          <w:p w14:paraId="56A9E976" w14:textId="01687B74" w:rsidR="006F014D" w:rsidRPr="00A062CC" w:rsidRDefault="006F014D" w:rsidP="006F014D">
            <w:pPr>
              <w:pStyle w:val="Tablecontent"/>
              <w:jc w:val="center"/>
            </w:pPr>
            <w:r>
              <w:t>3.00</w:t>
            </w:r>
          </w:p>
        </w:tc>
      </w:tr>
      <w:tr w:rsidR="006F014D" w14:paraId="49595372" w14:textId="77777777" w:rsidTr="007620F0">
        <w:trPr>
          <w:jc w:val="center"/>
        </w:trPr>
        <w:tc>
          <w:tcPr>
            <w:tcW w:w="3261" w:type="dxa"/>
            <w:tcBorders>
              <w:bottom w:val="single" w:sz="4" w:space="0" w:color="auto"/>
            </w:tcBorders>
          </w:tcPr>
          <w:p w14:paraId="5DECE0CB" w14:textId="6EFF4950" w:rsidR="006F014D" w:rsidRDefault="006F014D" w:rsidP="006F014D">
            <w:pPr>
              <w:pStyle w:val="Tablecontent"/>
            </w:pPr>
            <w:r>
              <w:t>Z</w:t>
            </w:r>
            <w:r w:rsidR="00E1481D">
              <w:t>: 79,462,456 - 80,646,626</w:t>
            </w:r>
          </w:p>
        </w:tc>
        <w:tc>
          <w:tcPr>
            <w:tcW w:w="1984" w:type="dxa"/>
            <w:tcBorders>
              <w:left w:val="nil"/>
              <w:bottom w:val="single" w:sz="4" w:space="0" w:color="auto"/>
            </w:tcBorders>
          </w:tcPr>
          <w:p w14:paraId="6378AB34" w14:textId="732871B3" w:rsidR="006F014D" w:rsidRPr="00A062CC" w:rsidRDefault="006F014D" w:rsidP="006F014D">
            <w:pPr>
              <w:pStyle w:val="Tablecontent"/>
              <w:jc w:val="center"/>
            </w:pPr>
            <w:r>
              <w:t>0.00</w:t>
            </w:r>
          </w:p>
        </w:tc>
        <w:tc>
          <w:tcPr>
            <w:tcW w:w="2268" w:type="dxa"/>
            <w:tcBorders>
              <w:left w:val="nil"/>
              <w:bottom w:val="single" w:sz="4" w:space="0" w:color="auto"/>
            </w:tcBorders>
          </w:tcPr>
          <w:p w14:paraId="274CD377" w14:textId="755FF648" w:rsidR="006F014D" w:rsidRPr="00A062CC" w:rsidRDefault="006F014D" w:rsidP="006F014D">
            <w:pPr>
              <w:pStyle w:val="Tablecontent"/>
              <w:jc w:val="center"/>
            </w:pPr>
            <w:r>
              <w:t>3.00</w:t>
            </w:r>
          </w:p>
        </w:tc>
      </w:tr>
    </w:tbl>
    <w:p w14:paraId="1A6F7594" w14:textId="77777777" w:rsidR="00E2723B" w:rsidRDefault="00E2723B" w:rsidP="00E2723B">
      <w:pPr>
        <w:pStyle w:val="ListParagraph"/>
      </w:pPr>
      <w:r>
        <w:lastRenderedPageBreak/>
        <w:t xml:space="preserve">recombination rate higher than the chromosomal average, but this could be due to averaging out across the region, or assembly issues with the centromere altering the observed distance. </w:t>
      </w:r>
    </w:p>
    <w:p w14:paraId="40FE72CD" w14:textId="77777777" w:rsidR="00E2723B" w:rsidRDefault="00E2723B" w:rsidP="00E2723B">
      <w:pPr>
        <w:pStyle w:val="ListParagraph"/>
      </w:pPr>
      <w:r>
        <w:t>Despite the apparent longevity of these cluster containing regions, there was no evidence of insertion age bias in the clusters compared to those without. However, there is an overall bias in the dataset due to the higher proportion of younger SIEs which might mask any age-related effects. Additionally, there was a significant under-representation of both sauropsid (</w:t>
      </w:r>
      <w:r>
        <w:sym w:font="Symbol" w:char="F063"/>
      </w:r>
      <w:r>
        <w:rPr>
          <w:vertAlign w:val="superscript"/>
        </w:rPr>
        <w:t xml:space="preserve">2 </w:t>
      </w:r>
      <w:r>
        <w:t>= 8.41, P = 0.004) and amniote (</w:t>
      </w:r>
      <w:r>
        <w:sym w:font="Symbol" w:char="F063"/>
      </w:r>
      <w:r>
        <w:rPr>
          <w:vertAlign w:val="superscript"/>
        </w:rPr>
        <w:t xml:space="preserve">2 </w:t>
      </w:r>
      <w:r>
        <w:t>= 3.95, P = 0.047) constrained elements within the cluster regions.</w:t>
      </w:r>
    </w:p>
    <w:p w14:paraId="7C86F99C" w14:textId="77777777" w:rsidR="00E2723B" w:rsidRDefault="00E2723B" w:rsidP="00E2723B">
      <w:pPr>
        <w:pStyle w:val="ListParagraph"/>
      </w:pPr>
      <w:r>
        <w:t>The eight clusters without recombination rate information were located at: 16: 230,428-498,782; W: 9,649-1,241,834; AADN03011155.1: 4,562-75,119; JH375232.1: 2,446-218,948; JH375233.1: 23,167-125,879; JH375236.1: 5,242-184,598; JH376410.1: 2,512-82,932; LGE64: 925-799,254.</w:t>
      </w:r>
    </w:p>
    <w:p w14:paraId="1A44C3AA" w14:textId="77777777" w:rsidR="00E2723B" w:rsidRDefault="00E2723B" w:rsidP="00391005">
      <w:pPr>
        <w:pStyle w:val="ListParagraph"/>
      </w:pPr>
    </w:p>
    <w:p w14:paraId="7F0A08E0" w14:textId="2C1393D0" w:rsidR="00F24FC5" w:rsidRDefault="00612FA3" w:rsidP="00612FA3">
      <w:pPr>
        <w:pStyle w:val="Heading4"/>
      </w:pPr>
      <w:r>
        <w:t>Macrochromosome-like LTR retrotransposon density on chromosome 27</w:t>
      </w:r>
    </w:p>
    <w:p w14:paraId="36907F4D" w14:textId="578E94F3" w:rsidR="00F24FC5" w:rsidRDefault="002F2F31" w:rsidP="00391005">
      <w:pPr>
        <w:pStyle w:val="ListParagraph"/>
      </w:pPr>
      <w:r>
        <w:t>Chromosome 27 element density was four times higher than on the similarly sized chromosomes 26 and 28, and included eight SIEs. However, its overall length, GC-content and average recombination rate are consistent with these neighbouring chromosomes. Additionally, the chromosome shares a 1:1 synteny with the turkey (</w:t>
      </w:r>
      <w:r w:rsidRPr="007F3617">
        <w:rPr>
          <w:i/>
        </w:rPr>
        <w:t>Meleagris gallopavo</w:t>
      </w:r>
      <w:r>
        <w:t>) chromosome 29 and zebra finch (</w:t>
      </w:r>
      <w:r w:rsidRPr="007F3617">
        <w:rPr>
          <w:i/>
        </w:rPr>
        <w:t xml:space="preserve">Taeniopygia </w:t>
      </w:r>
      <w:r>
        <w:rPr>
          <w:i/>
        </w:rPr>
        <w:t>guttata</w:t>
      </w:r>
      <w:r>
        <w:t>) chromos</w:t>
      </w:r>
      <w:r w:rsidR="00013EB5">
        <w:t>ome 27</w:t>
      </w:r>
      <w:r>
        <w:t xml:space="preserve">, so this relatively elevated LTR retrotransposon content was not </w:t>
      </w:r>
      <w:r w:rsidR="007919AB">
        <w:t xml:space="preserve">a </w:t>
      </w:r>
      <w:r>
        <w:t xml:space="preserve">result of a recent macrochromosome fusion event. </w:t>
      </w:r>
    </w:p>
    <w:p w14:paraId="2627B512" w14:textId="7CD86AD8" w:rsidR="00F24FC5" w:rsidRPr="00383D23" w:rsidRDefault="002F2F31" w:rsidP="00391005">
      <w:pPr>
        <w:pStyle w:val="ListParagraph"/>
      </w:pPr>
      <w:r>
        <w:t>On closer inspection, 89 % of</w:t>
      </w:r>
      <w:r w:rsidR="009E78CF">
        <w:t xml:space="preserve"> all elements on chromosome 27 we</w:t>
      </w:r>
      <w:r>
        <w:t>re within 1</w:t>
      </w:r>
      <w:r w:rsidR="009E78CF">
        <w:t xml:space="preserve"> </w:t>
      </w:r>
      <w:r>
        <w:t>Mb of the 5’ telomere, including a cluster of all eight SIEs (</w:t>
      </w:r>
      <w:r w:rsidRPr="002F2F31">
        <w:fldChar w:fldCharType="begin" w:fldLock="1"/>
      </w:r>
      <w:r w:rsidRPr="002F2F31">
        <w:instrText xml:space="preserve"> REF _Ref477468433 \h  \* MERGEFORMAT </w:instrText>
      </w:r>
      <w:r w:rsidRPr="002F2F31">
        <w:fldChar w:fldCharType="separate"/>
      </w:r>
      <w:r w:rsidR="002C549C" w:rsidRPr="00274F0A">
        <w:t xml:space="preserve">Table </w:t>
      </w:r>
      <w:r w:rsidR="002C549C">
        <w:rPr>
          <w:noProof/>
        </w:rPr>
        <w:t>3</w:t>
      </w:r>
      <w:r w:rsidR="002C549C" w:rsidRPr="00274F0A">
        <w:rPr>
          <w:noProof/>
        </w:rPr>
        <w:t>.</w:t>
      </w:r>
      <w:r w:rsidR="002C549C">
        <w:rPr>
          <w:noProof/>
        </w:rPr>
        <w:t>11</w:t>
      </w:r>
      <w:r w:rsidRPr="002F2F31">
        <w:fldChar w:fldCharType="end"/>
      </w:r>
      <w:r>
        <w:t>). Whilst the average chromosome recombination rate is 10.8 cM.Mb</w:t>
      </w:r>
      <w:r>
        <w:rPr>
          <w:vertAlign w:val="superscript"/>
        </w:rPr>
        <w:t>-1</w:t>
      </w:r>
      <w:r>
        <w:t>, the 5’ 1</w:t>
      </w:r>
      <w:r w:rsidR="009E78CF">
        <w:t xml:space="preserve"> </w:t>
      </w:r>
      <w:r>
        <w:t>Mb has a recombination rate of 0.7 cM.Mb</w:t>
      </w:r>
      <w:r>
        <w:rPr>
          <w:vertAlign w:val="superscript"/>
        </w:rPr>
        <w:t>-1</w:t>
      </w:r>
      <w:r>
        <w:t xml:space="preserve">, fifteen times lower than the chromosomal average. </w:t>
      </w:r>
      <w:r w:rsidR="00EA6675">
        <w:t xml:space="preserve">Interestingly, the gene density for this region is consistent with the rest of the chromosome, but almost all the genes are members of the </w:t>
      </w:r>
      <w:r w:rsidR="00EA6675" w:rsidRPr="00EA6675">
        <w:rPr>
          <w:i/>
        </w:rPr>
        <w:t>feather beta-keratin</w:t>
      </w:r>
      <w:r w:rsidR="00EA6675">
        <w:t xml:space="preserve"> family and share almost 100 % identity with each other. In birds, the main beta-keratin family is on chromosome 25, but recent work identified monophyletic expansions of the feather-specific family members on </w:t>
      </w:r>
      <w:r w:rsidR="00EA6675">
        <w:lastRenderedPageBreak/>
        <w:t xml:space="preserve">chromosomes 2 and 27, shared among birds but absent in crocodilian outgroups </w:t>
      </w:r>
      <w:r w:rsidR="00EA6675">
        <w:fldChar w:fldCharType="begin" w:fldLock="1"/>
      </w:r>
      <w:r w:rsidR="00FA576B">
        <w:instrText>ADDIN CSL_CITATION { "citationItems" : [ { "id" : "ITEM-1", "itemData" : { "DOI" : "10.1186/1471-2148-10-148", "ISBN" : "1471-2148", "ISSN" : "1471-2148", "PMID" : "20482795", "abstract" : "The epidermal appendages of reptiles and birds are constructed of beta (beta) keratins. The molecular phylogeny of these keratins is important to understanding the evolutionary origin of these appendages, especially feathers. Knowing that the crocodilian beta-keratin genes are closely related to those of birds, the published genomes of the chicken and zebra finch provide an opportunity not only to compare the genomic organization of their beta-keratins, but to study their molecular evolution in archosaurians.", "author" : [ { "dropping-particle" : "", "family" : "Greenwold", "given" : "Matthew J", "non-dropping-particle" : "", "parse-names" : false, "suffix" : "" }, { "dropping-particle" : "", "family" : "Sawyer", "given" : "Roger H", "non-dropping-particle" : "", "parse-names" : false, "suffix" : "" } ], "container-title" : "BMC evolutionary biology", "id" : "ITEM-1", "issue" : "1", "issued" : { "date-parts" : [ [ "2010" ] ] }, "page" : "148", "title" : "Genomic organization and molecular phylogenies of the beta (beta) keratin multigene family in the chicken (Gallus gallus) and zebra finch (Taeniopygia guttata): implications for feather evolution.", "type" : "article-journal", "volume" : "10" }, "uris" : [ "http://www.mendeley.com/documents/?uuid=e63a5b40-b52e-476a-9e42-cd9648d7d9c5" ] }, { "id" : "ITEM-2", "itemData" : { "DOI" : "10.1093/gbe/evu181", "ISSN" : "17596653", "PMID" : "25152353", "abstract" : "Feathers are hallmark avian integument appendages, although they were also present on theropods. They are composed of flexible corneous materials made of \u03b1- and \u03b2-keratins, but their genomic organization and their functional roles in feathers have not been well studied. First, we made an exhaustive search of \u03b1- and \u03b2-keratin genes in the new chicken genome assembly (Galgal4). Then, using transcriptomic analysis, we studied \u03b1- and \u03b2-keratin gene expression patterns in five types of feather epidermis. The expression patterns of \u03b2-keratin genes were different in different feather types, whereas those of \u03b1-keratin genes were less variable. In addition, we obtained extensive \u03b1- and \u03b2-keratin mRNA in situ hybridization data, showing that \u03b1-keratins and \u03b2-keratins are preferentially expressed in different parts of the feather components. Together, our data suggest that feather morphological and structural diversity can largely be attributed to differential combinations of \u03b1- and \u03b2-keratin genes in different intrafeather regions and/or feather types from different body parts. The expression profiles provide new insights into the evolutionary origin and diversification of feathers. Finally, functional analysis using mutant chicken keratin forms based on those found in the human \u03b1-keratin mutation database led to abnormal phenotypes. This demonstrates that the chicken can be a convenient model for studying the molecular biology of human keratin-based diseases.", "author" : [ { "dropping-particle" : "", "family" : "Ng", "given" : "Chen Siang", "non-dropping-particle" : "", "parse-names" : false, "suffix" : "" }, { "dropping-particle" : "", "family" : "Wu", "given" : "Ping", "non-dropping-particle" : "", "parse-names" : false, "suffix" : "" }, { "dropping-particle" : "", "family" : "Fan", "given" : "Wen Lang", "non-dropping-particle" : "", "parse-names" : false, "suffix" : "" }, { "dropping-particle" : "", "family" : "Yan", "given" : "Jie", "non-dropping-particle" : "", "parse-names" : false, "suffix" : "" }, { "dropping-particle" : "", "family" : "Chen", "given" : "Chih Kuan", "non-dropping-particle" : "", "parse-names" : false, "suffix" : "" }, { "dropping-particle" : "", "family" : "Lai", "given" : "Yu Ting", "non-dropping-particle" : "", "parse-names" : false, "suffix" : "" }, { "dropping-particle" : "", "family" : "Wu", "given" : "Siao Man", "non-dropping-particle" : "", "parse-names" : false, "suffix" : "" }, { "dropping-particle" : "", "family" : "Mao", "given" : "Chi Tang", "non-dropping-particle" : "", "parse-names" : false, "suffix" : "" }, { "dropping-particle" : "", "family" : "Chen", "given" : "Jun Jie", "non-dropping-particle" : "", "parse-names" : false, "suffix" : "" }, { "dropping-particle" : "", "family" : "Lu", "given" : "Mei Yeh Jade", "non-dropping-particle" : "", "parse-names" : false, "suffix" : "" }, { "dropping-particle" : "", "family" : "Ho", "given" : "Meng Ru", "non-dropping-particle" : "", "parse-names" : false, "suffix" : "" }, { "dropping-particle" : "", "family" : "Widelitz", "given" : "Randall B.", "non-dropping-particle" : "", "parse-names" : false, "suffix" : "" }, { "dropping-particle" : "", "family" : "Chen", "given" : "Chih Feng", "non-dropping-particle" : "", "parse-names" : false, "suffix" : "" }, { "dropping-particle" : "", "family" : "Chuong", "given" : "Cheng Ming", "non-dropping-particle" : "", "parse-names" : false, "suffix" : "" }, { "dropping-particle" : "", "family" : "Li", "given" : "Wen Hsiung", "non-dropping-particle" : "", "parse-names" : false, "suffix" : "" } ], "container-title" : "Genome Biology and Evolution", "id" : "ITEM-2", "issue" : "9", "issued" : { "date-parts" : [ [ "2014" ] ] }, "page" : "2258-2273", "title" : "Genomic organization, transcriptomic analysis, and functional characterization of avian ??- and ??-keratins in diverse feather forms", "type" : "article-journal", "volume" : "6" }, "uris" : [ "http://www.mendeley.com/documents/?uuid=d153d036-ac69-4229-8d1d-b5ace9a468e3" ] }, { "id" : "ITEM-3", "itemData" : { "DOI" : "10.1186/s12862-014-0249-1", "ISBN" : "1471-2148", "ISSN" : "1471-2148", "PMID" : "25496280", "abstract" : "BACKGROUND:Vertebrate skin appendages are constructed of keratins produced by multigene families. Alpha (alpha) keratins are found in all vertebrates, while beta (beta) keratins are found exclusively in reptiles and birds. We have studied the molecular evolution of these gene families in the genomes of 48 phylogenetically diverse birds and their expression in the scales and feathers of the chicken.RESULTS:We found that the total number of alpha-keratins is lower in birds than mammals and non-avian reptiles, yet two alpha-keratin genes (KRT42 and KRT75) have expanded in birds. The beta-keratins, however, demonstrate a dynamic evolution associated with avian lifestyle. The avian specific feather beta-keratins comprise a large majority of the total number of beta-keratins, but independently derived lineages of aquatic and predatory birds have smaller proportions of feather beta-keratin genes and larger proportions of keratinocyte beta-keratin genes. Additionally, birds of prey have a larger proportion of claw beta-keratins. Analysis of alpha- and beta-keratin expression during development of chicken scales and feathers demonstrates that while alpha-keratins are expressed in these tissues, the number and magnitude of expressed beta-keratin genes far exceeds that of alpha-keratins.CONCLUSIONS:These results support the view that the number of alpha- and beta-keratin genes expressed, the proportion of the beta-keratin subfamily genes expressed and the diversification of the beta-keratin genes have been important for the evolution of the feather and the adaptation of birds into multiple ecological niches.", "author" : [ { "dropping-particle" : "", "family" : "Greenwold", "given" : "Matthew J", "non-dropping-particle" : "", "parse-names" : false, "suffix" : "" }, { "dropping-particle" : "", "family" : "Bao", "given" : "Weier", "non-dropping-particle" : "", "parse-names" : false, "suffix" : "" }, { "dropping-particle" : "", "family" : "Jarvis", "given" : "Erich\u00a0D.", "non-dropping-particle" : "", "parse-names" : false, "suffix" : "" }, { "dropping-particle" : "", "family" : "Hu", "given" : "Haofu", "non-dropping-particle" : "", "parse-names" : false, "suffix" : "" }, { "dropping-particle" : "", "family" : "Li", "given" : "Cai", "non-dropping-particle" : "", "parse-names" : false, "suffix" : "" }, { "dropping-particle" : "", "family" : "Gilbert", "given" : "M", "non-dropping-particle" : "", "parse-names" : false, "suffix" : "" }, { "dropping-particle" : "", "family" : "Zhang", "given" : "Guojie", "non-dropping-particle" : "", "parse-names" : false, "suffix" : "" }, { "dropping-particle" : "", "family" : "Sawyer", "given" : "Roger H", "non-dropping-particle" : "", "parse-names" : false, "suffix" : "" } ], "container-title" : "BMC Evolutionary Biology", "id" : "ITEM-3", "issue" : "1", "issued" : { "date-parts" : [ [ "2014" ] ] }, "page" : "249", "title" : "Dynamic evolution of the alpha (\u03b1) and beta (\u03b2) keratins has accompanied integument diversification and the adaptation of birds into novel lifestyles", "type" : "article-journal", "volume" : "14" }, "uris" : [ "http://www.mendeley.com/documents/?uuid=8ec60900-6471-44ca-88bf-148d4e923fc5" ] } ], "mendeley" : { "formattedCitation" : "(Greenwold &amp; Sawyer 2010; Ng et al. 2014; Greenwold et al. 2014)", "plainTextFormattedCitation" : "(Greenwold &amp; Sawyer 2010; Ng et al. 2014; Greenwold et al. 2014)", "previouslyFormattedCitation" : "(Greenwold &amp; Sawyer 2010; Ng et al. 2014; Greenwold et al. 2014)" }, "properties" : { "noteIndex" : 0 }, "schema" : "https://github.com/citation-style-language/schema/raw/master/csl-citation.json" }</w:instrText>
      </w:r>
      <w:r w:rsidR="00EA6675">
        <w:fldChar w:fldCharType="separate"/>
      </w:r>
      <w:r w:rsidR="00EA6675" w:rsidRPr="00EA6675">
        <w:rPr>
          <w:noProof/>
        </w:rPr>
        <w:t>(Greenwold &amp; Sawyer 2010; Ng et al. 2014; Greenwold et al. 2014)</w:t>
      </w:r>
      <w:r w:rsidR="00EA6675">
        <w:fldChar w:fldCharType="end"/>
      </w:r>
      <w:r w:rsidR="00EA6675">
        <w:t xml:space="preserve">. </w:t>
      </w:r>
      <w:r w:rsidR="00383D23">
        <w:t xml:space="preserve">61 </w:t>
      </w:r>
      <w:r w:rsidR="00383D23">
        <w:rPr>
          <w:i/>
        </w:rPr>
        <w:t>beta-keratin</w:t>
      </w:r>
      <w:r w:rsidR="00383D23">
        <w:t xml:space="preserve"> paralogues form a tandem array at the 5’ end of chromosome 27, and these are surrounded by, but not overlapping with, the high density LTR retrotransposon-derived sequences. Greenwold &amp; Sawyer (2010) originally predicted that the high microchromosome recombination rates could generate these large paralogue tandem arrays, but, as has been stated above, the recombination rate for this region is very low. It is therefore possible that retrotransposition events facilitated the expansion of these paralogous genes</w:t>
      </w:r>
      <w:r w:rsidR="000A04F8">
        <w:t xml:space="preserve">, and the low recombination rates enabled the LTR retrotransposons to retain their structural intactness. </w:t>
      </w:r>
    </w:p>
    <w:p w14:paraId="49C27EEB" w14:textId="77777777" w:rsidR="002F2F31" w:rsidRDefault="002F2F31" w:rsidP="00391005">
      <w:pPr>
        <w:pStyle w:val="ListParagraph"/>
      </w:pPr>
    </w:p>
    <w:p w14:paraId="323DE845" w14:textId="77777777" w:rsidR="00F24FC5" w:rsidRDefault="00F24FC5" w:rsidP="00F24FC5">
      <w:pPr>
        <w:pStyle w:val="Heading4"/>
      </w:pPr>
      <w:r>
        <w:t>Elevated LTR retrotransposon density on the Z chromosome</w:t>
      </w:r>
    </w:p>
    <w:p w14:paraId="25940955" w14:textId="6356170E" w:rsidR="00082F59" w:rsidRDefault="00F24FC5" w:rsidP="00391005">
      <w:pPr>
        <w:pStyle w:val="ListParagraph"/>
      </w:pPr>
      <w:r>
        <w:t xml:space="preserve">A total of 6.21 % of the Z chromosome was annotated by LocaTR as LTR retrotransposon-derived sequence. In contrast, chromosome 4 has a similar length to the Z, but only 1.78 % of its total length was identified as LTR retrotransposon-derived sequence. As a sex chromosome, the Z </w:t>
      </w:r>
      <w:r w:rsidR="00D214AB">
        <w:t xml:space="preserve">only recombines in males and the recombination rate is highly heterogeneous, </w:t>
      </w:r>
      <w:r>
        <w:t xml:space="preserve">with long regions of low recombination which are known to facilitate </w:t>
      </w:r>
      <w:r w:rsidR="00D214AB">
        <w:t xml:space="preserve">both </w:t>
      </w:r>
      <w:r>
        <w:t xml:space="preserve">repetitive element persistence and retention of structural identity </w:t>
      </w:r>
      <w:r>
        <w:fldChar w:fldCharType="begin" w:fldLock="1"/>
      </w:r>
      <w:r w:rsidR="00EA6675">
        <w:instrText>ADDIN CSL_CITATION { "citationItems" : [ { "id" : "ITEM-1", "itemData" : { "DOI" : "10.1016/j.tree.2008.09.010", "ISBN" : "01695347", "ISSN" : "01695347", "PMID" : "19100654", "abstract" : "In species with separate sexes, sex determination often has a genetic basis, and in a wide diversity of taxa a pair of cytologically distinguishable 'sex chromosomes' are found such that the chromosome complements of males and females differ (males are often XY and females XX, but sometimes females are ZW whereas males are ZZ). Recent evidence from sequences of sex-linked genes confirms classical genetic evidence that these chromosomes are a homologous pair, evolved from a normal chromosome pair, between which recombination stopped. We discuss why sex chromosomes evolve reduced recombination and why different parts of the chromosomes stopped recombining at different times, and outline some of the consequences of suppressed recombination, including the evolution of chromosome heteromorphism. ?? 2008 Elsevier Ltd. All rights reserved.", "author" : [ { "dropping-particle" : "", "family" : "Bergero", "given" : "Roberta", "non-dropping-particle" : "", "parse-names" : false, "suffix" : "" }, { "dropping-particle" : "", "family" : "Charlesworth", "given" : "Deborah", "non-dropping-particle" : "", "parse-names" : false, "suffix" : "" } ], "container-title" : "Trends in Ecology and Evolution", "id" : "ITEM-1", "issue" : "2", "issued" : { "date-parts" : [ [ "2009" ] ] }, "page" : "94-102", "title" : "The evolution of restricted recombination in sex chromosomes", "type" : "article-journal", "volume" : "24" }, "uris" : [ "http://www.mendeley.com/documents/?uuid=f3a1c343-a79d-4ac4-a4ff-6bb06a007830" ] } ], "mendeley" : { "formattedCitation" : "(Bergero &amp; Charlesworth 2009)", "plainTextFormattedCitation" : "(Bergero &amp; Charlesworth 2009)", "previouslyFormattedCitation" : "(Bergero &amp; Charlesworth 2009)" }, "properties" : { "noteIndex" : 0 }, "schema" : "https://github.com/citation-style-language/schema/raw/master/csl-citation.json" }</w:instrText>
      </w:r>
      <w:r>
        <w:fldChar w:fldCharType="separate"/>
      </w:r>
      <w:r w:rsidRPr="000604ED">
        <w:rPr>
          <w:noProof/>
        </w:rPr>
        <w:t>(Bergero &amp; Charlesworth 2009)</w:t>
      </w:r>
      <w:r>
        <w:fldChar w:fldCharType="end"/>
      </w:r>
      <w:r>
        <w:t>. This is supported by 103 of the Z chromosome SIEs (61.3 %) being in clusters, with recombination rates in these regions strikingly lower than the chromosomal average (</w:t>
      </w:r>
      <w:r w:rsidRPr="00FD3E6C">
        <w:fldChar w:fldCharType="begin" w:fldLock="1"/>
      </w:r>
      <w:r w:rsidRPr="00FD3E6C">
        <w:instrText xml:space="preserve"> REF _Ref477468433 \h  \* MERGEFORMAT </w:instrText>
      </w:r>
      <w:r w:rsidRPr="00FD3E6C">
        <w:fldChar w:fldCharType="separate"/>
      </w:r>
      <w:r w:rsidR="002C549C" w:rsidRPr="00274F0A">
        <w:t xml:space="preserve">Table </w:t>
      </w:r>
      <w:r w:rsidR="002C549C">
        <w:rPr>
          <w:noProof/>
        </w:rPr>
        <w:t>3</w:t>
      </w:r>
      <w:r w:rsidR="002C549C" w:rsidRPr="00274F0A">
        <w:rPr>
          <w:noProof/>
        </w:rPr>
        <w:t>.</w:t>
      </w:r>
      <w:r w:rsidR="002C549C">
        <w:rPr>
          <w:noProof/>
        </w:rPr>
        <w:t>11</w:t>
      </w:r>
      <w:r w:rsidRPr="00FD3E6C">
        <w:fldChar w:fldCharType="end"/>
      </w:r>
      <w:r>
        <w:t xml:space="preserve">). </w:t>
      </w:r>
      <w:r w:rsidR="00082F59">
        <w:t xml:space="preserve">Based on the correlation between element density and chromosome length for the majority of the genome, the predicted </w:t>
      </w:r>
      <w:r w:rsidR="0048490A">
        <w:t>density for the Z would be 27.4</w:t>
      </w:r>
      <w:r w:rsidR="00082F59">
        <w:t xml:space="preserve"> elements per Mb, compared to the observed value of 55.3 elements per Mb</w:t>
      </w:r>
      <w:r w:rsidR="0048490A">
        <w:t>. Therefore, the Z has 101.8 % more LTR retrotransp</w:t>
      </w:r>
      <w:r w:rsidR="00816818">
        <w:t>oson-derived elements than</w:t>
      </w:r>
      <w:r w:rsidR="0048490A">
        <w:t xml:space="preserve"> would be expected on an autosome of equal length.</w:t>
      </w:r>
    </w:p>
    <w:p w14:paraId="2A83B79E" w14:textId="2E664C90" w:rsidR="00F24FC5" w:rsidRDefault="00F24FC5" w:rsidP="00391005">
      <w:pPr>
        <w:pStyle w:val="ListParagraph"/>
      </w:pPr>
      <w:r>
        <w:t>As a converse example of the relationship between density and recombination rate, the highly recombining pseudoautosomal region (PAR) of the Z chromosome has just 2.7 % of the expected LTR retrotransposon sequence given its length and the average chromosomal element density.</w:t>
      </w:r>
    </w:p>
    <w:p w14:paraId="1BB09F04" w14:textId="245E21A1" w:rsidR="00F24FC5" w:rsidRDefault="00F24FC5" w:rsidP="00391005">
      <w:pPr>
        <w:pStyle w:val="ListParagraph"/>
      </w:pPr>
    </w:p>
    <w:p w14:paraId="4FB535B1" w14:textId="752D2F5B" w:rsidR="00C32FAF" w:rsidRDefault="00C32FAF" w:rsidP="00C32FAF">
      <w:pPr>
        <w:pStyle w:val="Heading3"/>
      </w:pPr>
      <w:bookmarkStart w:id="203" w:name="_Toc485721596"/>
      <w:bookmarkStart w:id="204" w:name="_Ref486605589"/>
      <w:bookmarkStart w:id="205" w:name="_Toc486787176"/>
      <w:bookmarkStart w:id="206" w:name="_Toc486787324"/>
      <w:r>
        <w:lastRenderedPageBreak/>
        <w:t>LTR retrotransposon distribution relative to transcriptional units</w:t>
      </w:r>
      <w:bookmarkEnd w:id="203"/>
      <w:bookmarkEnd w:id="204"/>
      <w:bookmarkEnd w:id="205"/>
      <w:bookmarkEnd w:id="206"/>
    </w:p>
    <w:p w14:paraId="244B99A1" w14:textId="0A849778" w:rsidR="00163B00" w:rsidRDefault="00163B00" w:rsidP="00391005">
      <w:pPr>
        <w:pStyle w:val="ListParagraph"/>
      </w:pPr>
      <w:r>
        <w:t>Assuming random integration, 51.3 % of all LTR retrotransposons would be expected within transcript</w:t>
      </w:r>
      <w:r w:rsidR="00830A53">
        <w:t>ional units (TUs), of which 92.0</w:t>
      </w:r>
      <w:r>
        <w:t xml:space="preserve"> % would be within introns. However, there is a significant depletion of LTR retrotransposons in TUs in both the full data set (31.3 %; P = 1.94x10</w:t>
      </w:r>
      <w:r>
        <w:rPr>
          <w:vertAlign w:val="superscript"/>
        </w:rPr>
        <w:t>-5</w:t>
      </w:r>
      <w:r>
        <w:t>) and SIE-only data set (35.8 %; P = 3.90x10</w:t>
      </w:r>
      <w:r>
        <w:rPr>
          <w:vertAlign w:val="superscript"/>
        </w:rPr>
        <w:t>-4</w:t>
      </w:r>
      <w:r>
        <w:t>)</w:t>
      </w:r>
      <w:r w:rsidR="00464AC7">
        <w:t xml:space="preserve"> (</w:t>
      </w:r>
      <w:r w:rsidR="00464AC7" w:rsidRPr="00E2723B">
        <w:fldChar w:fldCharType="begin" w:fldLock="1"/>
      </w:r>
      <w:r w:rsidR="00464AC7" w:rsidRPr="00E2723B">
        <w:instrText xml:space="preserve"> REF _Ref478129332 \h </w:instrText>
      </w:r>
      <w:r w:rsidR="00E2723B" w:rsidRPr="00E2723B">
        <w:instrText xml:space="preserve"> \* MERGEFORMAT </w:instrText>
      </w:r>
      <w:r w:rsidR="00464AC7" w:rsidRPr="00E2723B">
        <w:fldChar w:fldCharType="separate"/>
      </w:r>
      <w:r w:rsidR="002C549C" w:rsidRPr="00E2723B">
        <w:t xml:space="preserve">Figure </w:t>
      </w:r>
      <w:r w:rsidR="002C549C">
        <w:rPr>
          <w:noProof/>
        </w:rPr>
        <w:t>3</w:t>
      </w:r>
      <w:r w:rsidR="002C549C" w:rsidRPr="00E2723B">
        <w:rPr>
          <w:noProof/>
        </w:rPr>
        <w:t>.</w:t>
      </w:r>
      <w:r w:rsidR="002C549C">
        <w:rPr>
          <w:noProof/>
        </w:rPr>
        <w:t>6</w:t>
      </w:r>
      <w:r w:rsidR="00464AC7" w:rsidRPr="00E2723B">
        <w:fldChar w:fldCharType="end"/>
      </w:r>
      <w:r w:rsidR="00985821">
        <w:t>)</w:t>
      </w:r>
      <w:r>
        <w:t>. This skewed result is observed with the overall distribution relative to nearest gene annotation, with both the full (KS = 0.139, P = 1x10</w:t>
      </w:r>
      <w:r>
        <w:rPr>
          <w:vertAlign w:val="superscript"/>
        </w:rPr>
        <w:t>-100</w:t>
      </w:r>
      <w:r>
        <w:t xml:space="preserve">) and SIE (KS = 0.146, P = </w:t>
      </w:r>
      <w:r w:rsidR="00985821">
        <w:t>1.28x10</w:t>
      </w:r>
      <w:r w:rsidR="00985821">
        <w:rPr>
          <w:vertAlign w:val="superscript"/>
        </w:rPr>
        <w:t>-17</w:t>
      </w:r>
      <w:r>
        <w:t xml:space="preserve">) data sets exhibiting significant shifts away from the TUs. </w:t>
      </w:r>
    </w:p>
    <w:p w14:paraId="22B75AE1" w14:textId="71BB0943" w:rsidR="00297307" w:rsidRPr="00E2723B" w:rsidRDefault="00297307" w:rsidP="00391005">
      <w:pPr>
        <w:pStyle w:val="ListParagraph"/>
        <w:rPr>
          <w:sz w:val="2"/>
        </w:rPr>
      </w:pPr>
    </w:p>
    <w:p w14:paraId="2F5F49B3" w14:textId="34812710" w:rsidR="00297307" w:rsidRDefault="00297307" w:rsidP="00E2723B">
      <w:pPr>
        <w:pStyle w:val="ListParagraph"/>
        <w:jc w:val="center"/>
      </w:pPr>
      <w:r>
        <w:rPr>
          <w:noProof/>
          <w:lang w:eastAsia="en-GB"/>
        </w:rPr>
        <w:drawing>
          <wp:inline distT="0" distB="0" distL="0" distR="0" wp14:anchorId="7ED2952C" wp14:editId="16F32C7B">
            <wp:extent cx="4606428" cy="3562350"/>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8844" cy="3587419"/>
                    </a:xfrm>
                    <a:prstGeom prst="rect">
                      <a:avLst/>
                    </a:prstGeom>
                    <a:noFill/>
                  </pic:spPr>
                </pic:pic>
              </a:graphicData>
            </a:graphic>
          </wp:inline>
        </w:drawing>
      </w:r>
    </w:p>
    <w:p w14:paraId="6E6CE097" w14:textId="21BEFAD2" w:rsidR="00297307" w:rsidRDefault="00297307" w:rsidP="00297307">
      <w:pPr>
        <w:pStyle w:val="Figure"/>
      </w:pPr>
      <w:bookmarkStart w:id="207" w:name="_Ref478129332"/>
      <w:bookmarkStart w:id="208" w:name="_Toc486785432"/>
      <w:r w:rsidRPr="00E2723B">
        <w:t xml:space="preserve">Figure </w:t>
      </w:r>
      <w:fldSimple w:instr=" STYLEREF 1 \s " w:fldLock="1">
        <w:r w:rsidR="002C549C">
          <w:rPr>
            <w:noProof/>
          </w:rPr>
          <w:t>3</w:t>
        </w:r>
      </w:fldSimple>
      <w:r w:rsidR="001167C6" w:rsidRPr="00E2723B">
        <w:t>.</w:t>
      </w:r>
      <w:fldSimple w:instr=" SEQ Figure \* ARABIC \s 1 " w:fldLock="1">
        <w:r w:rsidR="002C549C">
          <w:rPr>
            <w:noProof/>
          </w:rPr>
          <w:t>6</w:t>
        </w:r>
      </w:fldSimple>
      <w:bookmarkEnd w:id="207"/>
      <w:r>
        <w:t xml:space="preserve"> LTR retrotransposon distribution relative to the Ensembl genome annotations (v79). Shortest distance was measured from each element to the nearest annotated feature (irrespective of strand)</w:t>
      </w:r>
      <w:r w:rsidR="000D213D">
        <w:t xml:space="preserve"> and grouped into 10 kb bins, where the bin value represents the upper bin limit. For comparison, the dotted line represents 100,000 randomly generated distributions for each dataset, with standard deviation shown with the error bars. Only one line is shown because the randomly generated full and intact models gave the same results, and the standard deviation was equal between models when rounded to two decimal places. </w:t>
      </w:r>
      <w:r w:rsidR="00464AC7">
        <w:t>Significant differences between proportions in each bin are highlighted with asterisks, where *</w:t>
      </w:r>
      <w:r w:rsidR="00236095">
        <w:t xml:space="preserve"> </w:t>
      </w:r>
      <w:r w:rsidR="00464AC7">
        <w:t>=</w:t>
      </w:r>
      <w:r w:rsidR="00236095">
        <w:t xml:space="preserve"> </w:t>
      </w:r>
      <w:r w:rsidR="00464AC7">
        <w:t>P</w:t>
      </w:r>
      <w:r w:rsidR="00236095">
        <w:t xml:space="preserve"> </w:t>
      </w:r>
      <w:r w:rsidR="00464AC7">
        <w:t>&lt;</w:t>
      </w:r>
      <w:r w:rsidR="00236095">
        <w:t xml:space="preserve"> </w:t>
      </w:r>
      <w:r w:rsidR="00464AC7">
        <w:t>0.05 and ***</w:t>
      </w:r>
      <w:r w:rsidR="00236095">
        <w:t xml:space="preserve"> </w:t>
      </w:r>
      <w:r w:rsidR="00464AC7">
        <w:t>=</w:t>
      </w:r>
      <w:r w:rsidR="00236095">
        <w:t xml:space="preserve"> </w:t>
      </w:r>
      <w:r w:rsidR="00464AC7">
        <w:t>P</w:t>
      </w:r>
      <w:r w:rsidR="00236095">
        <w:t xml:space="preserve"> </w:t>
      </w:r>
      <w:r w:rsidR="00464AC7">
        <w:t>&lt;</w:t>
      </w:r>
      <w:r w:rsidR="00236095">
        <w:t xml:space="preserve"> </w:t>
      </w:r>
      <w:r w:rsidR="00464AC7">
        <w:t>0.0001. TU = Transcriptional Unit (incl. exons, introns, UTRs and 5 kb flanks up and downstream). ND = Non-Defined (elements on contigs without any Ensembl annotation).</w:t>
      </w:r>
      <w:bookmarkEnd w:id="208"/>
      <w:r w:rsidR="00464AC7">
        <w:t xml:space="preserve"> </w:t>
      </w:r>
    </w:p>
    <w:p w14:paraId="45646BC2" w14:textId="577F4EC3" w:rsidR="00985821" w:rsidRDefault="00985821" w:rsidP="00391005">
      <w:pPr>
        <w:pStyle w:val="ListParagraph"/>
      </w:pPr>
      <w:r>
        <w:lastRenderedPageBreak/>
        <w:t>Taken genome-wide, some of the distribution detail is overlooked. Microchromosomes generally follow the random integration distribution, but the longer macrochromosomes exhibit the depletion of elements within TUs (</w:t>
      </w:r>
      <w:r>
        <w:rPr>
          <w:i/>
        </w:rPr>
        <w:t>e.g.</w:t>
      </w:r>
      <w:r>
        <w:t xml:space="preserve"> chromosome 1; 28.3 % in TUs compared to 47.2 % under random integration; P = 3.88x10</w:t>
      </w:r>
      <w:r>
        <w:rPr>
          <w:vertAlign w:val="superscript"/>
        </w:rPr>
        <w:t>-5</w:t>
      </w:r>
      <w:r>
        <w:t>). Additionally, chromosomes 1-5, 8 and Z have significant enrichment of elements greater than 100kb away from TUs (</w:t>
      </w:r>
      <w:r>
        <w:rPr>
          <w:i/>
        </w:rPr>
        <w:t>e.g.</w:t>
      </w:r>
      <w:r>
        <w:t xml:space="preserve"> chromosome 1; 42.8 % compared to 23.0 % under random integration; P = 1.17x10</w:t>
      </w:r>
      <w:r>
        <w:rPr>
          <w:vertAlign w:val="superscript"/>
        </w:rPr>
        <w:t>-5</w:t>
      </w:r>
      <w:r>
        <w:t>). These chromosomes are also gene sparse and contain 73.6 % of the clustered SIEs (318 elements in 20 clusters). SIEs within clusters are also significantly depleted with</w:t>
      </w:r>
      <w:r w:rsidR="00830A53">
        <w:t>in</w:t>
      </w:r>
      <w:r>
        <w:t xml:space="preserve"> TUs (P = 1.60x10</w:t>
      </w:r>
      <w:r>
        <w:rPr>
          <w:vertAlign w:val="superscript"/>
        </w:rPr>
        <w:t>-7</w:t>
      </w:r>
      <w:r>
        <w:t xml:space="preserve">) and enriched greater than 100kb away (P = 0.001) relative to the observed SIE distribution. </w:t>
      </w:r>
    </w:p>
    <w:p w14:paraId="6AB49379" w14:textId="3CAE65CD" w:rsidR="00D72599" w:rsidRDefault="00985821" w:rsidP="00391005">
      <w:pPr>
        <w:pStyle w:val="ListParagraph"/>
      </w:pPr>
      <w:r>
        <w:t>Together these data suggest that new insertions within TUs are selected against, and that accumulation is tolerated primarily in the poorly recombining, gene sparse regions of the genome where clusters can form and persist over long evol</w:t>
      </w:r>
      <w:r w:rsidR="00CD0872">
        <w:t>utionary timescales due to limited</w:t>
      </w:r>
      <w:r>
        <w:t xml:space="preserve"> selective constraints. Consequently, SIE distribution should be age dependent, with new insertions following a random distribution and older elements skewed away from the TUs. Whilst there is some evidence that SIEs within clusters are generally older than those outside, there is no suggestion that SIE age distribution differs </w:t>
      </w:r>
      <w:r w:rsidR="00D72599">
        <w:t>from randomly generated redistributions. This analysis is, however, confounded by the dominating proportion of ‘young’ SIEs (70 % LTR identity or greater; 96.52 % of all SIEs). Older elements alone exhibit depletion in TUs and enrichment greater than 100</w:t>
      </w:r>
      <w:r w:rsidR="009D2F9D">
        <w:t xml:space="preserve"> </w:t>
      </w:r>
      <w:r w:rsidR="00D72599">
        <w:t>kb away, but the sample size was too small for statistical robustness.</w:t>
      </w:r>
    </w:p>
    <w:p w14:paraId="1185990A" w14:textId="51134115" w:rsidR="00C32FAF" w:rsidRDefault="00D72599" w:rsidP="00391005">
      <w:pPr>
        <w:pStyle w:val="ListParagraph"/>
      </w:pPr>
      <w:r>
        <w:t xml:space="preserve"> </w:t>
      </w:r>
    </w:p>
    <w:p w14:paraId="4A6C4C40" w14:textId="60F2ABA8" w:rsidR="00C32FAF" w:rsidRDefault="00C32FAF" w:rsidP="00C32FAF">
      <w:pPr>
        <w:pStyle w:val="Heading4"/>
      </w:pPr>
      <w:r>
        <w:t xml:space="preserve">Overlaps with transcriptional units </w:t>
      </w:r>
    </w:p>
    <w:p w14:paraId="4E5747EF" w14:textId="742EFC05" w:rsidR="00871430" w:rsidRDefault="00FA576B" w:rsidP="00391005">
      <w:pPr>
        <w:pStyle w:val="ListParagraph"/>
      </w:pPr>
      <w:r>
        <w:t>Despite the evidence for enrichment away from transcribed regions</w:t>
      </w:r>
      <w:r w:rsidR="00EC68D1">
        <w:t>, 31.3 % of all elements and 35.8 % of S</w:t>
      </w:r>
      <w:r>
        <w:t>I</w:t>
      </w:r>
      <w:r w:rsidR="00EC68D1">
        <w:t xml:space="preserve">Es overlap TUs. </w:t>
      </w:r>
      <w:r>
        <w:t>Under random integration 4.9 % of insertion</w:t>
      </w:r>
      <w:r w:rsidR="00D65B95">
        <w:t>s</w:t>
      </w:r>
      <w:r>
        <w:t xml:space="preserve"> should be within exons, 3.1 % within UTRs, and the remaining 92.0 % within introns. However, the full dataset has significant enrichment of exon overlaps (10.1 %; P = 0.015), and the effect is greater in the SIE dataset with significant enrichment in both exons (38.3 %; P = 4.1x10</w:t>
      </w:r>
      <w:r>
        <w:rPr>
          <w:vertAlign w:val="superscript"/>
        </w:rPr>
        <w:t>-24</w:t>
      </w:r>
      <w:r>
        <w:t>) and 5’ UTRs (5.5 %; P = 0.005), and consequent depletion within introns (51.6 %; P = 1.3x10</w:t>
      </w:r>
      <w:r>
        <w:rPr>
          <w:vertAlign w:val="superscript"/>
        </w:rPr>
        <w:t>-18</w:t>
      </w:r>
      <w:r>
        <w:t xml:space="preserve">). There was no evidence for significant sense/anti-sense differences, as has been previously reported </w:t>
      </w:r>
      <w:r>
        <w:fldChar w:fldCharType="begin" w:fldLock="1"/>
      </w:r>
      <w:r w:rsidR="00A70F02">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fldChar w:fldCharType="separate"/>
      </w:r>
      <w:r w:rsidRPr="00FA576B">
        <w:rPr>
          <w:noProof/>
        </w:rPr>
        <w:t>(Bolisetty et al. 2012)</w:t>
      </w:r>
      <w:r>
        <w:fldChar w:fldCharType="end"/>
      </w:r>
      <w:r>
        <w:t xml:space="preserve">. </w:t>
      </w:r>
    </w:p>
    <w:p w14:paraId="41EDC93B" w14:textId="75442183" w:rsidR="009E7B4F" w:rsidRDefault="00B20ABF" w:rsidP="00391005">
      <w:pPr>
        <w:pStyle w:val="ListParagraph"/>
      </w:pPr>
      <w:r>
        <w:lastRenderedPageBreak/>
        <w:t>Many of the exonic overlaps were short (less than 10 bp), with most of the element within the neighbouring intron. It is possible that some of these definitions were therefore simply artefacts of poor element demarcation during identification. Despite this, the proximity to the exons is still of interest as it could affect, or even have created, splice sites in the containing gene. For those elements which complet</w:t>
      </w:r>
      <w:r w:rsidR="00E24916">
        <w:t>ely contained exons or even complete,</w:t>
      </w:r>
      <w:r>
        <w:t xml:space="preserve"> annotated genes, another o</w:t>
      </w:r>
      <w:r w:rsidR="003A2587">
        <w:t>bservation was that most</w:t>
      </w:r>
      <w:r>
        <w:t xml:space="preserve"> of these genes were categorised by Ensembl as “uncharacterised, known protein coding”, which in most cases means that there was some RNAseq data which supported expression at this site, but little else is known</w:t>
      </w:r>
      <w:r w:rsidR="00AA782C">
        <w:t xml:space="preserve">. </w:t>
      </w:r>
      <w:r w:rsidR="0097043D">
        <w:t>Additionally, most</w:t>
      </w:r>
      <w:r w:rsidR="00D34DF0">
        <w:t xml:space="preserve"> of these instances were single exon genes. It is </w:t>
      </w:r>
      <w:r w:rsidR="009E7B4F">
        <w:t xml:space="preserve">therefore </w:t>
      </w:r>
      <w:r w:rsidR="00D34DF0">
        <w:t>pos</w:t>
      </w:r>
      <w:r w:rsidR="009E7B4F">
        <w:t xml:space="preserve">sible </w:t>
      </w:r>
      <w:r w:rsidR="00D34DF0">
        <w:t>that the</w:t>
      </w:r>
      <w:r w:rsidR="009E7B4F">
        <w:t>se</w:t>
      </w:r>
      <w:r w:rsidR="00D34DF0">
        <w:t xml:space="preserve"> Ensembl ‘genes’ were only </w:t>
      </w:r>
      <w:r w:rsidR="009E7B4F">
        <w:t>annotated due to expression (in one or more</w:t>
      </w:r>
      <w:r w:rsidR="00D34DF0">
        <w:t xml:space="preserve"> tissues for </w:t>
      </w:r>
      <w:r w:rsidR="009E7B4F">
        <w:t xml:space="preserve">at least one submitted </w:t>
      </w:r>
      <w:r w:rsidR="00D34DF0">
        <w:t>dataset)</w:t>
      </w:r>
      <w:r w:rsidR="009E7B4F">
        <w:t xml:space="preserve"> from the LTR retrotransposon itself, and are not ‘true’</w:t>
      </w:r>
      <w:r w:rsidR="009A6B65">
        <w:t xml:space="preserve"> genes.</w:t>
      </w:r>
    </w:p>
    <w:p w14:paraId="2A5B2096" w14:textId="6ECA1695" w:rsidR="001869A2" w:rsidRDefault="001869A2" w:rsidP="00391005">
      <w:pPr>
        <w:pStyle w:val="ListParagraph"/>
      </w:pPr>
      <w:r>
        <w:t xml:space="preserve">It is, however, unlikely that all significant exon overlaps are a result of incorrect annotation. The two sets of constrained positions provide some evidence of biological significance. </w:t>
      </w:r>
      <w:r w:rsidR="00E24916">
        <w:t xml:space="preserve">A total of </w:t>
      </w:r>
      <w:r>
        <w:t>238 SIEs contain at least one constrained element and of these 82 have constrained elements from both lists, 82.9 % of whi</w:t>
      </w:r>
      <w:r w:rsidR="00830A53">
        <w:t>ch overlap exons. However,</w:t>
      </w:r>
      <w:r w:rsidR="00CD0872">
        <w:t xml:space="preserve"> some</w:t>
      </w:r>
      <w:r>
        <w:t xml:space="preserve"> overlaps are short and some of the constrained elements are themselves short, with a minimu</w:t>
      </w:r>
      <w:r w:rsidR="009A6B65">
        <w:t>m accepted length of 10</w:t>
      </w:r>
      <w:r w:rsidR="00467ACD">
        <w:t xml:space="preserve"> bp. Exon</w:t>
      </w:r>
      <w:r w:rsidR="006D56DF">
        <w:t xml:space="preserve"> overlaps may represent retrotransposon-derived exons or regulatory regions, or potential false positives which passed the feature tests. Most overlapped exons lack</w:t>
      </w:r>
      <w:r w:rsidR="00CD0872">
        <w:t>ed</w:t>
      </w:r>
      <w:r w:rsidR="006D56DF">
        <w:t xml:space="preserve"> any clear LTR retrotransposon homology through BLASTn, tBLASTx or domain pHMM analysis, even if the regions surrounding the overlapped feature have LTR retrotransposon homology. </w:t>
      </w:r>
      <w:r w:rsidR="00467ACD">
        <w:t xml:space="preserve">Whilst this may simply reflect selection and divergence of these retrotransposon derived sequences over time, it is worth noting that </w:t>
      </w:r>
      <w:r w:rsidR="00467ACD" w:rsidRPr="00467ACD">
        <w:rPr>
          <w:i/>
        </w:rPr>
        <w:t>Ovex1</w:t>
      </w:r>
      <w:r w:rsidR="00467ACD">
        <w:t xml:space="preserve">, a co-opted gammaretrovirus in the chicken genome (discussed below in section </w:t>
      </w:r>
      <w:r w:rsidR="00467ACD">
        <w:fldChar w:fldCharType="begin" w:fldLock="1"/>
      </w:r>
      <w:r w:rsidR="00467ACD">
        <w:instrText xml:space="preserve"> REF _Ref477931659 \r \h </w:instrText>
      </w:r>
      <w:r w:rsidR="00467ACD">
        <w:fldChar w:fldCharType="separate"/>
      </w:r>
      <w:r w:rsidR="002C549C">
        <w:t>3.7.1</w:t>
      </w:r>
      <w:r w:rsidR="00467ACD">
        <w:fldChar w:fldCharType="end"/>
      </w:r>
      <w:r w:rsidR="00467ACD">
        <w:t xml:space="preserve">), is found throughout the avian lineage and still retains clear LTR retrotransposon homology. </w:t>
      </w:r>
      <w:r w:rsidR="00E46640" w:rsidRPr="00467ACD">
        <w:t>The</w:t>
      </w:r>
      <w:r w:rsidR="00E46640">
        <w:t xml:space="preserve"> 5’ UTR overlaps potentially represent more interest, even if the overlaps are short, as the proximity to the start of the gene might suggest impact on gene expression or regulation. However, only a fifth of these UTR overlaps are LTRs (</w:t>
      </w:r>
      <w:r w:rsidR="009F5915">
        <w:t>which, when intact, have</w:t>
      </w:r>
      <w:r w:rsidR="00E46640">
        <w:t xml:space="preserve"> their own promoter activity).</w:t>
      </w:r>
    </w:p>
    <w:p w14:paraId="3E330CA3" w14:textId="1BC9E77B" w:rsidR="006D56DF" w:rsidRDefault="00830A53" w:rsidP="00391005">
      <w:pPr>
        <w:pStyle w:val="ListParagraph"/>
      </w:pPr>
      <w:r>
        <w:t xml:space="preserve">Only </w:t>
      </w:r>
      <w:r w:rsidR="004620D6">
        <w:t>29 LTRs from the</w:t>
      </w:r>
      <w:r w:rsidR="00E46640">
        <w:t xml:space="preserve"> 1,073 S</w:t>
      </w:r>
      <w:r w:rsidR="004620D6">
        <w:t xml:space="preserve">IEs </w:t>
      </w:r>
      <w:r w:rsidR="00E46640">
        <w:t xml:space="preserve">contain constrained elements, </w:t>
      </w:r>
      <w:r w:rsidR="004413BB">
        <w:t>with eight SIEs</w:t>
      </w:r>
      <w:r w:rsidR="004620D6">
        <w:t xml:space="preserve"> </w:t>
      </w:r>
      <w:r w:rsidR="004413BB">
        <w:t>exhibiting</w:t>
      </w:r>
      <w:r w:rsidR="004620D6">
        <w:t xml:space="preserve"> constrained elements in both LTRs. T</w:t>
      </w:r>
      <w:r w:rsidR="00E46640">
        <w:t xml:space="preserve">hese </w:t>
      </w:r>
      <w:r w:rsidR="004620D6">
        <w:t xml:space="preserve">constrained LTRs </w:t>
      </w:r>
      <w:r w:rsidR="00E46640">
        <w:t xml:space="preserve">largely overlap annotated exons rather than being potential standalone promoters under selection. </w:t>
      </w:r>
      <w:r w:rsidR="004620D6">
        <w:lastRenderedPageBreak/>
        <w:t>Overall, m</w:t>
      </w:r>
      <w:r w:rsidR="00E46640">
        <w:t>ost constrained element overlap</w:t>
      </w:r>
      <w:r w:rsidR="004620D6">
        <w:t xml:space="preserve">s with LTR retrotransposons appear to be with </w:t>
      </w:r>
      <w:r w:rsidR="00CD0872">
        <w:t xml:space="preserve">their </w:t>
      </w:r>
      <w:r w:rsidR="00E46640">
        <w:t>internal regions. However, it is important to recognise that regions are only classed as being under constraint if they are conserved b</w:t>
      </w:r>
      <w:r>
        <w:t xml:space="preserve">etween multiple species groups, so any insertion since the divergence from the turkey would not appear constrained, but could </w:t>
      </w:r>
      <w:r w:rsidR="009A6B65">
        <w:t xml:space="preserve">still </w:t>
      </w:r>
      <w:r>
        <w:t>have function.</w:t>
      </w:r>
    </w:p>
    <w:p w14:paraId="49F0B813" w14:textId="35A39F32" w:rsidR="00C32FAF" w:rsidRDefault="00C32FAF" w:rsidP="00391005">
      <w:pPr>
        <w:pStyle w:val="ListParagraph"/>
      </w:pPr>
    </w:p>
    <w:p w14:paraId="611F1708" w14:textId="4179D9D8" w:rsidR="00C32FAF" w:rsidRDefault="00C32FAF" w:rsidP="00C32FAF">
      <w:pPr>
        <w:pStyle w:val="Heading2"/>
      </w:pPr>
      <w:bookmarkStart w:id="209" w:name="_Ref485316972"/>
      <w:bookmarkStart w:id="210" w:name="_Toc485721597"/>
      <w:bookmarkStart w:id="211" w:name="_Toc486787177"/>
      <w:bookmarkStart w:id="212" w:name="_Toc486787325"/>
      <w:r>
        <w:t>Analysis of</w:t>
      </w:r>
      <w:r w:rsidR="002B5421">
        <w:t xml:space="preserve"> structurally intact</w:t>
      </w:r>
      <w:r>
        <w:t xml:space="preserve"> LTR retrotransposon expression</w:t>
      </w:r>
      <w:bookmarkEnd w:id="209"/>
      <w:bookmarkEnd w:id="210"/>
      <w:bookmarkEnd w:id="211"/>
      <w:bookmarkEnd w:id="212"/>
    </w:p>
    <w:p w14:paraId="461C1392" w14:textId="65FBAE62" w:rsidR="004A45BB" w:rsidRDefault="004A45BB" w:rsidP="00391005">
      <w:pPr>
        <w:pStyle w:val="ListParagraph"/>
      </w:pPr>
      <w:r>
        <w:t xml:space="preserve">A total of </w:t>
      </w:r>
      <w:r w:rsidR="00C26865">
        <w:t>379 (35.3 %) SIEs have detectabl</w:t>
      </w:r>
      <w:r>
        <w:t>e RNA expression in the correct orientation, with robust transcript models, in at least one of the twenty</w:t>
      </w:r>
      <w:r w:rsidR="00EE14D3">
        <w:t xml:space="preserve">-three </w:t>
      </w:r>
      <w:r w:rsidR="007B49C8">
        <w:t>tissues analysed. Expression wa</w:t>
      </w:r>
      <w:r>
        <w:t>s not biased towards younger elements or specific genera, but only 24.8 % of expressed SIEs are found within clusters. Expressed elements appear to follow a random distribution pattern relative to the Ensembl annotation, but those that overlap TUs are highly enriched in exons (47.1 %; P = 4.1x10</w:t>
      </w:r>
      <w:r>
        <w:rPr>
          <w:vertAlign w:val="superscript"/>
        </w:rPr>
        <w:t>-24</w:t>
      </w:r>
      <w:r>
        <w:t>). Only 31 SIEs exhibit ‘complete’ expression, defined as a transcript extending at least the element length without the LTRs</w:t>
      </w:r>
      <w:r w:rsidR="007B49C8">
        <w:t>. Again, there wa</w:t>
      </w:r>
      <w:r>
        <w:t xml:space="preserve">s no apparent bias for genera or insertion age. </w:t>
      </w:r>
    </w:p>
    <w:p w14:paraId="48E4B2D2" w14:textId="549F120C" w:rsidR="004A45BB" w:rsidRDefault="004A45BB" w:rsidP="00391005">
      <w:pPr>
        <w:pStyle w:val="ListParagraph"/>
      </w:pPr>
      <w:r>
        <w:t>Two thirds of all complete transcripts can be found in at least one embryo stage, but there is no evidence for significantly elevated expression at the earliest stage. Incomplete transcription of LTR retrotransposons across all 379 SIEs</w:t>
      </w:r>
      <w:r w:rsidR="007079BF">
        <w:t xml:space="preserve"> may support</w:t>
      </w:r>
      <w:r>
        <w:t xml:space="preserve"> a gradual </w:t>
      </w:r>
      <w:r w:rsidR="007079BF">
        <w:t>d</w:t>
      </w:r>
      <w:r>
        <w:t xml:space="preserve">ecline </w:t>
      </w:r>
      <w:r w:rsidR="007079BF">
        <w:t xml:space="preserve">of expression </w:t>
      </w:r>
      <w:r>
        <w:t xml:space="preserve">through the three analysed embryonic stages (186, 168 and 144 SIEs expressed respectively). </w:t>
      </w:r>
      <w:r w:rsidR="007079BF">
        <w:t xml:space="preserve">Pancreas and ovary were the most represented </w:t>
      </w:r>
      <w:r w:rsidR="00FD6E80">
        <w:t>adult</w:t>
      </w:r>
      <w:r w:rsidR="007079BF">
        <w:t xml:space="preserve"> tissues (each had 143 elements with at least fragmented expression, with 49.7 % overlap between the two tissues), but overall have the 6</w:t>
      </w:r>
      <w:r w:rsidR="007079BF" w:rsidRPr="007079BF">
        <w:rPr>
          <w:vertAlign w:val="superscript"/>
        </w:rPr>
        <w:t>th</w:t>
      </w:r>
      <w:r w:rsidR="007079BF">
        <w:t xml:space="preserve"> and 15</w:t>
      </w:r>
      <w:r w:rsidR="007079BF" w:rsidRPr="007079BF">
        <w:rPr>
          <w:vertAlign w:val="superscript"/>
        </w:rPr>
        <w:t>th</w:t>
      </w:r>
      <w:r w:rsidR="007079BF">
        <w:t xml:space="preserve"> highest transcript model coverage of the genome. This suggests element expression may be tissue specific, rather than simply related to the quantity of RNA expressed by a specific tissue across the genome.</w:t>
      </w:r>
    </w:p>
    <w:p w14:paraId="1DF36D6D" w14:textId="1797CA2D" w:rsidR="007079BF" w:rsidRDefault="007079BF" w:rsidP="00391005">
      <w:pPr>
        <w:pStyle w:val="ListParagraph"/>
      </w:pPr>
      <w:r>
        <w:t xml:space="preserve">Most identified LTR retrotransposon transcripts have high frequencies of closely interspersed stop codons in all three translated forward frames. </w:t>
      </w:r>
      <w:r w:rsidR="00066A7E">
        <w:t xml:space="preserve">However, there are examples of potentially full length protein products. One SIE on chromosome 8 (8: 10,499,515-10,505,342) has a long open reading frame (ORF) with high homology to the betaretrovirus </w:t>
      </w:r>
      <w:r w:rsidR="00066A7E">
        <w:rPr>
          <w:i/>
        </w:rPr>
        <w:t>polymerase</w:t>
      </w:r>
      <w:r w:rsidR="00066A7E">
        <w:t xml:space="preserve"> polyprotein and was found to be expressed in embryo </w:t>
      </w:r>
      <w:r w:rsidR="00066A7E">
        <w:lastRenderedPageBreak/>
        <w:t xml:space="preserve">stages HH14-15 and HH25-26. A second SIE (4: 85,449,603-85,458,772) has two long ORFs in the first reading frame with high homology to </w:t>
      </w:r>
      <w:r w:rsidR="00066A7E">
        <w:rPr>
          <w:i/>
        </w:rPr>
        <w:t>gag</w:t>
      </w:r>
      <w:r w:rsidR="00066A7E">
        <w:t xml:space="preserve"> and </w:t>
      </w:r>
      <w:r w:rsidR="00066A7E">
        <w:rPr>
          <w:i/>
        </w:rPr>
        <w:t>polymerase</w:t>
      </w:r>
      <w:r w:rsidR="00066A7E">
        <w:t xml:space="preserve"> respectively, and a third long ORF in the second reading frame with high homology for the </w:t>
      </w:r>
      <w:r w:rsidR="00066A7E">
        <w:rPr>
          <w:i/>
        </w:rPr>
        <w:t>envelope</w:t>
      </w:r>
      <w:r w:rsidR="00066A7E">
        <w:t xml:space="preserve"> polyprotein</w:t>
      </w:r>
      <w:r w:rsidR="00A70F02">
        <w:t xml:space="preserve">, all from gammaretroviruses. Whilst the </w:t>
      </w:r>
      <w:r w:rsidR="00A70F02">
        <w:rPr>
          <w:i/>
        </w:rPr>
        <w:t>gag</w:t>
      </w:r>
      <w:r w:rsidR="00A70F02">
        <w:t xml:space="preserve"> and </w:t>
      </w:r>
      <w:r w:rsidR="00A70F02">
        <w:rPr>
          <w:i/>
        </w:rPr>
        <w:t>polymerase</w:t>
      </w:r>
      <w:r w:rsidR="00A70F02">
        <w:t xml:space="preserve"> putative proteins lack some domains, the </w:t>
      </w:r>
      <w:r w:rsidR="00A70F02">
        <w:rPr>
          <w:i/>
        </w:rPr>
        <w:t>envelope</w:t>
      </w:r>
      <w:r w:rsidR="00A70F02">
        <w:t xml:space="preserve"> ORF encodes Ovex1 (GenBank: NP_001159385.1</w:t>
      </w:r>
      <w:r w:rsidR="001C7923">
        <w:t xml:space="preserve">; </w:t>
      </w:r>
      <w:r w:rsidR="001C7923" w:rsidRPr="00CD0872">
        <w:fldChar w:fldCharType="begin" w:fldLock="1"/>
      </w:r>
      <w:r w:rsidR="001C7923" w:rsidRPr="00CD0872">
        <w:instrText xml:space="preserve"> REF _Ref478109037 \h </w:instrText>
      </w:r>
      <w:r w:rsidR="00CD0872" w:rsidRPr="00CD0872">
        <w:instrText xml:space="preserve"> \* MERGEFORMAT </w:instrText>
      </w:r>
      <w:r w:rsidR="001C7923" w:rsidRPr="00CD0872">
        <w:fldChar w:fldCharType="separate"/>
      </w:r>
      <w:r w:rsidR="002C549C" w:rsidRPr="00CD0872">
        <w:t xml:space="preserve">Figure </w:t>
      </w:r>
      <w:r w:rsidR="002C549C">
        <w:rPr>
          <w:noProof/>
        </w:rPr>
        <w:t>3</w:t>
      </w:r>
      <w:r w:rsidR="002C549C" w:rsidRPr="00CD0872">
        <w:rPr>
          <w:noProof/>
        </w:rPr>
        <w:t>.</w:t>
      </w:r>
      <w:r w:rsidR="002C549C">
        <w:rPr>
          <w:noProof/>
        </w:rPr>
        <w:t>7</w:t>
      </w:r>
      <w:r w:rsidR="001C7923" w:rsidRPr="00CD0872">
        <w:fldChar w:fldCharType="end"/>
      </w:r>
      <w:r w:rsidR="00A70F02">
        <w:t xml:space="preserve">), a previously described </w:t>
      </w:r>
      <w:r w:rsidR="0065230C">
        <w:t xml:space="preserve">873 amino acid </w:t>
      </w:r>
      <w:r w:rsidR="00A70F02">
        <w:t xml:space="preserve">protein of known </w:t>
      </w:r>
      <w:r w:rsidR="00E24916">
        <w:t>gamma</w:t>
      </w:r>
      <w:r w:rsidR="00A70F02">
        <w:t xml:space="preserve">retroviral origin </w:t>
      </w:r>
      <w:r w:rsidR="00A70F02">
        <w:fldChar w:fldCharType="begin" w:fldLock="1"/>
      </w:r>
      <w:r w:rsidR="003934DE">
        <w:instrText>ADDIN CSL_CITATION { "citationItems" : [ { "id" : "ITEM-1",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"ITEM-1", "issued" : { "date-parts" : [ [ "2009", "1" ] ] }, "page" : "59", "title" : "OVEX1, a novel chicken endogenous retrovirus with sex-specific and left-right asymmetrical expression in gonads.", "type" : "article-journal", "volume" : "6" }, "uris" : [ "http://www.mendeley.com/documents/?uuid=3d9a038e-2cd6-43ab-9514-6e34db462e92" ] } ], "mendeley" : { "formattedCitation" : "(Carr\u00e9-Eus\u00e8be et al. 2009)", "plainTextFormattedCitation" : "(Carr\u00e9-Eus\u00e8be et al. 2009)", "previouslyFormattedCitation" : "(Carr\u00e9-Eus\u00e8be et al. 2009)" }, "properties" : { "noteIndex" : 0 }, "schema" : "https://github.com/citation-style-language/schema/raw/master/csl-citation.json" }</w:instrText>
      </w:r>
      <w:r w:rsidR="00A70F02">
        <w:fldChar w:fldCharType="separate"/>
      </w:r>
      <w:r w:rsidR="00A70F02" w:rsidRPr="00A70F02">
        <w:rPr>
          <w:noProof/>
        </w:rPr>
        <w:t>(Carré-Eusèbe et al. 2009)</w:t>
      </w:r>
      <w:r w:rsidR="00A70F02">
        <w:fldChar w:fldCharType="end"/>
      </w:r>
      <w:r w:rsidR="00A70F02">
        <w:t xml:space="preserve">. </w:t>
      </w:r>
    </w:p>
    <w:p w14:paraId="5FE981F4" w14:textId="77777777" w:rsidR="001C7923" w:rsidRPr="003A3EAD" w:rsidRDefault="001C7923" w:rsidP="00391005">
      <w:pPr>
        <w:pStyle w:val="ListParagraph"/>
      </w:pPr>
    </w:p>
    <w:p w14:paraId="7C3A50DD" w14:textId="6E4CD4E9" w:rsidR="001C7923" w:rsidRDefault="001C7923" w:rsidP="00CD0872">
      <w:pPr>
        <w:pStyle w:val="ListParagraph"/>
        <w:jc w:val="center"/>
      </w:pPr>
      <w:r>
        <w:rPr>
          <w:noProof/>
          <w:lang w:eastAsia="en-GB"/>
        </w:rPr>
        <w:drawing>
          <wp:inline distT="0" distB="0" distL="0" distR="0" wp14:anchorId="1490D766" wp14:editId="5234BD9E">
            <wp:extent cx="5408294" cy="1319916"/>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902" r="902"/>
                    <a:stretch/>
                  </pic:blipFill>
                  <pic:spPr bwMode="auto">
                    <a:xfrm>
                      <a:off x="0" y="0"/>
                      <a:ext cx="5435677" cy="1326599"/>
                    </a:xfrm>
                    <a:prstGeom prst="rect">
                      <a:avLst/>
                    </a:prstGeom>
                    <a:noFill/>
                    <a:ln>
                      <a:noFill/>
                    </a:ln>
                    <a:extLst>
                      <a:ext uri="{53640926-AAD7-44D8-BBD7-CCE9431645EC}">
                        <a14:shadowObscured xmlns:a14="http://schemas.microsoft.com/office/drawing/2010/main"/>
                      </a:ext>
                    </a:extLst>
                  </pic:spPr>
                </pic:pic>
              </a:graphicData>
            </a:graphic>
          </wp:inline>
        </w:drawing>
      </w:r>
    </w:p>
    <w:p w14:paraId="44ED24AF" w14:textId="227F96FC" w:rsidR="001C7923" w:rsidRPr="003158D1" w:rsidRDefault="001C7923" w:rsidP="001C7923">
      <w:pPr>
        <w:pStyle w:val="Figure"/>
      </w:pPr>
      <w:bookmarkStart w:id="213" w:name="_Ref478109037"/>
      <w:bookmarkStart w:id="214" w:name="_Toc486785433"/>
      <w:r w:rsidRPr="00CD0872">
        <w:t xml:space="preserve">Figure </w:t>
      </w:r>
      <w:fldSimple w:instr=" STYLEREF 1 \s " w:fldLock="1">
        <w:r w:rsidR="002C549C">
          <w:rPr>
            <w:noProof/>
          </w:rPr>
          <w:t>3</w:t>
        </w:r>
      </w:fldSimple>
      <w:r w:rsidR="001167C6" w:rsidRPr="00CD0872">
        <w:t>.</w:t>
      </w:r>
      <w:fldSimple w:instr=" SEQ Figure \* ARABIC \s 1 " w:fldLock="1">
        <w:r w:rsidR="002C549C">
          <w:rPr>
            <w:noProof/>
          </w:rPr>
          <w:t>7</w:t>
        </w:r>
      </w:fldSimple>
      <w:bookmarkEnd w:id="213"/>
      <w:r>
        <w:t xml:space="preserve"> </w:t>
      </w:r>
      <w:r w:rsidR="008E3084">
        <w:rPr>
          <w:i/>
        </w:rPr>
        <w:t>Ovex1</w:t>
      </w:r>
      <w:r w:rsidR="008E3084">
        <w:t xml:space="preserve"> schematic showing the long </w:t>
      </w:r>
      <w:r w:rsidR="008E3084">
        <w:rPr>
          <w:i/>
        </w:rPr>
        <w:t>gag-pol</w:t>
      </w:r>
      <w:r w:rsidR="008E3084">
        <w:t xml:space="preserve"> 5’UTR and </w:t>
      </w:r>
      <w:r w:rsidR="008E3084">
        <w:rPr>
          <w:i/>
        </w:rPr>
        <w:t>envelope</w:t>
      </w:r>
      <w:r w:rsidR="008E3084">
        <w:t>-derived exon, promoted by the 5’ LTR. The two LTR locations are shown</w:t>
      </w:r>
      <w:r w:rsidR="00CD0872">
        <w:t>,</w:t>
      </w:r>
      <w:r w:rsidR="008E3084">
        <w:t xml:space="preserve"> as are the recognisable </w:t>
      </w:r>
      <w:r w:rsidR="008E3084" w:rsidRPr="008E3084">
        <w:t>reverse transcriptase</w:t>
      </w:r>
      <w:r w:rsidR="008E3084">
        <w:t xml:space="preserve"> (RT), RNaseH and integrase (INT) features identified by pHMM analysis. The lower line of red bars show the regions under constraint from the Ensembl alignment of seven sauropsid genomes. </w:t>
      </w:r>
      <w:r w:rsidR="003158D1">
        <w:t xml:space="preserve">The location information shows the position of </w:t>
      </w:r>
      <w:r w:rsidR="003158D1">
        <w:rPr>
          <w:i/>
        </w:rPr>
        <w:t>Ovex1</w:t>
      </w:r>
      <w:r w:rsidR="003158D1">
        <w:t xml:space="preserve"> on chromosome 4.</w:t>
      </w:r>
      <w:bookmarkEnd w:id="214"/>
    </w:p>
    <w:p w14:paraId="5F279BEA" w14:textId="082BEAA5" w:rsidR="00C32FAF" w:rsidRDefault="00A70F02" w:rsidP="00391005">
      <w:pPr>
        <w:pStyle w:val="ListParagraph"/>
      </w:pPr>
      <w:r>
        <w:t xml:space="preserve">No putative </w:t>
      </w:r>
      <w:r w:rsidR="00FD6E80">
        <w:t>transcripts</w:t>
      </w:r>
      <w:r>
        <w:t xml:space="preserve"> were identified from alpharetroviral elements</w:t>
      </w:r>
      <w:r w:rsidR="00E24916">
        <w:t xml:space="preserve">, although the many </w:t>
      </w:r>
      <w:r w:rsidR="00B45355">
        <w:t xml:space="preserve">intact alpharetroviral LTRs could provide the basis for novel or alternative promoter activity, as could those from other retroviral genera. Both </w:t>
      </w:r>
      <w:r w:rsidR="007B49C8">
        <w:t xml:space="preserve">the </w:t>
      </w:r>
      <w:r w:rsidR="00B45355">
        <w:t xml:space="preserve">intact </w:t>
      </w:r>
      <w:r w:rsidR="00B45355">
        <w:rPr>
          <w:i/>
        </w:rPr>
        <w:t>polymerase</w:t>
      </w:r>
      <w:r w:rsidR="00B45355">
        <w:t xml:space="preserve"> putative proteins identified above have recognisable reverse transcriptase and RNaseH domains, which suggests they retain the ability to transpose other repeats, including non-autonomous elements. </w:t>
      </w:r>
    </w:p>
    <w:p w14:paraId="11AF1603" w14:textId="77777777" w:rsidR="00B45355" w:rsidRDefault="00B45355" w:rsidP="00391005">
      <w:pPr>
        <w:pStyle w:val="ListParagraph"/>
      </w:pPr>
    </w:p>
    <w:p w14:paraId="70B73B0E" w14:textId="72E96576" w:rsidR="00C32FAF" w:rsidRDefault="006049D1" w:rsidP="00C32FAF">
      <w:pPr>
        <w:pStyle w:val="Heading3"/>
      </w:pPr>
      <w:bookmarkStart w:id="215" w:name="_Ref477931659"/>
      <w:bookmarkStart w:id="216" w:name="_Toc485721598"/>
      <w:bookmarkStart w:id="217" w:name="_Toc486787178"/>
      <w:bookmarkStart w:id="218" w:name="_Toc486787326"/>
      <w:r>
        <w:t>C</w:t>
      </w:r>
      <w:r w:rsidR="00C32FAF">
        <w:t>haracterisation of Ovex1, the co-opted endogenous gammaretrovirus</w:t>
      </w:r>
      <w:bookmarkEnd w:id="215"/>
      <w:bookmarkEnd w:id="216"/>
      <w:bookmarkEnd w:id="217"/>
      <w:bookmarkEnd w:id="218"/>
    </w:p>
    <w:p w14:paraId="23C9758F" w14:textId="5FBCDECA" w:rsidR="00EE14D3" w:rsidRDefault="00804D7A" w:rsidP="00391005">
      <w:pPr>
        <w:pStyle w:val="ListParagraph"/>
      </w:pPr>
      <w:r>
        <w:t xml:space="preserve">In their original characterisation, Carré-Eusèbe and colleagues (2009) determined that chicken </w:t>
      </w:r>
      <w:r>
        <w:rPr>
          <w:i/>
        </w:rPr>
        <w:t>Ovex1</w:t>
      </w:r>
      <w:r>
        <w:t xml:space="preserve"> RNA was limited to the gonads, but the </w:t>
      </w:r>
      <w:r w:rsidR="00E24916">
        <w:t>RNAseq analysis described in the current study</w:t>
      </w:r>
      <w:r>
        <w:t xml:space="preserve"> supports ubiquitous expression, with full-length transcript models </w:t>
      </w:r>
      <w:r>
        <w:lastRenderedPageBreak/>
        <w:t xml:space="preserve">generated for ten adult tissues, including the ovary, and stage HH4-5 in the embryo data. Furthermore, the other </w:t>
      </w:r>
      <w:r w:rsidR="006C6418">
        <w:t xml:space="preserve">RNAseq </w:t>
      </w:r>
      <w:r w:rsidR="005350DE">
        <w:t xml:space="preserve">datasets </w:t>
      </w:r>
      <w:r w:rsidR="006C6418">
        <w:t>had</w:t>
      </w:r>
      <w:r>
        <w:t xml:space="preserve"> expression across the region, but at a level below the threshold required for transcript model construction in Cufflinks. </w:t>
      </w:r>
      <w:r w:rsidR="005350DE">
        <w:t>Whilst expression in the ovary wa</w:t>
      </w:r>
      <w:r>
        <w:t>s the highest in the analysis (over 1000 times m</w:t>
      </w:r>
      <w:r w:rsidR="00E24916">
        <w:t>ore read support than in spleen, the least supported</w:t>
      </w:r>
      <w:r>
        <w:t xml:space="preserve"> intact transcript model), </w:t>
      </w:r>
      <w:r>
        <w:rPr>
          <w:i/>
        </w:rPr>
        <w:t>Ovex1</w:t>
      </w:r>
      <w:r w:rsidR="00CD0872">
        <w:t xml:space="preserve"> expression wa</w:t>
      </w:r>
      <w:r>
        <w:t xml:space="preserve">s not solely limited to the gonad and may have a more general function. </w:t>
      </w:r>
    </w:p>
    <w:p w14:paraId="521BF9AC" w14:textId="7F168F66" w:rsidR="003934DE" w:rsidRDefault="00AE6989" w:rsidP="00391005">
      <w:pPr>
        <w:pStyle w:val="ListParagraph"/>
      </w:pPr>
      <w:r>
        <w:t xml:space="preserve">InterPro analysis of the Ovex1 protein identified one transmembrane (TM) domain </w:t>
      </w:r>
      <w:r w:rsidR="00F43F00">
        <w:t>22-47 residues away from</w:t>
      </w:r>
      <w:r>
        <w:t xml:space="preserve"> t</w:t>
      </w:r>
      <w:r w:rsidR="00F43F00">
        <w:t>he protein carboxyl-terminus</w:t>
      </w:r>
      <w:r w:rsidR="006C6418">
        <w:t>,</w:t>
      </w:r>
      <w:r w:rsidR="00F43F00">
        <w:t xml:space="preserve"> as well as</w:t>
      </w:r>
      <w:r>
        <w:t xml:space="preserve"> several protein</w:t>
      </w:r>
      <w:r w:rsidR="0099351B">
        <w:t>-protein interactio</w:t>
      </w:r>
      <w:r w:rsidR="00F43F00">
        <w:t>n site</w:t>
      </w:r>
      <w:r w:rsidR="0099351B">
        <w:t>s</w:t>
      </w:r>
      <w:r w:rsidR="0082781E">
        <w:t xml:space="preserve"> (</w:t>
      </w:r>
      <w:r w:rsidR="0082781E" w:rsidRPr="00CD0872">
        <w:fldChar w:fldCharType="begin" w:fldLock="1"/>
      </w:r>
      <w:r w:rsidR="0082781E" w:rsidRPr="00CD0872">
        <w:instrText xml:space="preserve"> REF _Ref478109706 \h </w:instrText>
      </w:r>
      <w:r w:rsidR="00CD0872" w:rsidRPr="00CD0872">
        <w:instrText xml:space="preserve"> \* MERGEFORMAT </w:instrText>
      </w:r>
      <w:r w:rsidR="0082781E" w:rsidRPr="00CD0872">
        <w:fldChar w:fldCharType="separate"/>
      </w:r>
      <w:r w:rsidR="002C549C" w:rsidRPr="00B850A2">
        <w:t xml:space="preserve">Figure </w:t>
      </w:r>
      <w:r w:rsidR="002C549C">
        <w:rPr>
          <w:noProof/>
        </w:rPr>
        <w:t>3</w:t>
      </w:r>
      <w:r w:rsidR="002C549C" w:rsidRPr="00B850A2">
        <w:rPr>
          <w:noProof/>
        </w:rPr>
        <w:t>.</w:t>
      </w:r>
      <w:r w:rsidR="002C549C">
        <w:rPr>
          <w:noProof/>
        </w:rPr>
        <w:t>8</w:t>
      </w:r>
      <w:r w:rsidR="0082781E" w:rsidRPr="00CD0872">
        <w:fldChar w:fldCharType="end"/>
      </w:r>
      <w:r w:rsidR="0082781E">
        <w:t xml:space="preserve">). </w:t>
      </w:r>
      <w:r w:rsidR="00F43F00">
        <w:t xml:space="preserve">In comparison, the envelope proteins of </w:t>
      </w:r>
      <w:r w:rsidR="0099351B">
        <w:t>reference beta-, delta-, epsilon- and, most relevantly, gammaretrovirus</w:t>
      </w:r>
      <w:r w:rsidR="00F43F00">
        <w:t>es</w:t>
      </w:r>
      <w:r w:rsidR="006C6418">
        <w:t xml:space="preserve"> exhibit</w:t>
      </w:r>
      <w:r w:rsidR="0099351B">
        <w:t xml:space="preserve"> two </w:t>
      </w:r>
      <w:r w:rsidR="00F43F00">
        <w:t>TM</w:t>
      </w:r>
      <w:r w:rsidR="0099351B">
        <w:t xml:space="preserve"> domains near the carboxyl-terminus: approximat</w:t>
      </w:r>
      <w:r w:rsidR="00F43F00">
        <w:t>ely 30-55</w:t>
      </w:r>
      <w:r w:rsidR="0099351B">
        <w:t xml:space="preserve"> </w:t>
      </w:r>
      <w:r w:rsidR="00F43F00">
        <w:t>and 205</w:t>
      </w:r>
      <w:r w:rsidR="0099351B">
        <w:t>-230 residues from the end</w:t>
      </w:r>
      <w:r w:rsidR="00F43F00">
        <w:t xml:space="preserve">. </w:t>
      </w:r>
      <w:r w:rsidR="00AC7ED5">
        <w:t xml:space="preserve">The Phobius predictions for Ovex1 and the reference envelope proteins identified the region from the N-terminus to the first TM domain as non-cytoplasmic. This is consistent with all envelope protein annotations, </w:t>
      </w:r>
      <w:r w:rsidR="00AA21E5">
        <w:t>as the N-terminal two thirds</w:t>
      </w:r>
      <w:r w:rsidR="00AC7ED5">
        <w:t xml:space="preserve"> of the protein forms the surface </w:t>
      </w:r>
      <w:r w:rsidR="00AA21E5">
        <w:t>domain, and the carboxyl-end forms the TM domain.</w:t>
      </w:r>
      <w:r w:rsidR="003934DE">
        <w:t xml:space="preserve"> In exogenous retroviruses translated envelope protein is spliced into its two constituent domains which then form </w:t>
      </w:r>
      <w:r w:rsidR="005350DE">
        <w:t xml:space="preserve">a </w:t>
      </w:r>
      <w:r w:rsidR="003934DE">
        <w:t>heterodimer, and a subsequent homotrimer of these heterodimers forms the retroviral envelope</w:t>
      </w:r>
      <w:r w:rsidR="005350DE">
        <w:t xml:space="preserve"> subunits</w:t>
      </w:r>
      <w:r w:rsidR="003934DE">
        <w:t xml:space="preserve">. Other examples of host co-opted gammaretroviruses, notably the mammalian </w:t>
      </w:r>
      <w:r w:rsidR="003934DE">
        <w:rPr>
          <w:i/>
        </w:rPr>
        <w:t>syncytin</w:t>
      </w:r>
      <w:r w:rsidR="003934DE">
        <w:t xml:space="preserve"> placental genes and murine antiviral receptor genes </w:t>
      </w:r>
      <w:r w:rsidR="003934DE">
        <w:rPr>
          <w:i/>
        </w:rPr>
        <w:t>Fv4</w:t>
      </w:r>
      <w:r w:rsidR="003934DE">
        <w:t xml:space="preserve"> and </w:t>
      </w:r>
      <w:r w:rsidR="003934DE">
        <w:rPr>
          <w:i/>
        </w:rPr>
        <w:t>Rcmf</w:t>
      </w:r>
      <w:r w:rsidR="003934DE">
        <w:t xml:space="preserve">, continue to form this homotrimer for their host function </w:t>
      </w:r>
      <w:r w:rsidR="003934DE">
        <w:fldChar w:fldCharType="begin" w:fldLock="1"/>
      </w:r>
      <w:r w:rsidR="00F15E5B">
        <w:instrText>ADDIN CSL_CITATION { "citationItems" : [ { "id" : "ITEM-1", "itemData" : { "DOI" : "10.1016/j.bbrc.2005.04.032", "ISBN" : "0006-291X (Print)\r0006-291X (Linking)", "ISSN" : "0006-291X", "PMID" : "15883002", "abstract" : "Syncytin is a captive retroviral envelope protein, possibly involved in the formation of the placental syncytiotrophoblast layer generated by trophoblast cell fusion at the maternal-fetal interface. We found that syncytin and type I viral envelope proteins shared similar structural profiling, especially in the regions of N- and C-terminal heptad repeats (NHR and CHR). We expressed the predicted regions of NHR (41aa) and CHR (34aa) in syncytin as a native single chain (named 2-helix protein) to characterize it. 2-Helix protein exists as a trimer and is highly alpha-helix, thermo-stable, and denatured by low pH. NHR and CHR could form a protease-resistant complex. The complex structure built by the molecular docking demonstrated that NHR and CHR associated in an antiparallel manner. Overall, the 2-helix protein could form a thermo-stable coiled coil trimer. The fusion core structure of syncytin was first demonstrated in endogenous retrovirus. These results support the explanation how syncytin mediates cytotrophoblast cell fusion involved in placental morphogenesis.", "author" : [ { "dropping-particle" : "", "family" : "Gong", "given" : "Rui", "non-dropping-particle" : "", "parse-names" : false, "suffix" : "" }, { "dropping-particle" : "", "family" : "Peng", "given" : "Xiaoxue", "non-dropping-particle" : "", "parse-names" : false, "suffix" : "" }, { "dropping-particle" : "", "family" : "Kang", "given" : "Shuli", "non-dropping-particle" : "", "parse-names" : false, "suffix" : "" }, { "dropping-particle" : "", "family" : "Feng", "given" : "Huixing", "non-dropping-particle" : "", "parse-names" : false, "suffix" : "" }, { "dropping-particle" : "", "family" : "Huang", "given" : "Jianying", "non-dropping-particle" : "", "parse-names" : false, "suffix" : "" }, { "dropping-particle" : "", "family" : "Zhang", "given" : "Wentao", "non-dropping-particle" : "", "parse-names" : false, "suffix" : "" }, { "dropping-particle" : "", "family" : "Lin", "given" : "Donghai", "non-dropping-particle" : "", "parse-names" : false, "suffix" : "" }, { "dropping-particle" : "", "family" : "Tien", "given" : "Po", "non-dropping-particle" : "", "parse-names" : false, "suffix" : "" }, { "dropping-particle" : "", "family" : "Xiao", "given" : "Gengfu", "non-dropping-particle" : "", "parse-names" : false, "suffix" : "" } ], "container-title" : "Biochemical and biophysical research communications", "id" : "ITEM-1", "issue" : "4", "issued" : { "date-parts" : [ [ "2005" ] ] }, "page" : "1193-1200", "title" : "Structural characterization of the fusion core in syncytin, envelope protein of human endogenous retrovirus family W.", "type" : "article-journal", "volume" : "331" }, "uris" : [ "http://www.mendeley.com/documents/?uuid=c4f925e1-8cbd-4453-8f01-934ffcbc9286" ] }, { "id" : "ITEM-2", "itemData" : { "author" : [ { "dropping-particle" : "", "family" : "Lavialle", "given" : "Christian", "non-dropping-particle" : "", "parse-names" : false, "suffix" : "" }, { "dropping-particle" : "", "family" : "Cornelis", "given" : "G", "non-dropping-particle" : "", "parse-names" : false, "suffix" : "" }, { "dropping-particle" : "", "family" : "Dupressoir", "given" : "A", "non-dropping-particle" : "", "parse-names" : false, "suffix" : "" }, { "dropping-particle" : "", "family" : "Esnault", "given" : "C", "non-dropping-particle" : "", "parse-names" : false, "suffix" : "" }, { "dropping-particle" : "", "family" : "Heidmann", "given" : "O", "non-dropping-particle" : "", "parse-names" : false, "suffix" : "" }, { "dropping-particle" : "", "family" : "Vernochet", "given" : "C", "non-dropping-particle" : "", "parse-names" : false, "suffix" : "" }, { "dropping-particle" : "", "family" : "Heidmann", "given" : "T", "non-dropping-particle" : "", "parse-names" : false, "suffix" : "" } ], "container-title" : "Philosophical transactions of the Royal Society of London. Series B, Biological sciences", "id" : "ITEM-2", "issue" : "20120507", "issued" : { "date-parts" : [ [ "2013" ] ] }, "title" : "Paleovirology of 'syncytins', retroviral env genes exapted for a role in placentation", "type" : "article-journal", "volume" : "368" }, "uris" : [ "http://www.mendeley.com/documents/?uuid=983b4bb3-4038-48af-9eb5-813ad3fe4fc9" ] } ], "mendeley" : { "formattedCitation" : "(Gong et al. 2005; Lavialle et al. 2013)", "plainTextFormattedCitation" : "(Gong et al. 2005; Lavialle et al. 2013)", "previouslyFormattedCitation" : "(Gong et al. 2005; Lavialle et al. 2013)" }, "properties" : { "noteIndex" : 0 }, "schema" : "https://github.com/citation-style-language/schema/raw/master/csl-citation.json" }</w:instrText>
      </w:r>
      <w:r w:rsidR="003934DE">
        <w:fldChar w:fldCharType="separate"/>
      </w:r>
      <w:r w:rsidR="003934DE" w:rsidRPr="003934DE">
        <w:rPr>
          <w:noProof/>
        </w:rPr>
        <w:t>(Gong et al. 2005; Lavialle et al. 2013)</w:t>
      </w:r>
      <w:r w:rsidR="003934DE">
        <w:fldChar w:fldCharType="end"/>
      </w:r>
      <w:r w:rsidR="003934DE">
        <w:t xml:space="preserve">. The presence of putative protein-protein interaction sites suggests that </w:t>
      </w:r>
      <w:r w:rsidR="003934DE" w:rsidRPr="003934DE">
        <w:rPr>
          <w:i/>
        </w:rPr>
        <w:t>Ovex1</w:t>
      </w:r>
      <w:r w:rsidR="003934DE">
        <w:t xml:space="preserve"> products could also form these functional homotrimer complexes. </w:t>
      </w:r>
    </w:p>
    <w:p w14:paraId="5B877AE1" w14:textId="436F4E71" w:rsidR="001C7923" w:rsidRPr="00CD0872" w:rsidRDefault="001C7923" w:rsidP="00391005">
      <w:pPr>
        <w:pStyle w:val="ListParagraph"/>
        <w:rPr>
          <w:sz w:val="16"/>
        </w:rPr>
      </w:pPr>
    </w:p>
    <w:p w14:paraId="47072429" w14:textId="694D0218" w:rsidR="001C7923" w:rsidRDefault="0082781E" w:rsidP="00CD0872">
      <w:pPr>
        <w:pStyle w:val="ListParagraph"/>
        <w:jc w:val="center"/>
      </w:pPr>
      <w:r>
        <w:rPr>
          <w:noProof/>
          <w:lang w:eastAsia="en-GB"/>
        </w:rPr>
        <w:drawing>
          <wp:inline distT="0" distB="0" distL="0" distR="0" wp14:anchorId="5A9B5006" wp14:editId="31CD0C74">
            <wp:extent cx="5267325" cy="4402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8757" cy="442843"/>
                    </a:xfrm>
                    <a:prstGeom prst="rect">
                      <a:avLst/>
                    </a:prstGeom>
                    <a:noFill/>
                  </pic:spPr>
                </pic:pic>
              </a:graphicData>
            </a:graphic>
          </wp:inline>
        </w:drawing>
      </w:r>
    </w:p>
    <w:p w14:paraId="6A164C24" w14:textId="5EC9D2E9" w:rsidR="001C7923" w:rsidRDefault="001C7923" w:rsidP="0065230C">
      <w:pPr>
        <w:pStyle w:val="Figure"/>
      </w:pPr>
      <w:bookmarkStart w:id="219" w:name="_Ref478109706"/>
      <w:bookmarkStart w:id="220" w:name="_Toc486785434"/>
      <w:r w:rsidRPr="00B850A2">
        <w:t xml:space="preserve">Figure </w:t>
      </w:r>
      <w:fldSimple w:instr=" STYLEREF 1 \s " w:fldLock="1">
        <w:r w:rsidR="002C549C">
          <w:rPr>
            <w:noProof/>
          </w:rPr>
          <w:t>3</w:t>
        </w:r>
      </w:fldSimple>
      <w:r w:rsidR="001167C6" w:rsidRPr="00B850A2">
        <w:t>.</w:t>
      </w:r>
      <w:fldSimple w:instr=" SEQ Figure \* ARABIC \s 1 " w:fldLock="1">
        <w:r w:rsidR="002C549C">
          <w:rPr>
            <w:noProof/>
          </w:rPr>
          <w:t>8</w:t>
        </w:r>
      </w:fldSimple>
      <w:bookmarkEnd w:id="219"/>
      <w:r>
        <w:t xml:space="preserve"> </w:t>
      </w:r>
      <w:r w:rsidR="0082781E">
        <w:t xml:space="preserve">Domain analysis of the </w:t>
      </w:r>
      <w:r w:rsidR="0065230C">
        <w:t xml:space="preserve">873 amino acid </w:t>
      </w:r>
      <w:r w:rsidR="0082781E">
        <w:t xml:space="preserve">Ovex1 protein. </w:t>
      </w:r>
      <w:r w:rsidR="0065230C">
        <w:t>The b</w:t>
      </w:r>
      <w:r w:rsidR="00E3456A">
        <w:t>lue line represents the Phobius-</w:t>
      </w:r>
      <w:r w:rsidR="0065230C">
        <w:t>predicted non-cytoplasmic domain, and the short green line at the carboxyl-terminus is the cytoplasmic domain. The grey box near the ca</w:t>
      </w:r>
      <w:r w:rsidR="00E3456A">
        <w:t>rboxyl-terminus is the InterPro-</w:t>
      </w:r>
      <w:r w:rsidR="0065230C">
        <w:t>predicted transmembrane (TM) domain, and the larger, upstream, diagonal-filled box represents the predicted location of the TM domain missing in Ovex1 that is present in gammaretroviral envelope proteins. The</w:t>
      </w:r>
      <w:r w:rsidR="00E3456A">
        <w:t xml:space="preserve"> dark</w:t>
      </w:r>
      <w:r w:rsidR="0065230C">
        <w:t xml:space="preserve"> red boxes show the predicted protein-protein interaction sites.</w:t>
      </w:r>
      <w:bookmarkEnd w:id="220"/>
      <w:r w:rsidR="0065230C">
        <w:t xml:space="preserve"> </w:t>
      </w:r>
    </w:p>
    <w:p w14:paraId="67EA903B" w14:textId="48832994" w:rsidR="003934DE" w:rsidRDefault="003934DE" w:rsidP="003934DE">
      <w:pPr>
        <w:pStyle w:val="Heading4"/>
      </w:pPr>
      <w:r>
        <w:lastRenderedPageBreak/>
        <w:t xml:space="preserve">Identification of </w:t>
      </w:r>
      <w:r w:rsidR="004D7ACC">
        <w:t>Ovex1 homologues</w:t>
      </w:r>
    </w:p>
    <w:p w14:paraId="5BAFBA54" w14:textId="623797C9" w:rsidR="006C6418" w:rsidRDefault="003934DE" w:rsidP="00391005">
      <w:pPr>
        <w:pStyle w:val="ListParagraph"/>
      </w:pPr>
      <w:r>
        <w:t>B</w:t>
      </w:r>
      <w:r w:rsidR="000C411E">
        <w:t>LAST</w:t>
      </w:r>
      <w:r w:rsidR="00CD2B55">
        <w:t>p</w:t>
      </w:r>
      <w:r w:rsidR="000C411E">
        <w:t xml:space="preserve"> searches identified Ovex1 protein homologues across the sauropsid lineage, including in turkey (GenBank: XP_010708895.1; 1x10</w:t>
      </w:r>
      <w:r w:rsidR="000C411E">
        <w:rPr>
          <w:vertAlign w:val="superscript"/>
        </w:rPr>
        <w:t>-200</w:t>
      </w:r>
      <w:r w:rsidR="000C411E">
        <w:t>; 95 % identity), duck (</w:t>
      </w:r>
      <w:r w:rsidR="000C411E" w:rsidRPr="000C411E">
        <w:rPr>
          <w:i/>
        </w:rPr>
        <w:t>Anas platyrhynchos</w:t>
      </w:r>
      <w:r w:rsidR="000C411E">
        <w:t>; GenBank: XP_012958629.1; 1x10</w:t>
      </w:r>
      <w:r w:rsidR="000C411E">
        <w:rPr>
          <w:vertAlign w:val="superscript"/>
        </w:rPr>
        <w:t>-200</w:t>
      </w:r>
      <w:r w:rsidR="000C411E">
        <w:t>; 86 % identity)</w:t>
      </w:r>
      <w:r w:rsidR="005350DE">
        <w:t xml:space="preserve">, eighteen Neoaves, and </w:t>
      </w:r>
      <w:r w:rsidR="000C411E">
        <w:t xml:space="preserve">four reptiles: </w:t>
      </w:r>
      <w:r w:rsidR="000C411E">
        <w:rPr>
          <w:i/>
        </w:rPr>
        <w:t>Anolis carolinensis</w:t>
      </w:r>
      <w:r w:rsidR="000C411E">
        <w:t xml:space="preserve">, </w:t>
      </w:r>
      <w:r w:rsidR="000C411E">
        <w:rPr>
          <w:i/>
        </w:rPr>
        <w:t>Pelodiscus sinensis</w:t>
      </w:r>
      <w:r w:rsidR="000C411E">
        <w:t xml:space="preserve">, </w:t>
      </w:r>
      <w:r w:rsidR="000C411E">
        <w:rPr>
          <w:i/>
        </w:rPr>
        <w:t>Python bivittatus</w:t>
      </w:r>
      <w:r w:rsidR="000C411E">
        <w:t xml:space="preserve"> and </w:t>
      </w:r>
      <w:r w:rsidR="000C411E">
        <w:rPr>
          <w:i/>
        </w:rPr>
        <w:t>Thmanophis sirtalis</w:t>
      </w:r>
      <w:r w:rsidR="000C411E">
        <w:t xml:space="preserve">. </w:t>
      </w:r>
      <w:r w:rsidR="002675DA">
        <w:t>The four reptile Ovex1 homologues were annotated as PPARD (peroxisome proliferator activated receptor delta) proteins in GenBank, but the alignment between these and the PPARD sequences from chicken (GenBank: NP_99059.1), mouse (</w:t>
      </w:r>
      <w:r w:rsidR="002675DA">
        <w:rPr>
          <w:i/>
        </w:rPr>
        <w:t>Mus musculus</w:t>
      </w:r>
      <w:r w:rsidR="002675DA">
        <w:t>; GenBank: NP_035275.1), and human (</w:t>
      </w:r>
      <w:r w:rsidR="002675DA">
        <w:rPr>
          <w:i/>
        </w:rPr>
        <w:t>Homo sapiens</w:t>
      </w:r>
      <w:r w:rsidR="002675DA">
        <w:t>; GenBank: AAH07578.1) was very poor</w:t>
      </w:r>
      <w:r w:rsidR="0099351B">
        <w:t xml:space="preserve"> (less than 8 % identity when the three PPARD proteins share 82.9 % identity)</w:t>
      </w:r>
      <w:r w:rsidR="002675DA">
        <w:t xml:space="preserve">, suggesting an incorrect annotation for these four reptile sequences. </w:t>
      </w:r>
      <w:r w:rsidR="000C411E">
        <w:t xml:space="preserve">The avian </w:t>
      </w:r>
      <w:r w:rsidR="002675DA">
        <w:t xml:space="preserve">Ovex1-homologue </w:t>
      </w:r>
      <w:r w:rsidR="000C411E">
        <w:t xml:space="preserve">sequences were generally well conserved at the </w:t>
      </w:r>
      <w:r w:rsidR="006C6418">
        <w:t>TM carboxyl-end,</w:t>
      </w:r>
      <w:r w:rsidR="000C411E">
        <w:t xml:space="preserve"> and three species (</w:t>
      </w:r>
      <w:r w:rsidR="000C411E">
        <w:rPr>
          <w:i/>
        </w:rPr>
        <w:t>Anser cygnoides</w:t>
      </w:r>
      <w:r w:rsidR="000C411E">
        <w:t xml:space="preserve">, </w:t>
      </w:r>
      <w:r w:rsidR="000C411E">
        <w:rPr>
          <w:i/>
        </w:rPr>
        <w:t>Serinus canaria</w:t>
      </w:r>
      <w:r w:rsidR="000C411E">
        <w:t xml:space="preserve"> and </w:t>
      </w:r>
      <w:r w:rsidR="000C411E">
        <w:rPr>
          <w:i/>
        </w:rPr>
        <w:t>Zonotrichia albicollis</w:t>
      </w:r>
      <w:r w:rsidR="002675DA">
        <w:t>) had</w:t>
      </w:r>
      <w:r w:rsidR="000C411E">
        <w:t xml:space="preserve"> duplicated protein sequences which also retai</w:t>
      </w:r>
      <w:r w:rsidR="006C6418">
        <w:t>ned high carboxyl-end identity.</w:t>
      </w:r>
      <w:r w:rsidR="003E6F1A">
        <w:t xml:space="preserve"> Analysis of the Ovex1-homologue protein alignment identified 207 sites (18.8 %) under purifying selection, including sites throughout the TM domain (supporting the carboxyl-end conservation) and regions correlating to the predicted protein-protein interaction sites.</w:t>
      </w:r>
    </w:p>
    <w:p w14:paraId="0CA5862F" w14:textId="488C5EF6" w:rsidR="00261B68" w:rsidRPr="00FD6E80" w:rsidRDefault="006C6418" w:rsidP="00391005">
      <w:pPr>
        <w:pStyle w:val="ListParagraph"/>
        <w:rPr>
          <w:sz w:val="2"/>
        </w:rPr>
      </w:pPr>
      <w:r>
        <w:t>The phylogeny built from the alignment of retroviral envelope proteins and saur</w:t>
      </w:r>
      <w:r w:rsidR="00261B68">
        <w:t>opsid Ovex1 protein homologues (</w:t>
      </w:r>
      <w:r w:rsidR="00261B68" w:rsidRPr="00B850A2">
        <w:fldChar w:fldCharType="begin" w:fldLock="1"/>
      </w:r>
      <w:r w:rsidR="00261B68" w:rsidRPr="00B850A2">
        <w:instrText xml:space="preserve"> REF _Ref478129598 \h </w:instrText>
      </w:r>
      <w:r w:rsidR="00B850A2" w:rsidRPr="00B850A2">
        <w:instrText xml:space="preserve"> \* MERGEFORMAT </w:instrText>
      </w:r>
      <w:r w:rsidR="00261B68" w:rsidRPr="00B850A2">
        <w:fldChar w:fldCharType="separate"/>
      </w:r>
      <w:r w:rsidR="002C549C" w:rsidRPr="002C549C">
        <w:t xml:space="preserve">Figure </w:t>
      </w:r>
      <w:r w:rsidR="002C549C" w:rsidRPr="002C549C">
        <w:rPr>
          <w:noProof/>
        </w:rPr>
        <w:t>3.9</w:t>
      </w:r>
      <w:r w:rsidR="00261B68" w:rsidRPr="00B850A2">
        <w:fldChar w:fldCharType="end"/>
      </w:r>
      <w:r>
        <w:t xml:space="preserve">) </w:t>
      </w:r>
      <w:r w:rsidR="005350DE">
        <w:t>wa</w:t>
      </w:r>
      <w:r w:rsidR="00CA7CD3">
        <w:t xml:space="preserve">s generally poorly supported, likely due to the extensive variability of the envelope sequences between retroviral genera. </w:t>
      </w:r>
      <w:r w:rsidR="004D08BB">
        <w:t>Whilst</w:t>
      </w:r>
      <w:r w:rsidR="00CA7CD3">
        <w:t xml:space="preserve"> the Ovex1 homologues largely follow the known avian phylogeny</w:t>
      </w:r>
      <w:r w:rsidR="00B11C91">
        <w:t>, they do not nest with</w:t>
      </w:r>
      <w:r w:rsidR="004D08BB">
        <w:t xml:space="preserve"> the gammaretroviral sequences as expected. However, the Ovex1 homologues do </w:t>
      </w:r>
      <w:r w:rsidR="001F5B59">
        <w:t xml:space="preserve">fall </w:t>
      </w:r>
      <w:r w:rsidR="004D08BB">
        <w:t>within the retroviral phylogeny (with the spumavirus group as a correct outgroup</w:t>
      </w:r>
      <w:r w:rsidR="00B11C91">
        <w:t xml:space="preserve">) and the </w:t>
      </w:r>
      <w:r w:rsidR="001F5B59">
        <w:t xml:space="preserve">combination of </w:t>
      </w:r>
      <w:r w:rsidR="00B11C91">
        <w:t xml:space="preserve">limited basal node support </w:t>
      </w:r>
      <w:r w:rsidR="001F5B59">
        <w:t xml:space="preserve">and excess of Ovex1 sequences (compared to other retroviral groups) may have affected the tree construction. The phylogeny alone would not be enough evidence to put the gammaretroviral classification in doubt, as all the </w:t>
      </w:r>
      <w:r w:rsidR="001F5B59">
        <w:rPr>
          <w:i/>
        </w:rPr>
        <w:t>polymerase</w:t>
      </w:r>
      <w:r w:rsidR="001F5B59">
        <w:t xml:space="preserve"> domain classifications support gammaretroviral origin. Interestingly, the species-specific duplicated sequences group together as a sister clade to the reptile Ovex1 homologues, </w:t>
      </w:r>
      <w:r w:rsidR="00D25E0C">
        <w:t>rather than falling with</w:t>
      </w:r>
      <w:r w:rsidR="00FD6E80">
        <w:t>in</w:t>
      </w:r>
      <w:r w:rsidR="00D25E0C">
        <w:t xml:space="preserve"> the main avian group</w:t>
      </w:r>
      <w:r w:rsidR="00FD6E80">
        <w:t>, perhaps supporting an ancient duplication event within the avian lineage</w:t>
      </w:r>
      <w:r w:rsidR="00D25E0C">
        <w:t xml:space="preserve">. </w:t>
      </w:r>
    </w:p>
    <w:p w14:paraId="16AC9C1B" w14:textId="2440957E" w:rsidR="00261B68" w:rsidRDefault="00634C5E" w:rsidP="00B850A2">
      <w:pPr>
        <w:pStyle w:val="ListParagraph"/>
        <w:jc w:val="center"/>
      </w:pPr>
      <w:r>
        <w:rPr>
          <w:noProof/>
          <w:lang w:eastAsia="en-GB"/>
        </w:rPr>
        <w:lastRenderedPageBreak/>
        <w:drawing>
          <wp:inline distT="0" distB="0" distL="0" distR="0" wp14:anchorId="224D95D2" wp14:editId="041BB1D2">
            <wp:extent cx="5148860" cy="72580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56414" cy="7268699"/>
                    </a:xfrm>
                    <a:prstGeom prst="rect">
                      <a:avLst/>
                    </a:prstGeom>
                    <a:noFill/>
                  </pic:spPr>
                </pic:pic>
              </a:graphicData>
            </a:graphic>
          </wp:inline>
        </w:drawing>
      </w:r>
    </w:p>
    <w:p w14:paraId="39456984" w14:textId="36932F51" w:rsidR="00261B68" w:rsidRPr="006F40F3" w:rsidRDefault="00261B68" w:rsidP="00261B68">
      <w:pPr>
        <w:pStyle w:val="Figure"/>
      </w:pPr>
      <w:bookmarkStart w:id="221" w:name="_Ref478129598"/>
      <w:bookmarkStart w:id="222" w:name="_Toc486785435"/>
      <w:r w:rsidRPr="00F5693B">
        <w:t xml:space="preserve">Figure </w:t>
      </w:r>
      <w:fldSimple w:instr=" STYLEREF 1 \s " w:fldLock="1">
        <w:r w:rsidR="002C549C" w:rsidRPr="00F5693B">
          <w:rPr>
            <w:noProof/>
          </w:rPr>
          <w:t>3</w:t>
        </w:r>
      </w:fldSimple>
      <w:r w:rsidR="001167C6" w:rsidRPr="00F5693B">
        <w:t>.</w:t>
      </w:r>
      <w:fldSimple w:instr=" SEQ Figure \* ARABIC \s 1 " w:fldLock="1">
        <w:r w:rsidR="002C549C" w:rsidRPr="00F5693B">
          <w:rPr>
            <w:noProof/>
          </w:rPr>
          <w:t>9</w:t>
        </w:r>
      </w:fldSimple>
      <w:bookmarkEnd w:id="221"/>
      <w:r>
        <w:t xml:space="preserve"> </w:t>
      </w:r>
      <w:r w:rsidR="006F40F3">
        <w:t xml:space="preserve">Phylogeny of retroviral envelope proteins, Ovex1 and the sauropsid Ovex1 homologues. Bootstrap values greater than 70 are shown on their respective nodes. The grey bars identify the retroviral clades, but exceptions are denoted by the symbols: ‘+’ Beta (B), ‘#’ Alpha, ‘*’ Epsilon. The betaretrovirus clade is divided by its two </w:t>
      </w:r>
      <w:r w:rsidR="006F40F3">
        <w:rPr>
          <w:i/>
        </w:rPr>
        <w:t>envelope</w:t>
      </w:r>
      <w:r w:rsidR="006F40F3">
        <w:t xml:space="preserve"> subclasses, B and D. </w:t>
      </w:r>
      <w:r w:rsidR="0079773E">
        <w:t xml:space="preserve">The phylogeny generated </w:t>
      </w:r>
      <w:r w:rsidR="0079773E">
        <w:lastRenderedPageBreak/>
        <w:t>here largely matches the known envelope phylogeny published on GyDB</w:t>
      </w:r>
      <w:r w:rsidR="00634C5E">
        <w:t>, although it would be expected that deltaretroviruses would be basal to the epsilonretroviruses. In addition, the alpharetroviruses would be expected to cluster together as a sister group to the deltaretroviruses.</w:t>
      </w:r>
      <w:bookmarkEnd w:id="222"/>
      <w:r w:rsidR="00634C5E">
        <w:t xml:space="preserve"> </w:t>
      </w:r>
    </w:p>
    <w:p w14:paraId="55A19B97" w14:textId="63D803F9" w:rsidR="006C7AD2" w:rsidRDefault="006C7AD2" w:rsidP="00391005">
      <w:pPr>
        <w:pStyle w:val="ListParagraph"/>
      </w:pPr>
    </w:p>
    <w:p w14:paraId="711D554D" w14:textId="232DDB99" w:rsidR="006C7AD2" w:rsidRDefault="006C7AD2" w:rsidP="006C7AD2">
      <w:pPr>
        <w:pStyle w:val="Heading2"/>
      </w:pPr>
      <w:bookmarkStart w:id="223" w:name="_Toc485721599"/>
      <w:bookmarkStart w:id="224" w:name="_Toc486787179"/>
      <w:bookmarkStart w:id="225" w:name="_Toc486787327"/>
      <w:r>
        <w:t>Discussion</w:t>
      </w:r>
      <w:bookmarkEnd w:id="223"/>
      <w:bookmarkEnd w:id="224"/>
      <w:bookmarkEnd w:id="225"/>
    </w:p>
    <w:p w14:paraId="53301CD0" w14:textId="4E1B9302" w:rsidR="00823B8C" w:rsidRDefault="00D623F1" w:rsidP="00391005">
      <w:pPr>
        <w:pStyle w:val="ListParagraph"/>
      </w:pPr>
      <w:r>
        <w:t xml:space="preserve">This updated annotation of the LTR retrotransposon content of the chicken genome has identified 31.5 Mb of sequence, including 1,073 structurally intact elements. </w:t>
      </w:r>
      <w:r w:rsidR="00823B8C">
        <w:t>Improvements between the Galgal3 and Galgal4 genome assemblies accounted for almost 2.5 Mb of extra annotated sequence, but the expanded homology protocol and use of four structure-based identification programs implemented through LocaTR enabled this much more complete annotation, including an additional 587 SIEs not ident</w:t>
      </w:r>
      <w:r w:rsidR="00492A6B">
        <w:t xml:space="preserve">ified in the previous analysis. </w:t>
      </w:r>
      <w:r w:rsidR="00823B8C">
        <w:t>This work brings the total annotated LTR retrotransposon content to 3.01 % of the genome, matching the observed levels in Neoaves and even mammals, when scaled for genome size. However, this increase in annotated content is largely due to annotation effort, so this work alone is insufficient to refute the previously proposed deficit of LTR retrotranspo</w:t>
      </w:r>
      <w:r w:rsidR="00492A6B">
        <w:t xml:space="preserve">sons in the Galliformes. The LocaTR analysis of multiple genomes of the avian lineage presented in Chapter 4 more comprehensively addresses this evolutionary question. </w:t>
      </w:r>
    </w:p>
    <w:p w14:paraId="12E3894C" w14:textId="6A4D08AE" w:rsidR="007D115C" w:rsidRDefault="007D115C" w:rsidP="00391005">
      <w:pPr>
        <w:pStyle w:val="ListParagraph"/>
      </w:pPr>
    </w:p>
    <w:p w14:paraId="2852FA24" w14:textId="257C7731" w:rsidR="007D115C" w:rsidRDefault="007D115C" w:rsidP="007D115C">
      <w:pPr>
        <w:pStyle w:val="Heading4"/>
      </w:pPr>
      <w:r>
        <w:t>An exhaustive list?</w:t>
      </w:r>
    </w:p>
    <w:p w14:paraId="44387A3A" w14:textId="5E3C20F4" w:rsidR="006C7AD2" w:rsidRDefault="00492A6B" w:rsidP="00391005">
      <w:pPr>
        <w:pStyle w:val="ListParagraph"/>
      </w:pPr>
      <w:r>
        <w:t>The question remains as to whether even this much-expanded annotation is a complete list of all LTR retrotransposons within the chicken genome. Put simply, it is highly unlikely that the work presented here is an exhaustive list. The chicken genome assembly is not perfect, with thousands of unplaced contigs</w:t>
      </w:r>
      <w:r w:rsidR="00E9258A">
        <w:t xml:space="preserve">, missing microchromosomes and poorly </w:t>
      </w:r>
      <w:r w:rsidR="00AF316C">
        <w:t>sequenced</w:t>
      </w:r>
      <w:r w:rsidR="00E9258A">
        <w:t xml:space="preserve"> regio</w:t>
      </w:r>
      <w:r w:rsidR="007D115C">
        <w:t>ns such as chromosomes 16 and</w:t>
      </w:r>
      <w:r w:rsidR="00E9258A">
        <w:t xml:space="preserve"> W, both of which are known to have high repeat content. In addition, the new Galgal5 assembly, released in March 2016, is likely to have a similar effect on annotated content as was observed between the Galgal3 and Galgal4 assemblies</w:t>
      </w:r>
      <w:r w:rsidR="007D115C">
        <w:t xml:space="preserve"> (explored in Chapter 4)</w:t>
      </w:r>
      <w:r w:rsidR="00E9258A">
        <w:t>.</w:t>
      </w:r>
      <w:r w:rsidR="007D115C">
        <w:t xml:space="preserve"> </w:t>
      </w:r>
      <w:r w:rsidR="00E9258A">
        <w:t xml:space="preserve">  </w:t>
      </w:r>
    </w:p>
    <w:p w14:paraId="7E164210" w14:textId="5A6E50C8" w:rsidR="007D115C" w:rsidRDefault="007D115C" w:rsidP="00391005">
      <w:pPr>
        <w:pStyle w:val="ListParagraph"/>
      </w:pPr>
      <w:r>
        <w:lastRenderedPageBreak/>
        <w:t>Another consideration is the methodology itself. The LocaTR pipeline does not require redundancy between approaches, but a degree of conservatism is still required in element validation to reduce the risk of false positive</w:t>
      </w:r>
      <w:r w:rsidR="00A63D0F">
        <w:t>s</w:t>
      </w:r>
      <w:r>
        <w:t>. Furthermore, the identification programs themselves are inherently biased towards known, well described LTR retrotransposon reference sequences. This is most obvious with the homology-based approaches, but the structure-based programs are</w:t>
      </w:r>
      <w:r w:rsidR="008625C5">
        <w:t xml:space="preserve"> </w:t>
      </w:r>
      <w:r>
        <w:t xml:space="preserve">based on training sequences and ‘typical’ size constraints. However, it is also unlikely that </w:t>
      </w:r>
      <w:r w:rsidR="00A63D0F">
        <w:t xml:space="preserve">most </w:t>
      </w:r>
      <w:r>
        <w:t>highly degraded or divergent sequences which are missed by these approaches are of great bi</w:t>
      </w:r>
      <w:r w:rsidR="00CD4D74">
        <w:t>ological relevance to the host, unless such divergence was due to host co-option.</w:t>
      </w:r>
    </w:p>
    <w:p w14:paraId="4D284812" w14:textId="77777777" w:rsidR="006C7AD2" w:rsidRDefault="006C7AD2" w:rsidP="00391005">
      <w:pPr>
        <w:pStyle w:val="ListParagraph"/>
      </w:pPr>
    </w:p>
    <w:p w14:paraId="06650B46" w14:textId="5E42E971" w:rsidR="00920FC5" w:rsidRDefault="00800D5D" w:rsidP="00800D5D">
      <w:pPr>
        <w:pStyle w:val="Heading3"/>
      </w:pPr>
      <w:bookmarkStart w:id="226" w:name="_Toc485721600"/>
      <w:bookmarkStart w:id="227" w:name="_Toc486787180"/>
      <w:bookmarkStart w:id="228" w:name="_Toc486787328"/>
      <w:r>
        <w:t>The development of the LocaTR identification pipeline</w:t>
      </w:r>
      <w:bookmarkEnd w:id="226"/>
      <w:bookmarkEnd w:id="227"/>
      <w:bookmarkEnd w:id="228"/>
    </w:p>
    <w:p w14:paraId="3AF28439" w14:textId="4043472F" w:rsidR="00D91D05" w:rsidRDefault="007E3ECC" w:rsidP="00391005">
      <w:pPr>
        <w:pStyle w:val="ListParagraph"/>
      </w:pPr>
      <w:r>
        <w:t xml:space="preserve">The initial installation, preliminary work and parameter optimisation completed for each of the disparate identification programs used in this study </w:t>
      </w:r>
      <w:r w:rsidR="00B850A2">
        <w:t>was time consuming and required the installation of multiple dependencies on the Roslin Linux servers</w:t>
      </w:r>
      <w:r>
        <w:t>.</w:t>
      </w:r>
      <w:r w:rsidR="00212A99">
        <w:t xml:space="preserve"> This was</w:t>
      </w:r>
      <w:r>
        <w:t xml:space="preserve"> further</w:t>
      </w:r>
      <w:r w:rsidR="00212A99">
        <w:t xml:space="preserve"> complicated</w:t>
      </w:r>
      <w:r>
        <w:t xml:space="preserve"> by generally limited documentation and a l</w:t>
      </w:r>
      <w:r w:rsidR="00212A99">
        <w:t xml:space="preserve">ack of ongoing author curation </w:t>
      </w:r>
      <w:r>
        <w:t>f</w:t>
      </w:r>
      <w:r w:rsidR="00212A99">
        <w:t>or</w:t>
      </w:r>
      <w:r>
        <w:t xml:space="preserve"> several of the programs. As a result, every effort was made to ensure that the LocaTR identification pipelin</w:t>
      </w:r>
      <w:r w:rsidR="00D7547A">
        <w:t>e was clear, well documented</w:t>
      </w:r>
      <w:r>
        <w:t>, and retain</w:t>
      </w:r>
      <w:r w:rsidR="00D7547A">
        <w:t>ed</w:t>
      </w:r>
      <w:r>
        <w:t xml:space="preserve"> the ability </w:t>
      </w:r>
      <w:r w:rsidR="00D7547A">
        <w:t xml:space="preserve">for users </w:t>
      </w:r>
      <w:r>
        <w:t>to set program-specific parameters</w:t>
      </w:r>
      <w:r w:rsidR="003A2587">
        <w:t xml:space="preserve">. </w:t>
      </w:r>
      <w:r w:rsidR="00212A99">
        <w:t xml:space="preserve">Individual installations can still be difficult depending on the user’s computer architecture and privileges, as well as the availability and continued compatibility of accessory packages. In addition, LocaTR requires access to multiple operating systems with LTR_STRUC limited to Windows, and RetroTector to Windows or macOS. </w:t>
      </w:r>
      <w:r w:rsidR="00D7547A">
        <w:t xml:space="preserve">However, LocaTR is modular, allowing users to ‘pick and choose’ individual identification programs and to add additional software if desired. </w:t>
      </w:r>
    </w:p>
    <w:p w14:paraId="1656079D" w14:textId="1B996257" w:rsidR="000E2550" w:rsidRDefault="00D7547A" w:rsidP="00391005">
      <w:pPr>
        <w:pStyle w:val="ListParagraph"/>
      </w:pPr>
      <w:r>
        <w:t>The</w:t>
      </w:r>
      <w:r w:rsidR="00B850A2">
        <w:t xml:space="preserve"> programs used for the</w:t>
      </w:r>
      <w:r w:rsidR="00D91D05">
        <w:t xml:space="preserve"> LocaTR analysis </w:t>
      </w:r>
      <w:r>
        <w:t>have been good choices</w:t>
      </w:r>
      <w:r w:rsidR="00D91D05">
        <w:t>,</w:t>
      </w:r>
      <w:r>
        <w:t xml:space="preserve"> following their selection after an extensive review of</w:t>
      </w:r>
      <w:r w:rsidR="00B850A2">
        <w:t xml:space="preserve"> the available software. There wa</w:t>
      </w:r>
      <w:r>
        <w:t xml:space="preserve">s generally low overlap between programs, and other tested programs had result subsets completely contained within other results, such as all elements identified by LTR_par and LTR_FINDER also identified by LTR Harvest. Other programs are available, but the current set of four structure-based programs offers good variety. The reference sequences used for the expanded homology-based protocol also give good phylogenetic </w:t>
      </w:r>
      <w:r>
        <w:lastRenderedPageBreak/>
        <w:t xml:space="preserve">coverage, although </w:t>
      </w:r>
      <w:r w:rsidR="00D91D05">
        <w:t xml:space="preserve">analysis of plant genomes would benefit from the addition of plant-specific LTR retrotransposon groups to the sequence list. </w:t>
      </w:r>
    </w:p>
    <w:p w14:paraId="60463A0B" w14:textId="6512C771" w:rsidR="00800D5D" w:rsidRDefault="00D91D05" w:rsidP="00391005">
      <w:pPr>
        <w:pStyle w:val="ListParagraph"/>
      </w:pPr>
      <w:r>
        <w:t xml:space="preserve">The high false positive rate of the structure-based programs remains a concern, as does the potential for non-LTR retrotransposon sequences to be detected by the homology-based programs due to high identity between domains such as </w:t>
      </w:r>
      <w:r>
        <w:rPr>
          <w:i/>
        </w:rPr>
        <w:t>reverse transcriptase</w:t>
      </w:r>
      <w:r>
        <w:t xml:space="preserve">. However, the results from the feature tests give good support for putative LTR retrotransposons, and the high corroboration between the feature tests and LTR Digest was reassuring. There is a chance that some identified SIEs may be false positives that passed the feature tests, but every effort has been made to reduce this undesirable result. </w:t>
      </w:r>
    </w:p>
    <w:p w14:paraId="2948364F" w14:textId="0485FFA9" w:rsidR="00D7547A" w:rsidRDefault="00D91D05" w:rsidP="00391005">
      <w:pPr>
        <w:pStyle w:val="ListParagraph"/>
      </w:pPr>
      <w:r>
        <w:t>Altogether, the pipeline development has been a success, not just for the results obtained with the analysis of the chicken, but also for its wider application.</w:t>
      </w:r>
    </w:p>
    <w:p w14:paraId="23ADB0D7" w14:textId="77777777" w:rsidR="00D91D05" w:rsidRDefault="00D91D05" w:rsidP="00391005">
      <w:pPr>
        <w:pStyle w:val="ListParagraph"/>
      </w:pPr>
    </w:p>
    <w:p w14:paraId="49B8F17B" w14:textId="02C93FF9" w:rsidR="00800D5D" w:rsidRDefault="00800D5D" w:rsidP="00800D5D">
      <w:pPr>
        <w:pStyle w:val="Heading3"/>
      </w:pPr>
      <w:bookmarkStart w:id="229" w:name="_Toc485721601"/>
      <w:bookmarkStart w:id="230" w:name="_Toc486787181"/>
      <w:bookmarkStart w:id="231" w:name="_Toc486787329"/>
      <w:r>
        <w:t>LTR retrotransposon distribution in the chicken genome</w:t>
      </w:r>
      <w:bookmarkEnd w:id="229"/>
      <w:bookmarkEnd w:id="230"/>
      <w:bookmarkEnd w:id="231"/>
    </w:p>
    <w:p w14:paraId="05A25432" w14:textId="20C35253" w:rsidR="00B2694B" w:rsidRDefault="007551CB" w:rsidP="00391005">
      <w:pPr>
        <w:pStyle w:val="ListParagraph"/>
      </w:pPr>
      <w:r>
        <w:t>Detailed analysis of the chicken LTR retrotransposons has shown that element distribution is non-random, with a sig</w:t>
      </w:r>
      <w:r w:rsidR="00B2694B">
        <w:t>nificant depletion of elements within coding regions and an enrichment of elements in gene sparse areas, including significantly elevated LTR retrotransposon density on macrochromosomes. Genomic distribution is, therefore, dependent on insertion neutrality, as non-detrimental insertions are retained producing skewed distributions away from coding regions.</w:t>
      </w:r>
    </w:p>
    <w:p w14:paraId="5795F39D" w14:textId="561CE369" w:rsidR="0009567A" w:rsidRDefault="00B2694B" w:rsidP="00391005">
      <w:pPr>
        <w:pStyle w:val="ListParagraph"/>
      </w:pPr>
      <w:r>
        <w:t>Over 40 % of structurally intact elements were within clusters which were unrelated by insertion age or</w:t>
      </w:r>
      <w:r w:rsidR="00B850A2">
        <w:t xml:space="preserve"> retroviral</w:t>
      </w:r>
      <w:r>
        <w:t xml:space="preserve"> genera, suggesting recurrent insertions into the same</w:t>
      </w:r>
      <w:r w:rsidR="0009567A">
        <w:t xml:space="preserve"> genomic locations, </w:t>
      </w:r>
      <w:r w:rsidR="0006739D">
        <w:t>generally in gene-sparse regions.</w:t>
      </w:r>
      <w:r>
        <w:t xml:space="preserve"> Bolisetty and colleagues (2012) found similar rates of clustering and proposed functional roles for these clusters as cytoskeletal binding regions during mitosis, or as hotspots for recombination. This analysis, however, has found no evidence of constraint within cluster locations, and that most clusters are within genomic regions of low or negligible recombination rates. </w:t>
      </w:r>
      <w:r w:rsidR="0006739D">
        <w:t>It is therefore likely that clusters form as the regio</w:t>
      </w:r>
      <w:r w:rsidR="00E24916">
        <w:t>ns where insertions elicit limited or negligible deleterious phenotypic effects</w:t>
      </w:r>
      <w:r w:rsidR="0006739D">
        <w:t xml:space="preserve"> increase in size, eventually self-perpetuating </w:t>
      </w:r>
      <w:r w:rsidR="00C81660">
        <w:t xml:space="preserve">as </w:t>
      </w:r>
      <w:r w:rsidR="0006739D">
        <w:t>new inse</w:t>
      </w:r>
      <w:r w:rsidR="00C81660">
        <w:t>rtions grow</w:t>
      </w:r>
      <w:r w:rsidR="0006739D">
        <w:t xml:space="preserve"> the clusters</w:t>
      </w:r>
      <w:r w:rsidR="00C81660">
        <w:t xml:space="preserve"> further</w:t>
      </w:r>
      <w:r w:rsidR="0006739D">
        <w:t xml:space="preserve">. </w:t>
      </w:r>
    </w:p>
    <w:p w14:paraId="44A2920B" w14:textId="40B241C5" w:rsidR="00800D5D" w:rsidRDefault="0006739D" w:rsidP="00391005">
      <w:pPr>
        <w:pStyle w:val="ListParagraph"/>
      </w:pPr>
      <w:r>
        <w:lastRenderedPageBreak/>
        <w:t xml:space="preserve">This concept may have </w:t>
      </w:r>
      <w:r w:rsidR="00DD3E67">
        <w:t xml:space="preserve">a </w:t>
      </w:r>
      <w:r>
        <w:t xml:space="preserve">wider impact on genome size, as high repeat content </w:t>
      </w:r>
      <w:r w:rsidR="00DD3E67">
        <w:t>promotes</w:t>
      </w:r>
      <w:r>
        <w:t xml:space="preserve"> repeat content expansion. Previous work has already linked total repeat content to the greater genomic stabil</w:t>
      </w:r>
      <w:r w:rsidR="00E24916">
        <w:t>ity of avian genomes compared with</w:t>
      </w:r>
      <w:r>
        <w:t xml:space="preserve"> mammalian genomes </w:t>
      </w:r>
      <w:r>
        <w:fldChar w:fldCharType="begin" w:fldLock="1"/>
      </w:r>
      <w:r w:rsidR="0009567A">
        <w:instrText>ADDIN CSL_CITATION { "citationItems" : [ { "id" : "ITEM-1", "itemData" : { "DOI" : "10.1186/1471-2164-9-168", "ISSN" : "1471-2164", "PMID" : "18410676", "abstract" : "BACKGROUND: Comparative genomics is a powerful means of establishing inter-specific relationships between gene function/location and allows insight into genomic rearrangements, conservation and evolutionary phylogeny. The availability of the complete sequence of the chicken genome has initiated the development of detailed genomic information in other birds including turkey, an agriculturally important species where mapping has hitherto focused on linkage with limited physical information. No molecular study has yet examined conservation of avian microchromosomes, nor differences in copy number variants (CNVs) between birds.\n\nRESULTS: We present a detailed comparative cytogenetic map between chicken and turkey based on reciprocal chromosome painting and mapping of 338 chicken BACs to turkey metaphases. Two inter-chromosomal changes (both involving centromeres) and three pericentric inversions have been identified between chicken and turkey; and array CGH identified 16 inter-specific CNVs.\n\nCONCLUSION: This is the first study to combine the modalities of zoo-FISH and array CGH between different avian species. The first insight into the conservation of microchromosomes, the first comparative cytogenetic map of any bird and the first appraisal of CNVs between birds is provided. Results suggest that avian genomes have remained relatively stable during evolution compared to mammalian equivalents.", "author" : [ { "dropping-particle" : "", "family" : "Griffin", "given" : "Darren K", "non-dropping-particle" : "", "parse-names" : false, "suffix" : "" }, { "dropping-particle" : "", "family" : "Robertson", "given" : "Lindsay B", "non-dropping-particle" : "", "parse-names" : false, "suffix" : "" }, { "dropping-particle" : "", "family" : "Tempest", "given" : "Helen G", "non-dropping-particle" : "", "parse-names" : false, "suffix" : "" }, { "dropping-particle" : "", "family" : "Vignal", "given" : "Alain", "non-dropping-particle" : "", "parse-names" : false, "suffix" : "" }, { "dropping-particle" : "", "family" : "Fillon", "given" : "Val\u00e9rie", "non-dropping-particle" : "", "parse-names" : false, "suffix" : "" }, { "dropping-particle" : "", "family" : "Crooijmans", "given" : "Richard P M a", "non-dropping-particle" : "", "parse-names" : false, "suffix" : "" }, { "dropping-particle" : "", "family" : "Groenen", "given" : "Martien a M", "non-dropping-particle" : "", "parse-names" : false, "suffix" : "" }, { "dropping-particle" : "", "family" : "Deryusheva", "given" : "Svetlana", "non-dropping-particle" : "", "parse-names" : false, "suffix" : "" }, { "dropping-particle" : "", "family" : "Gaginskaya", "given" : "Elena", "non-dropping-particle" : "", "parse-names" : false, "suffix" : "" }, { "dropping-particle" : "", "family" : "Carr\u00e9", "given" : "Wilfrid", "non-dropping-particle" : "", "parse-names" : false, "suffix" : "" }, { "dropping-particle" : "", "family" : "Waddington", "given" : "David", "non-dropping-particle" : "", "parse-names" : false, "suffix" : "" }, { "dropping-particle" : "", "family" : "Talbot", "given" : "Richard", "non-dropping-particle" : "", "parse-names" : false, "suffix" : "" }, { "dropping-particle" : "", "family" : "V\u00f6lker", "given" : "Martin", "non-dropping-particle" : "", "parse-names" : false, "suffix" : "" }, { "dropping-particle" : "", "family" : "Masabanda", "given" : "Julio S", "non-dropping-particle" : "", "parse-names" : false, "suffix" : "" }, { "dropping-particle" : "", "family" : "Burt", "given" : "Dave W", "non-dropping-particle" : "", "parse-names" : false, "suffix" : "" } ], "container-title" : "BMC genomics", "id" : "ITEM-1", "issued" : { "date-parts" : [ [ "2008", "1" ] ] }, "note" : "Chicken 2n=78, Turkey 2n=80\n10 pairs of macro and 28-30 pairs of microchromosomes in each species. ~28MYA divergence.\n\n\nCNVs are at a lower frequency in the genome compared to mammalian studies (1/3 as frequent) - this may be due to the 3 more compactness of the genome providing fewer opportunities for CNV generation. There are a great deal of CNV similarities between chicken and turkey (50%) suggesting a similar generation mechanism. \n\n\nIs this near a tipping point? Repetitive regions stimulate further rearrangements and CNV. This means that mammals keep extending regions where the birds remain compact.", "page" : "168", "title" : "Whole genome comparative studies between chicken and turkey and their implications for avian genome evolution.", "type" : "article-journal", "volume" : "9" }, "uris" : [ "http://www.mendeley.com/documents/?uuid=d35dd0c6-8b45-4ecf-90cf-1db0fa223178" ] }, { "id" : "ITEM-2", "itemData" : { "DOI" : "10.1016/j.tree.2009.12.004", "ISSN" : "0169-5347", "PMID" : "20363047", "abstract" : "Evolution at the molecular level is manifested in a variety of types of change in DNA sequences, including changes in the structure and organisation of chromosomes. However, in birds chromosomal evolution occurs at an unusually slow rate and recent whole-genome comparisons have shown that many chromosomes have remained more or less intact during avian evolution. Here I discuss progress in the development of genetic maps of natural bird populations, which has revealed that the evolutionary stasis of chromosomes often extends to conservation of gene order. The evolutionary stability of bird chromosomes, which might relate to a low frequency of transposable elements, will facilitate the transfer of genomic information from model to non-model organisms and might have a connection to the rarity of postzygotic incompatibilities observed in birds.", "author" : [ { "dropping-particle" : "", "family" : "Ellegren", "given" : "Hans", "non-dropping-particle" : "", "parse-names" : false, "suffix" : "" } ], "container-title" : "Trends in ecology &amp; evolution", "id" : "ITEM-2", "issue" : "5", "issued" : { "date-parts" : [ [ "2010", "5" ] ] }, "note" : "Bird chromosomal evolution occurs at an unusually slow rate.\nKaryotype is very conserved. Usually found to be between 2n=76 and 2n=80 for most species. When karyotype is less than this (the Accipitridae have 2n = 50 - 68) it is due to the fusion of ancestral microchromosomes. Whne a microchromosome fuses to an existing macrochromosome you can still tell the microchromosome signature by GC content and gene/repeat density.\nW is mostly non recombining. Z and W began to differentiate by suppressed recombination of an autosomal pair about 150MYA. Such events have occurred in many clades of the reptiles (including birds and mammals) such as the Z&amp;amp;W in birds are different to the Z&amp;amp;W in lizards and the X&amp;amp;Y in mammals.\nStill unknown whether there is sex-linked female determinant gene, or if (like in Drosophila) it is due to Z dosage. \nLow rate of chromosomal rearrangement may slow down the rate of speciation in birds. As there are more species of birds than mammals, diversifiication must have been due to species radiation - more allopatric blocks than sympatric.", "page" : "283-91", "publisher" : "Elsevier Ltd", "title" : "Evolutionary stasis: the stable chromosomes of birds.", "type" : "article-journal", "volume" : "25" }, "uris" : [ "http://www.mendeley.com/documents/?uuid=ff8d93b6-547a-4b4b-9521-3a531b769dc5" ] } ], "mendeley" : { "formattedCitation" : "(Griffin et al. 2008; Ellegren 2010)", "plainTextFormattedCitation" : "(Griffin et al. 2008; Ellegren 2010)", "previouslyFormattedCitation" : "(Griffin et al. 2008; Ellegren 2010)" }, "properties" : { "noteIndex" : 0 }, "schema" : "https://github.com/citation-style-language/schema/raw/master/csl-citation.json" }</w:instrText>
      </w:r>
      <w:r>
        <w:fldChar w:fldCharType="separate"/>
      </w:r>
      <w:r w:rsidRPr="0006739D">
        <w:rPr>
          <w:noProof/>
        </w:rPr>
        <w:t>(Griffin et al. 2008; Ellegren 2010)</w:t>
      </w:r>
      <w:r>
        <w:fldChar w:fldCharType="end"/>
      </w:r>
      <w:r>
        <w:t>, and may also explain why avian genomes have a deficit of all repeat classes compared to mammals unless scaled by genome size</w:t>
      </w:r>
      <w:r w:rsidR="00B850A2">
        <w:t xml:space="preserve"> (explored further in Chapter 4)</w:t>
      </w:r>
      <w:r>
        <w:t xml:space="preserve">. </w:t>
      </w:r>
    </w:p>
    <w:p w14:paraId="0316C157" w14:textId="77777777" w:rsidR="00800D5D" w:rsidRDefault="00800D5D" w:rsidP="00391005">
      <w:pPr>
        <w:pStyle w:val="ListParagraph"/>
      </w:pPr>
    </w:p>
    <w:p w14:paraId="7B026664" w14:textId="1B4482D3" w:rsidR="00800D5D" w:rsidRDefault="00800D5D" w:rsidP="00800D5D">
      <w:pPr>
        <w:pStyle w:val="Heading3"/>
      </w:pPr>
      <w:bookmarkStart w:id="232" w:name="_Toc485721602"/>
      <w:bookmarkStart w:id="233" w:name="_Toc486787182"/>
      <w:bookmarkStart w:id="234" w:name="_Toc486787330"/>
      <w:r>
        <w:t>LTR retrotransposon activity within the chicken genome</w:t>
      </w:r>
      <w:bookmarkEnd w:id="232"/>
      <w:bookmarkEnd w:id="233"/>
      <w:bookmarkEnd w:id="234"/>
    </w:p>
    <w:p w14:paraId="3492F6F9" w14:textId="50994E03" w:rsidR="00E33966" w:rsidRDefault="0009567A" w:rsidP="00391005">
      <w:pPr>
        <w:pStyle w:val="ListParagraph"/>
      </w:pPr>
      <w:r>
        <w:t>The continued retrotransposition of chicken alpharetroviral ERVs</w:t>
      </w:r>
      <w:r w:rsidR="00F0181C">
        <w:t xml:space="preserve"> (both </w:t>
      </w:r>
      <w:r>
        <w:t>ALVEs and EAV</w:t>
      </w:r>
      <w:r w:rsidR="00F0181C">
        <w:t>s)</w:t>
      </w:r>
      <w:r>
        <w:t xml:space="preserve"> is well documented </w:t>
      </w:r>
      <w:r>
        <w:fldChar w:fldCharType="begin" w:fldLock="1"/>
      </w:r>
      <w:r w:rsidR="00FA6757">
        <w:instrText>ADDIN CSL_CITATION { "citationItems" : [ { "id" : "ITEM-1", "itemData" : { "DOI" : "10.1186/s12864-015-1954-x", "ISSN" : "1471-2164", "author" : [ { "dropping-particle" : "", "family" : "Wragg", "given" : "David", "non-dropping-particle" : "", "parse-names" : false, "suffix" : "" }, { "dropping-particle" : "", "family" : "Mason", "given" : "Andrew S.", "non-dropping-particle" : "", "parse-names" : false, "suffix" : "" }, { "dropping-particle" : "", "family" : "Yu", "given" : "Le", "non-dropping-particle" : "", "parse-names" : false, "suffix" : "" }, { "dropping-particle" : "", "family" : "Kuo", "given" : "Richard", "non-dropping-particle" : "", "parse-names" : false, "suffix" : "" }, { "dropping-particle" : "", "family" : "Lawal", "given" : "Raman a.", "non-dropping-particle" : "", "parse-names" : false, "suffix" : "" }, { "dropping-particle" : "", "family" : "Desta", "given" : "Takele Taye", "non-dropping-particle" : "", "parse-names" : false, "suffix" : "" }, { "dropping-particle" : "", "family" : "Mwacharo", "given" : "Joram M.", "non-dropping-particle" : "", "parse-names" : false, "suffix" : "" }, { "dropping-particle" : "", "family" : "Cho", "given" : "Chang-Yeon", "non-dropping-particle" : "", "parse-names" : false, "suffix" : "" }, { "dropping-particle" : "", "family" : "Kemp", "given" : "Steve", "non-dropping-particle" : "", "parse-names" : false, "suffix" : "" }, { "dropping-particle" : "", "family" : "Burt", "given" : "David W.", "non-dropping-particle" : "", "parse-names" : false, "suffix" : "" }, { "dropping-particle" : "", "family" : "Hanotte", "given" : "Olivier", "non-dropping-particle" : "", "parse-names" : false, "suffix" : "" } ], "container-title" : "BMC Genomics", "id" : "ITEM-1", "issue" : "1", "issued" : { "date-parts" : [ [ "2015", "10", "14" ] ] }, "page" : "784", "title" : "Genome-wide analysis reveals the extent of EAV-HP integration in domestic chicken", "type" : "article-journal", "volume" : "16" }, "uris" : [ "http://www.mendeley.com/documents/?uuid=785ce0a4-2408-491c-81f9-74a41832e445" ] }, { "id" : "ITEM-2", "itemData" : { "DOI" : "10.3382/ps/pew194", "ISSN" : "15253171", "author" : [ { "dropping-particle" : "", "family" : "Rutherford", "given" : "K", "non-dropping-particle" : "", "parse-names" : false, "suffix" : "" }, { "dropping-particle" : "", "family" : "Meehan", "given" : "C J", "non-dropping-particle" : "", "parse-names" : false, "suffix" : "" }, { "dropping-particle" : "", "family" : "Langille", "given" : "M G I", "non-dropping-particle" : "", "parse-names" : false, "suffix" : "" }, { "dropping-particle" : "", "family" : "Tyack", "given" : "S G", "non-dropping-particle" : "", "parse-names" : false, "suffix" : "" }, { "dropping-particle" : "", "family" : "Mckay", "given" : "J C", "non-dropping-particle" : "", "parse-names" : false, "suffix" : "" }, { "dropping-particle" : "", "family" : "Mclean", "given" : "N L", "non-dropping-particle" : "", "parse-names" : false, "suffix" : "" }, { "dropping-particle" : "", "family" : "Benkel", "given" : "K", "non-dropping-particle" : "", "parse-names" : false, "suffix" : "" }, { "dropping-particle" : "", "family" : "Beiko", "given" : "R G", "non-dropping-particle" : "", "parse-names" : false, "suffix" : "" }, { "dropping-particle" : "", "family" : "Benkel", "given" : "B", "non-dropping-particle" : "", "parse-names" : false, "suffix" : "" } ], "container-title" : "Poultry Science", "id" : "ITEM-2", "issued" : { "date-parts" : [ [ "2016" ] ] }, "page" : "2250-2258", "title" : "Discovery of an expended set of avian leukosis subroup E proviruses in chickens using Vermillion, a novel sequence capture and analysis pipeline", "type" : "article-journal", "volume" : "95" }, "uris" : [ "http://www.mendeley.com/documents/?uuid=aa0069fc-5d68-44c4-8fbe-350ad9189ff7" ] } ], "mendeley" : { "formattedCitation" : "(Wragg et al. 2015; Rutherford et al. 2016)", "plainTextFormattedCitation" : "(Wragg et al. 2015; Rutherford et al. 2016)", "previouslyFormattedCitation" : "(Wragg et al. 2015; Rutherford et al. 2016)" }, "properties" : { "noteIndex" : 0 }, "schema" : "https://github.com/citation-style-language/schema/raw/master/csl-citation.json" }</w:instrText>
      </w:r>
      <w:r>
        <w:fldChar w:fldCharType="separate"/>
      </w:r>
      <w:r w:rsidR="00E33966" w:rsidRPr="00E33966">
        <w:rPr>
          <w:noProof/>
        </w:rPr>
        <w:t>(Wragg et al. 2015; Rutherford et al. 2016)</w:t>
      </w:r>
      <w:r>
        <w:fldChar w:fldCharType="end"/>
      </w:r>
      <w:r>
        <w:t>, but the high LTR identity observed with some gammaretroviral and betaretroviral ERVs supports recent integration</w:t>
      </w:r>
      <w:r w:rsidR="00E33966">
        <w:t xml:space="preserve"> of these retroviral genera</w:t>
      </w:r>
      <w:r>
        <w:t>, with the potential for further retrotransposition.</w:t>
      </w:r>
      <w:r w:rsidR="00E33966">
        <w:t xml:space="preserve"> Only a minority of these younger insertions retain intact internal domains, but the expression of other retroviral-like proteins in cells has the potential to facilitate retrotransposition of these degraded sequences. </w:t>
      </w:r>
    </w:p>
    <w:p w14:paraId="409E7075" w14:textId="5B923A7F" w:rsidR="00E33966" w:rsidRDefault="00E33966" w:rsidP="00391005">
      <w:pPr>
        <w:pStyle w:val="ListParagraph"/>
      </w:pPr>
      <w:r>
        <w:t>Transcribed LTR r</w:t>
      </w:r>
      <w:r w:rsidR="00605769">
        <w:t>etrotransposons in the chicken we</w:t>
      </w:r>
      <w:r>
        <w:t>re</w:t>
      </w:r>
      <w:r w:rsidR="00605769">
        <w:t xml:space="preserve"> rare, and even these examples we</w:t>
      </w:r>
      <w:r>
        <w:t>re largely fragmented or code for non-functional proteins. However, whilst a relatively diverse set of tissue types were used to assess expression they were from a limited age range and a single breed</w:t>
      </w:r>
      <w:r w:rsidR="00F5716F">
        <w:t xml:space="preserve"> (crucially not the same bird used for the reference genome)</w:t>
      </w:r>
      <w:r>
        <w:t>. Tissue-, temporal- and breed-spe</w:t>
      </w:r>
      <w:r w:rsidR="00982365">
        <w:t>cific expression is likely</w:t>
      </w:r>
      <w:r w:rsidR="00F0181C">
        <w:t>, and expression levels may be low enough to</w:t>
      </w:r>
      <w:r w:rsidR="00DD3E67">
        <w:t xml:space="preserve"> preclude</w:t>
      </w:r>
      <w:r w:rsidR="00F0181C">
        <w:t xml:space="preserve"> transcript model construction. Despite this, transcripts were identified from </w:t>
      </w:r>
      <w:r w:rsidR="00F0181C">
        <w:rPr>
          <w:i/>
        </w:rPr>
        <w:t>gag</w:t>
      </w:r>
      <w:r w:rsidR="00F0181C">
        <w:t xml:space="preserve">, </w:t>
      </w:r>
      <w:r w:rsidR="00F0181C">
        <w:rPr>
          <w:i/>
        </w:rPr>
        <w:t>polymerase</w:t>
      </w:r>
      <w:r w:rsidR="00F0181C">
        <w:t xml:space="preserve"> and </w:t>
      </w:r>
      <w:r w:rsidR="00F0181C">
        <w:rPr>
          <w:i/>
        </w:rPr>
        <w:t>envelope</w:t>
      </w:r>
      <w:r w:rsidR="00F0181C">
        <w:t xml:space="preserve"> domains, with apparent tissue specificity. Of particular interest is the identified expression of </w:t>
      </w:r>
      <w:r w:rsidR="00F0181C">
        <w:rPr>
          <w:i/>
        </w:rPr>
        <w:t>polymerase</w:t>
      </w:r>
      <w:r w:rsidR="00F0181C">
        <w:t xml:space="preserve"> in two cases, as both predicted products retain reverse transcriptase and RNaseH integrity, which suggests translated products could transpose other repeats, including non-autonomous elements. In addition, the</w:t>
      </w:r>
      <w:r w:rsidR="00982365">
        <w:t xml:space="preserve"> integration</w:t>
      </w:r>
      <w:r w:rsidR="00F0181C">
        <w:t xml:space="preserve"> of reverse transcribed host mRNA can form retrogenes; elements with huge evolutionary potential for the host through the introduction of intact domains to existing genes, or full gene duplication </w:t>
      </w:r>
      <w:r w:rsidR="00F0181C">
        <w:fldChar w:fldCharType="begin" w:fldLock="1"/>
      </w:r>
      <w:r w:rsidR="00F0181C">
        <w:instrText>ADDIN CSL_CITATION { "citationItems" : [ { "id" : "ITEM-1", "itemData" : { "DOI" : "10.1038/nrg2487", "ISBN" : "1471-0056", "ISSN" : "1471-0064", "PMID" : "19030023", "abstract" : "Gene copies that stem from the mRNAs of parental source genes have long been viewed as evolutionary dead-ends with little biological relevance. Here we review a range of recent studies that have unveiled a significant number of functional retroposed gene copies in both mammalian and some non-mammalian genomes. These studies have not only revealed previously unknown mechanisms for the emergence of new genes and their functions but have also provided fascinating general insights into molecular and evolutionary processes that have shaped genomes. For example, analyses of chromosomal gene movement patterns via RNA-based gene duplication have shed fresh light on the evolutionary origin and biology of our sex chromosomes.", "author" : [ { "dropping-particle" : "", "family" : "Kaessmann", "given" : "Henrik", "non-dropping-particle" : "", "parse-names" : false, "suffix" : "" }, { "dropping-particle" : "", "family" : "Vinckenbosch", "given" : "Nicolas", "non-dropping-particle" : "", "parse-names" : false, "suffix" : "" }, { "dropping-particle" : "", "family" : "Long", "given" : "Manyuan", "non-dropping-particle" : "", "parse-names" : false, "suffix" : "" } ], "container-title" : "Nature reviews. Genetics", "id" : "ITEM-1", "issue" : "1", "issued" : { "date-parts" : [ [ "2009", "1" ] ] }, "page" : "19-31", "title" : "RNA-based gene duplication: mechanistic and evolutionary insights.", "type" : "article-journal", "volume" : "10" }, "uris" : [ "http://www.mendeley.com/documents/?uuid=e56033d3-9a85-423c-8fab-940a49200dd1" ] } ], "mendeley" : { "formattedCitation" : "(Kaessmann et al. 2009)", "plainTextFormattedCitation" : "(Kaessmann et al. 2009)", "previouslyFormattedCitation" : "(Kaessmann et al. 2009)" }, "properties" : { "noteIndex" : 0 }, "schema" : "https://github.com/citation-style-language/schema/raw/master/csl-citation.json" }</w:instrText>
      </w:r>
      <w:r w:rsidR="00F0181C">
        <w:fldChar w:fldCharType="separate"/>
      </w:r>
      <w:r w:rsidR="00F0181C" w:rsidRPr="00F0181C">
        <w:rPr>
          <w:noProof/>
        </w:rPr>
        <w:t>(Kaessmann et al. 2009)</w:t>
      </w:r>
      <w:r w:rsidR="00F0181C">
        <w:fldChar w:fldCharType="end"/>
      </w:r>
      <w:r w:rsidR="00F0181C">
        <w:t>.</w:t>
      </w:r>
    </w:p>
    <w:p w14:paraId="36AB31F6" w14:textId="0CF7E2ED" w:rsidR="00F0181C" w:rsidRPr="00F0181C" w:rsidRDefault="00F0181C" w:rsidP="00391005">
      <w:pPr>
        <w:pStyle w:val="ListParagraph"/>
      </w:pPr>
      <w:r>
        <w:t>The expression of intact, likely functional</w:t>
      </w:r>
      <w:r w:rsidR="00605769">
        <w:t>,</w:t>
      </w:r>
      <w:r>
        <w:t xml:space="preserve"> domains also presents more opportunity for recombination with exogenous retroviruses. Identification here of both gamma- and </w:t>
      </w:r>
      <w:r>
        <w:lastRenderedPageBreak/>
        <w:t xml:space="preserve">betaretroviral domains, rather than just the alpharetroviral sequences implicit in the formation of ALV-J </w:t>
      </w:r>
      <w:r>
        <w:fldChar w:fldCharType="begin" w:fldLock="1"/>
      </w:r>
      <w:r>
        <w:instrText>ADDIN CSL_CITATION { "citationItems" : [ { "id" : "ITEM-1", "itemData" : { "DOI" : "10.1080/0307945002001676", "abstract" : "Avian leukosis virus (ALV) is the most common naturally occurring avian retrovirus that can cause a variety of neoplastic disease conditions in chickens. In addition to causing neoplasia, ALV is known to be associated with reduced productivity and other production problems in affected flocks. Biological and molecular assays for the detection of ALV are very useful in identification and classification of new isolates, safety testing of vaccines and in testing pathogen-free and other breeder flocks for freedom of virus infection. However, such assays are not particularly helpful in the diagnosis of virus-induced neoplastic disease of poultry, as avian oncogenic viruses are widespread and infection in the absence of tumor formation is common. Current technology based on molecular and antigenic characteristics of the virus is being used to develop more sensitive and specific procedures for isolation and identification of ALV. This review is primarily focused on the discussion of current technology most commonly used in isolation and identification of ALV associated with clinical disease in chickens.", "author" : [ { "dropping-particle" : "", "family" : "Fadly", "given" : "AM", "non-dropping-particle" : "", "parse-names" : false, "suffix" : "" } ], "container-title" : "Avian Pathology", "id" : "ITEM-1", "issue" : "6", "issued" : { "date-parts" : [ [ "2000" ] ] }, "note" : "p27 is a structural polypeptide, is the most abundant of these types in both exo and endo ALV. It is within the gag gene.\n\n\np27 assays cannot be used to differentiate between exo and endo as both groups have them - they are group specific to ALVs. However, in some cases dilution may be used to suggest difference between the two.\n\n\nELISA-ALV is the most commonly used test. It, like all other similar tests for ALV, require chicken embryo fibroblasts (CEFs). Other samples come from blood etc.\n\n\nBiological and molecular assays can tell the difference between exo and endo ALV, but the p27 does not differentiate.", "page" : "529-535", "title" : "Isolation and identification of avian leukosis viruses: a review", "type" : "article-journal", "volume" : "29" }, "uris" : [ "http://www.mendeley.com/documents/?uuid=c7699a06-3e29-4bd9-ab73-4f0cb41d45b1" ] }, { "id" : "ITEM-2", "itemData" : { "ISBN" : "0380442663", "ISSN" : "0015-5500", "PMID" : "14680291", "abstract" : "Recent data about the diversity of AER, their structure, expression and possible ways of evolution are summarized and analysed in the present review. Additionally, the role of endogenous retroviruses in ontogenesis and pathology is discussed.", "author" : [ { "dropping-particle" : "", "family" : "Borisenko", "given" : "L", "non-dropping-particle" : "", "parse-names" : false, "suffix" : "" } ], "container-title" : "Folia biologica", "id" : "ITEM-2", "issue" : "5", "issued" : { "date-parts" : [ [ "2003", "1" ] ] }, "note" : "A nice clear review of the three groups of known avian endogenous retroviruses, their relatedness, proposed age and other information on evolution. Hints at the need to know more about distribution throughout the genome. Also gives a diagram of the structure of some of the resolved Ev genes in Chicken and gives a brief list of the numbers of Ev genes identified. Good read.", "page" : "177-82", "title" : "Avian endogenous retroviruses.", "type" : "article-journal", "volume" : "49" }, "uris" : [ "http://www.mendeley.com/documents/?uuid=ea772d88-5f9c-4c06-b558-1253b6308437" ] } ], "mendeley" : { "formattedCitation" : "(Fadly 2000; Borisenko 2003)", "plainTextFormattedCitation" : "(Fadly 2000; Borisenko 2003)", "previouslyFormattedCitation" : "(Fadly 2000; Borisenko 2003)" }, "properties" : { "noteIndex" : 0 }, "schema" : "https://github.com/citation-style-language/schema/raw/master/csl-citation.json" }</w:instrText>
      </w:r>
      <w:r>
        <w:fldChar w:fldCharType="separate"/>
      </w:r>
      <w:r w:rsidRPr="00F0181C">
        <w:rPr>
          <w:noProof/>
        </w:rPr>
        <w:t>(Fadly 2000; Borisenko 2003)</w:t>
      </w:r>
      <w:r>
        <w:fldChar w:fldCharType="end"/>
      </w:r>
      <w:r>
        <w:t xml:space="preserve">, also extends the range of potential recombinant retroviruses, especially as cross-genera recombination has been observed </w:t>
      </w:r>
      <w:r>
        <w:fldChar w:fldCharType="begin" w:fldLock="1"/>
      </w:r>
      <w:r w:rsidR="00982365">
        <w:instrText>ADDIN CSL_CITATION { "citationItems" : [ { "id" : "ITEM-1", "itemData" : { "DOI" : "10.1080/03079457.2011.560932", "ISSN" : "1465-3338", "PMID" : "21711186", "abstract" : "Two natural recombinant avian leukosis viruses (ALVs) were isolated from Chinese commercial egg-type chickens in 2009, which suffered from haemangiomas and myelocytomas. Sequence analysis of the complete proviral genomes revealed several unique genetic characteristics of the present two isolates, demonstrating that the two viruses were derived from recombination between earlier Chinese ALV-J and endogenous virus sequences. The two recombinant viruses presented typical genetic organization of replication-competent genus Alpharetrovirus, and the gag and pol genes were well conserved with those of ALVs. The env genes of the two viruses were composed of the internal identical sequences (about 240 bp) of endogenous viruses, and the rest of the sequence belonged to subgroup J ALVs. The long terminal repeats of the two viruses were more closely related to HPRS-103 and earlier Chinese ALV-J than other subgroup ALVs, and multiple transcription regulatory elements of ALV-J were highly conserved. In addition, the two viruses shared an almost identical 3'-untranslated region (UTR) sequence with earlier Chinese ALV-J strains and the US strain 4817, containing a ~127 bp deletion in the E element region. However, further comparison with endogenous ALV indicated that the 3'-UTR sequences with ~127 bp deletion of ALV-J were most probably derived from endogenous viruses by recombination. These results suggested that the two isolates can be characterized as recombinant ALV-J with the internal env gene and 3'-UTR sequence of endogenous ALV.", "author" : [ { "dropping-particle" : "", "family" : "Liu", "given" : "Chaonan", "non-dropping-particle" : "", "parse-names" : false, "suffix" : "" }, { "dropping-particle" : "", "family" : "Zheng", "given" : "Shimin", "non-dropping-particle" : "", "parse-names" : false, "suffix" : "" }, { "dropping-particle" : "", "family" : "Wang", "given" : "Yongqiang", "non-dropping-particle" : "", "parse-names" : false, "suffix" : "" }, { "dropping-particle" : "", "family" : "Jing", "given" : "Long", "non-dropping-particle" : "", "parse-names" : false, "suffix" : "" }, { "dropping-particle" : "", "family" : "Gao", "given" : "Honglei", "non-dropping-particle" : "", "parse-names" : false, "suffix" : "" }, { "dropping-particle" : "", "family" : "Gao", "given" : "Yulong", "non-dropping-particle" : "", "parse-names" : false, "suffix" : "" }, { "dropping-particle" : "", "family" : "Qi", "given" : "Xiaole", "non-dropping-particle" : "", "parse-names" : false, "suffix" : "" }, { "dropping-particle" : "", "family" : "Qin", "given" : "Liting", "non-dropping-particle" : "", "parse-names" : false, "suffix" : "" }, { "dropping-particle" : "", "family" : "Pan", "given" : "Wei", "non-dropping-particle" : "", "parse-names" : false, "suffix" : "" }, { "dropping-particle" : "", "family" : "Wang", "given" : "Xiaomei", "non-dropping-particle" : "", "parse-names" : false, "suffix" : "" } ], "container-title" : "Avian pathology : journal of the W.V.P.A", "id" : "ITEM-1", "issue" : "3", "issued" : { "date-parts" : [ [ "2011", "6" ] ] }, "note" : "ALV-A is most common, but ALV-B and ALV-J are also quite common. Subgroups C and D appear quite rare. ALV-J arose from recombination between an ALV-A and an endogenous ALV sequence (HPRS-103 was the protype J and was a recombination between an ALV-A and EAV-HP). These viruses appeared in the 1980s and have been a prevalent issue in commercial bird populations ever since. It is most prevalent in broiler populations, but has had an impact in egg laying populations as well, at a global scale. \n\n\nALV-J appears quite genetically unstable. There have been more cases of recombination allowing a diverse range of subtype J viruses to appear with novel physiological effects. \nThis study isolates two further ALV-J viruses which, under analysis, have been shown to be a secondary recombination between an existing ALV-J and another ERV. This gives the sequence ALV-A, and two different ERV signals. The LTRs appear to have been retained from the 'original' ALV-J with the ERV signals appearing in the env and gag regions of the internal domain.", "page" : "269-75", "title" : "Detection and molecular characterization of recombinant avian leukosis viruses in commercial egg-type chickens in China.", "type" : "article-journal", "volume" : "40" }, "uris" : [ "http://www.mendeley.com/documents/?uuid=2c72f9ed-d340-4b86-b83b-86c7a7375521" ] } ], "mendeley" : { "formattedCitation" : "(Liu et al. 2011)", "plainTextFormattedCitation" : "(Liu et al. 2011)", "previouslyFormattedCitation" : "(Liu et al. 2011)" }, "properties" : { "noteIndex" : 0 }, "schema" : "https://github.com/citation-style-language/schema/raw/master/csl-citation.json" }</w:instrText>
      </w:r>
      <w:r>
        <w:fldChar w:fldCharType="separate"/>
      </w:r>
      <w:r w:rsidRPr="00F0181C">
        <w:rPr>
          <w:noProof/>
        </w:rPr>
        <w:t>(Liu et al. 2011)</w:t>
      </w:r>
      <w:r>
        <w:fldChar w:fldCharType="end"/>
      </w:r>
      <w:r>
        <w:t>.</w:t>
      </w:r>
    </w:p>
    <w:p w14:paraId="6506D6DF" w14:textId="65B1A263" w:rsidR="00800D5D" w:rsidRPr="0080052B" w:rsidRDefault="00982365" w:rsidP="00391005">
      <w:pPr>
        <w:pStyle w:val="ListParagraph"/>
      </w:pPr>
      <w:r>
        <w:t xml:space="preserve">In addition, this work has enabled the further characterisation of </w:t>
      </w:r>
      <w:r>
        <w:rPr>
          <w:i/>
        </w:rPr>
        <w:t>Ovex1</w:t>
      </w:r>
      <w:r>
        <w:t xml:space="preserve">, including its much more ubiquitous pattern of expression compared to its initial characterisation </w:t>
      </w:r>
      <w:r>
        <w:fldChar w:fldCharType="begin" w:fldLock="1"/>
      </w:r>
      <w:r>
        <w:instrText>ADDIN CSL_CITATION { "citationItems" : [ { "id" : "ITEM-1",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"ITEM-1", "issued" : { "date-parts" : [ [ "2009", "1" ] ] }, "page" : "59", "title" : "OVEX1, a novel chicken endogenous retrovirus with sex-specific and left-right asymmetrical expression in gonads.", "type" : "article-journal", "volume" : "6" }, "uris" : [ "http://www.mendeley.com/documents/?uuid=3d9a038e-2cd6-43ab-9514-6e34db462e92" ] } ], "mendeley" : { "formattedCitation" : "(Carr\u00e9-Eus\u00e8be et al. 2009)", "plainTextFormattedCitation" : "(Carr\u00e9-Eus\u00e8be et al. 2009)", "previouslyFormattedCitation" : "(Carr\u00e9-Eus\u00e8be et al. 2009)" }, "properties" : { "noteIndex" : 0 }, "schema" : "https://github.com/citation-style-language/schema/raw/master/csl-citation.json" }</w:instrText>
      </w:r>
      <w:r>
        <w:fldChar w:fldCharType="separate"/>
      </w:r>
      <w:r w:rsidRPr="00982365">
        <w:rPr>
          <w:noProof/>
        </w:rPr>
        <w:t>(Carré-Eusèbe et al. 2009)</w:t>
      </w:r>
      <w:r>
        <w:fldChar w:fldCharType="end"/>
      </w:r>
      <w:r>
        <w:t xml:space="preserve">. The presence of putative protein-protein interaction domains suggests the Ovex1 protein may be able to form the functional homotrimer complexes observed in retroviral envelope proteins as well as other co-opted gammaretroviruses. Cell-cell cohesion, similar to that effected by the </w:t>
      </w:r>
      <w:r>
        <w:rPr>
          <w:i/>
        </w:rPr>
        <w:t>syncytin</w:t>
      </w:r>
      <w:r>
        <w:t xml:space="preserve"> protein in the mammalian placenta, seems unlikely due to the ubiquity of expression. It is more likely that the protein may have a role in innate antiviral immunity through receptor interference, as has been widely documented in mouse and cat (</w:t>
      </w:r>
      <w:r>
        <w:rPr>
          <w:i/>
        </w:rPr>
        <w:t>Felis catus</w:t>
      </w:r>
      <w:r>
        <w:t xml:space="preserve">) with gammaretroviral </w:t>
      </w:r>
      <w:r w:rsidRPr="00982365">
        <w:t>envelope</w:t>
      </w:r>
      <w:r>
        <w:t>, in sheep (</w:t>
      </w:r>
      <w:r>
        <w:rPr>
          <w:i/>
        </w:rPr>
        <w:t>Ovis aries</w:t>
      </w:r>
      <w:r>
        <w:t xml:space="preserve">) with betaretroviral envelope, and in chicken with ALVE envelope </w:t>
      </w:r>
      <w:r>
        <w:fldChar w:fldCharType="begin" w:fldLock="1"/>
      </w:r>
      <w:r w:rsidR="000B30FB">
        <w:instrText>ADDIN CSL_CITATION { "citationItems" : [ { "id" : "ITEM-1", "itemData" : { "author" : [ { "dropping-particle" : "", "family" : "Lavialle", "given" : "Christian", "non-dropping-particle" : "", "parse-names" : false, "suffix" : "" }, { "dropping-particle" : "", "family" : "Cornelis", "given" : "G", "non-dropping-particle" : "", "parse-names" : false, "suffix" : "" }, { "dropping-particle" : "", "family" : "Dupressoir", "given" : "A", "non-dropping-particle" : "", "parse-names" : false, "suffix" : "" }, { "dropping-particle" : "", "family" : "Esnault", "given" : "C", "non-dropping-particle" : "", "parse-names" : false, "suffix" : "" }, { "dropping-particle" : "", "family" : "Heidmann", "given" : "O", "non-dropping-particle" : "", "parse-names" : false, "suffix" : "" }, { "dropping-particle" : "", "family" : "Vernochet", "given" : "C", "non-dropping-particle" : "", "parse-names" : false, "suffix" : "" }, { "dropping-particle" : "", "family" : "Heidmann", "given" : "T", "non-dropping-particle" : "", "parse-names" : false, "suffix" : "" } ], "container-title" : "Philosophical transactions of the Royal Society of London. Series B, Biological sciences", "id" : "ITEM-1", "issue" : "20120507", "issued" : { "date-parts" : [ [ "2013" ] ] }, "title" : "Paleovirology of 'syncytins', retroviral env genes exapted for a role in placentation", "type" : "article-journal", "volume" : "368" }, "uris" : [ "http://www.mendeley.com/documents/?uuid=983b4bb3-4038-48af-9eb5-813ad3fe4fc9" ] }, { "id" : "ITEM-2",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"ITEM-2",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"ITEM-3", "itemData" : { "DOI" : "10.1111/j.1749-6632.2009.05002.x", "ISSN" : "00778923", "PMID" : "19845636", "abstract" : "Endogenous retroviruses (ERVs) are present in the genome of all vertebrates and have coevolved with their hosts for millions of years. Some ERVs play a critical role in placental development, contribute to genome plasticity, and protect the host against infection of related pathogenic and exogenous retroviruses, thus some ERVs have been positively selected and maintained in the host genome. The sheep genome contains 27 endogenous retroviruses (enJSRVs) related to the pathogenic Jaagsiekte sheep retrovirus (JSRV), the causative agent of a transmissible lung cancer in sheep. enJSRVs are able to protect their host against JSRV infection by blocking different steps of the viral replication cycle. In addition, enJSRVs are absolutely required for sheep placental development. Thus, enJSRVs-JSRV provides a unique and interesting model to study the symbiotic relationship and interplay between host ERVs and evolution. This review will provide some examples of the biological functions of ERVs. In particular, the role of ERVs in reproductive biology and in protecting the host against pathogenic retrovirus infections will be emphasized using enJSRVs/JSRV and the sheep as a model.", "author" : [ { "dropping-particle" : "", "family" : "Varela", "given" : "Mariana", "non-dropping-particle" : "", "parse-names" : false, "suffix" : "" }, { "dropping-particle" : "", "family" : "Spencer", "given" : "Thomas E", "non-dropping-particle" : "", "parse-names" : false, "suffix" : "" }, { "dropping-particle" : "", "family" : "Palmarini", "given" : "Massimo", "non-dropping-particle" : "", "parse-names" : false, "suffix" : "" }, { "dropping-particle" : "", "family" : "Arnaud", "given" : "Fr\u00e9d\u00e9rick", "non-dropping-particle" : "", "parse-names" : false, "suffix" : "" } ], "container-title" : "Annals of the New York Academy of Sciences", "id" : "ITEM-3", "issued" : { "date-parts" : [ [ "2009" ] ] }, "page" : "157-172", "title" : "Friendly Viruses", "type" : "article-journal", "volume" : "1178" }, "uris" : [ "http://www.mendeley.com/documents/?uuid=1fe9d0b0-f87f-48c7-89c2-30c07fa135fa" ] }, { "id" : "ITEM-4", "itemData" : { "DOI" : "10.1128/JVI.01267-13", "ISSN" : "1098-5514", "PMID" : "23966402", "abstract" : "The host defense against viral infection is acquired during the coevolution or symbiosis of the host and pathogen. Several cellular factors that restrict retroviral infection have been identified in the hosts. Feline leukemia virus (FeLV) is a gammaretrovirus that is classified into several receptor interference groups, including a novel FeLV-subgroup D (FeLV-D) that we recently identified. FeLV-D is generated by transduction of the env gene of feline endogenous gammaretrovirus of the domestic cat (ERV-DCs) into FeLV. Some ERV-DCs are replication competent viruses which are present and hereditary in cats. We report here the determination of new viral receptor interference groups and the discovery of a soluble antiretroviral factor, termed Refrex-1. Detailed analysis of FeLV-D strains and ERV-DCs showed two receptor interference groups that are distinct from other FeLV subgroups, and Refrex-1 specifically inhibited one of them. Refrex-1 is characterized as a truncated envelope protein of ERV-DC and includes the N-terminal region of surface unit, which is a putative receptor-binding domain, but lacks the transmembrane region. Refrex-1 is efficiently secreted from the cells and appears to cause receptor interference extracellularly. Two variants of Refrex-1 encoded by provirus loci, ERV-DC7 and DC16, are expressed in a broad range of feline tissues. The host retains Refrex-1 as an antiretroviral factor, which may potentially prevent reemergence of the ERVs and the emergence of novel ERV-related viruses in cats. Refrex-1 may have been acquired during endogenization of ERV-DCs and may play an important role in retroviral restriction and antiviral defense in cats.", "author" : [ { "dropping-particle" : "", "family" : "Ito", "given" : "Jumpei", "non-dropping-particle" : "", "parse-names" : false, "suffix" : "" }, { "dropping-particle" : "", "family" : "Watanabe", "given" : "Shinya", "non-dropping-particle" : "", "parse-names" : false, "suffix" : "" }, { "dropping-particle" : "", "family" : "Hiratsuka", "given" : "Takahiro", "non-dropping-particle" : "", "parse-names" : false, "suffix" : "" }, { "dropping-particle" : "", "family" : "Kuse", "given" : "Kyohei", "non-dropping-particle" : "", "parse-names" : false, "suffix" : "" }, { "dropping-particle" : "", "family" : "Odahara", "given" : "Yuka", "non-dropping-particle" : "", "parse-names" : false, "suffix" : "" }, { "dropping-particle" : "", "family" : "Ochi", "given" : "Haruyo", "non-dropping-particle" : "", "parse-names" : false, "suffix" : "" }, { "dropping-particle" : "", "family" : "Kawamura", "given" : "Maki", "non-dropping-particle" : "", "parse-names" : false, "suffix" : "" }, { "dropping-particle" : "", "family" : "Nishigaki", "given" : "Kazuo", "non-dropping-particle" : "", "parse-names" : false, "suffix" : "" } ], "container-title" : "Journal of virology", "id" : "ITEM-4", "issue" : "22", "issued" : { "date-parts" : [ [ "2013" ] ] }, "page" : "12029-40", "title" : "Refrex-1, a soluble restriction factor against feline endogenous and exogenous retroviruses.", "type" : "article-journal", "volume" : "87" }, "uris" : [ "http://www.mendeley.com/documents/?uuid=51e202fa-7d0c-4fa9-9b70-a8fce951c29e" ] }, { "id" : "ITEM-5", "itemData" : { "DOI" : "10.3390/v7010001", "ISSN" : "1999-4915", "abstract" : "The mouse gammaretroviruses associated with leukemogenesis are found in the classical inbred mouse strains and in house mouse subspecies as infectious exogenous viruses (XRVs) and as endogenous retroviruses (ERVs) inserted into their host genomes. There are three major mouse leukemia virus (MuLV) subgroups in laboratory mice: ecotropic, xenotropic, and polytropic. These MuLV subgroups differ in host range, pathogenicity, receptor usage and subspecies of origin. The MuLV ERVs are recent acquisitions in the mouse genome as demonstrated by the presence of many full-length nondefective MuLV ERVs that produce XRVs, the segregation of these MuLV subgroups into different house mouse subspecies, and by the positional polymorphism of these loci among inbred strains and individual wild mice. While some ecotropic and xenotropic ERVs can produce XRVs directly, others, especially the pathogenic polytropic ERVs, do so only after recombinations that can involve all three ERV subgroups. Here, I describe individual MuLV ERVs found in the laboratory mice, their origins and geographic distribution in wild mouse subspecies, their varying ability to produce infectious virus and the biological consequences of this expression.", "author" : [ { "dropping-particle" : "", "family" : "Kozak", "given" : "Christine", "non-dropping-particle" : "", "parse-names" : false, "suffix" : "" } ], "container-title" : "Viruses", "id" : "ITEM-5", "issue" : "1", "issued" : { "date-parts" : [ [ "2014" ] ] }, "page" : "1-26", "title" : "Origins of the Endogenous and Infectious Laboratory Mouse Gammaretroviruses", "type" : "article-journal", "volume" : "7" }, "uris" : [ "http://www.mendeley.com/documents/?uuid=ee26789f-3e68-488a-8495-35a23d331fa5" ] } ], "mendeley" : { "formattedCitation" : "(Lavialle et al. 2013; Smith et al. 1990a; Varela et al. 2009; Ito et al. 2013; Kozak 2014)", "plainTextFormattedCitation" : "(Lavialle et al. 2013; Smith et al. 1990a; Varela et al. 2009; Ito et al. 2013; Kozak 2014)", "previouslyFormattedCitation" : "(Lavialle et al. 2013; Smith et al. 1990a; Varela et al. 2009; Ito et al. 2013; Kozak 2014)" }, "properties" : { "noteIndex" : 0 }, "schema" : "https://github.com/citation-style-language/schema/raw/master/csl-citation.json" }</w:instrText>
      </w:r>
      <w:r>
        <w:fldChar w:fldCharType="separate"/>
      </w:r>
      <w:r w:rsidRPr="00982365">
        <w:rPr>
          <w:noProof/>
        </w:rPr>
        <w:t>(Lavialle et al. 2013; Smith et al. 1990a; Varela et al. 2009; Ito et al. 2013; Kozak 2014)</w:t>
      </w:r>
      <w:r>
        <w:fldChar w:fldCharType="end"/>
      </w:r>
      <w:r>
        <w:t xml:space="preserve">, by physically blocking retroviral entry receptors as a competitive inhibitor. </w:t>
      </w:r>
      <w:r w:rsidR="0080052B">
        <w:t xml:space="preserve">Identification of duplicated avian homologues in three avian species also supports receptor interference, with duplicates </w:t>
      </w:r>
      <w:r w:rsidR="001F35B0">
        <w:t xml:space="preserve">potentially </w:t>
      </w:r>
      <w:r w:rsidR="0080052B">
        <w:t xml:space="preserve">selected for defence to related, but distinct exogenous gammaretroviruses. This would be the first example of gammaretroviral </w:t>
      </w:r>
      <w:r w:rsidR="0080052B">
        <w:rPr>
          <w:i/>
        </w:rPr>
        <w:t>env</w:t>
      </w:r>
      <w:r w:rsidR="0080052B">
        <w:rPr>
          <w:i/>
        </w:rPr>
        <w:softHyphen/>
        <w:t>elope</w:t>
      </w:r>
      <w:r w:rsidR="0080052B">
        <w:t>-mediated receptor interference in chicken.</w:t>
      </w:r>
    </w:p>
    <w:p w14:paraId="56F39511" w14:textId="25DADAE6" w:rsidR="00462917" w:rsidRDefault="00462917" w:rsidP="00391005">
      <w:pPr>
        <w:pStyle w:val="ListParagraph"/>
      </w:pPr>
    </w:p>
    <w:p w14:paraId="14993B64" w14:textId="71F155E0" w:rsidR="00800D5D" w:rsidRDefault="00800D5D" w:rsidP="00800D5D">
      <w:pPr>
        <w:pStyle w:val="Heading2"/>
      </w:pPr>
      <w:bookmarkStart w:id="235" w:name="_Toc485721603"/>
      <w:bookmarkStart w:id="236" w:name="_Toc486787183"/>
      <w:bookmarkStart w:id="237" w:name="_Toc486787331"/>
      <w:r>
        <w:t>Concluding remarks</w:t>
      </w:r>
      <w:bookmarkEnd w:id="235"/>
      <w:bookmarkEnd w:id="236"/>
      <w:bookmarkEnd w:id="237"/>
    </w:p>
    <w:p w14:paraId="6D6E29D5" w14:textId="7987B35F" w:rsidR="00920FC5" w:rsidRDefault="005F4D21" w:rsidP="00391005">
      <w:pPr>
        <w:pStyle w:val="ListParagraph"/>
      </w:pPr>
      <w:r>
        <w:t xml:space="preserve">This detailed annotation of LTR retrotransposons in the chicken reference genome provides a platform for further analysis. Within the scope </w:t>
      </w:r>
      <w:r w:rsidR="00691A6E">
        <w:t>of this project, it has</w:t>
      </w:r>
      <w:r>
        <w:t xml:space="preserve"> enable</w:t>
      </w:r>
      <w:r w:rsidR="00691A6E">
        <w:t>d</w:t>
      </w:r>
      <w:r>
        <w:t xml:space="preserve"> an evolutionary study of LTR retrotransposon content across the avian lineage (Chapter 4) and </w:t>
      </w:r>
      <w:r w:rsidR="00462917">
        <w:t>the evaluation of</w:t>
      </w:r>
      <w:r>
        <w:t xml:space="preserve"> ALVE diversity across chicken </w:t>
      </w:r>
      <w:r w:rsidR="00462917">
        <w:t>sub</w:t>
      </w:r>
      <w:r>
        <w:t>populations and commercial lines (Chapters 6 and 7). Beyond its application for chicken research, the development of the LocaTR identi</w:t>
      </w:r>
      <w:r w:rsidR="00462917">
        <w:t>fication pipeline</w:t>
      </w:r>
      <w:r>
        <w:t xml:space="preserve"> provide</w:t>
      </w:r>
      <w:r w:rsidR="00462917">
        <w:t>s</w:t>
      </w:r>
      <w:r>
        <w:t xml:space="preserve"> a useful resource to other researche</w:t>
      </w:r>
      <w:r w:rsidR="00462917">
        <w:t>r</w:t>
      </w:r>
      <w:r>
        <w:t xml:space="preserve">s for the identification of these retroelements in </w:t>
      </w:r>
      <w:r w:rsidR="00462917">
        <w:t>any assembled genome</w:t>
      </w:r>
      <w:r>
        <w:t xml:space="preserve">. </w:t>
      </w:r>
    </w:p>
    <w:p w14:paraId="17CD12B9" w14:textId="25DB475C" w:rsidR="00462917" w:rsidRDefault="00462917" w:rsidP="00391005">
      <w:pPr>
        <w:pStyle w:val="ListParagraph"/>
      </w:pPr>
    </w:p>
    <w:p w14:paraId="684D602C" w14:textId="3234690A" w:rsidR="00462917" w:rsidRDefault="00462917" w:rsidP="00391005">
      <w:pPr>
        <w:pStyle w:val="ListParagraph"/>
      </w:pPr>
    </w:p>
    <w:p w14:paraId="1FAE5FFA" w14:textId="77777777" w:rsidR="00FE2022" w:rsidRDefault="00FE2022" w:rsidP="00391005">
      <w:pPr>
        <w:pStyle w:val="ListParagraph"/>
        <w:sectPr w:rsidR="00FE2022" w:rsidSect="00504068">
          <w:pgSz w:w="11906" w:h="16838"/>
          <w:pgMar w:top="1134" w:right="1418" w:bottom="2268" w:left="2268" w:header="709" w:footer="1066" w:gutter="0"/>
          <w:cols w:space="708"/>
          <w:docGrid w:linePitch="360"/>
        </w:sectPr>
      </w:pPr>
    </w:p>
    <w:p w14:paraId="3647D36E" w14:textId="3246F212" w:rsidR="00920FC5" w:rsidRDefault="00920FC5" w:rsidP="00920FC5">
      <w:pPr>
        <w:pStyle w:val="Heading1"/>
      </w:pPr>
      <w:r>
        <w:lastRenderedPageBreak/>
        <w:t xml:space="preserve"> </w:t>
      </w:r>
      <w:bookmarkStart w:id="238" w:name="_Toc485721604"/>
      <w:bookmarkStart w:id="239" w:name="_Toc486787184"/>
      <w:bookmarkStart w:id="240" w:name="_Toc486787332"/>
      <w:r w:rsidR="0064236A">
        <w:t>Patterns in LTR retrotransposon content across the Avian lineage</w:t>
      </w:r>
      <w:bookmarkEnd w:id="238"/>
      <w:bookmarkEnd w:id="239"/>
      <w:bookmarkEnd w:id="240"/>
    </w:p>
    <w:p w14:paraId="7C86F0F5" w14:textId="58AAD7BC" w:rsidR="00920FC5" w:rsidRDefault="0060481D" w:rsidP="00D4225A">
      <w:pPr>
        <w:pStyle w:val="Heading2"/>
      </w:pPr>
      <w:bookmarkStart w:id="241" w:name="_Ref483313519"/>
      <w:bookmarkStart w:id="242" w:name="_Toc485721605"/>
      <w:bookmarkStart w:id="243" w:name="_Toc486787185"/>
      <w:bookmarkStart w:id="244" w:name="_Toc486787333"/>
      <w:r>
        <w:t>Introduction</w:t>
      </w:r>
      <w:bookmarkEnd w:id="241"/>
      <w:bookmarkEnd w:id="242"/>
      <w:bookmarkEnd w:id="243"/>
      <w:bookmarkEnd w:id="244"/>
    </w:p>
    <w:p w14:paraId="75F79AFE" w14:textId="21E2426D" w:rsidR="0060481D" w:rsidRDefault="00A9351A" w:rsidP="00391005">
      <w:pPr>
        <w:pStyle w:val="ListParagraph"/>
      </w:pPr>
      <w:r>
        <w:t>The work presented in the previous chapter showed that the chicken</w:t>
      </w:r>
      <w:r w:rsidR="00CD4D74">
        <w:t xml:space="preserve"> (</w:t>
      </w:r>
      <w:r w:rsidR="00F2444A">
        <w:t xml:space="preserve">super order </w:t>
      </w:r>
      <w:r w:rsidR="00CD4D74">
        <w:t>Galloanserae)</w:t>
      </w:r>
      <w:r>
        <w:t xml:space="preserve"> has a similar LTR retrotransposon content to that previously described in Neoaves. However, this could now be due to research effort rather than a true, biologically accurate representation of the difference in content between these birds. It should also be remembered that the initial proposal of a deficit of LTR retrotransposons within the Galliformes was based on comparisons with a limited selection of Neoaves</w:t>
      </w:r>
      <w:r w:rsidR="00CD4D74">
        <w:t xml:space="preserve"> genomes available at the time</w:t>
      </w:r>
      <w:r>
        <w:t xml:space="preserve"> </w:t>
      </w:r>
      <w:r>
        <w:fldChar w:fldCharType="begin" w:fldLock="1"/>
      </w:r>
      <w:r w:rsidR="003B2D9C">
        <w:instrText>ADDIN CSL_CITATION { "citationItems" : [ { "id" : "ITEM-1", "itemData" : { "DOI" : "10.1093/molbev/msr147; Waddell, P.J., Kishino, H., Ota, R., A phylogenetic foundation for comparative mammalian genomics (2001) Genome Inform, 12, pp. 141-154; Steel, M., Penny, D., Parsimony, likelihood, and the role of models in molecular phylogenetics (2000) Molecular Biology and Evolution, 17 (6), pp. 839-850; Van De Lagemaat, L.N., Gagnier, L., Medstrand, P., Mager, D.L., Genomic deletions and precise removal of transposable elements mediated by short identical DNA segments in primates (200", "ISBN" : "20411723 (ISSN)", "ISSN" : "2041-1723", "PMID" : "21863010", "abstract" : "The relationships of passerines (such as the well-studied zebra finch) with non-passerine birds is one of the great enigmas of avian phylogenetic research, because decades of extensive morphological and molecular studies yielded highly inconsistent results between and within data sets. Here we show the first application of the virtually homoplasy-free retroposon insertions to this controversy. Our study examined \u223c200,000 retroposon-containing loci from various avian genomes and retrieved 51 markers resolving early bird phylogeny. Among these, we obtained statistically significant evidence that parrots are the closest and falcons the second-closest relatives of passerines, together constituting the Psittacopasserae and the Eufalconimorphae, respectively. Our new and robust phylogenetic framework has substantial implications for the interpretation of various conclusions drawn from passerines as model organisms. This includes insights of relevance to human neuroscience, as vocal learning (that is, birdsong) probably evolved in the psittacopasseran ancestor, &gt;30 million years earlier than previously assumed. \u00a9 2011 Macmillan Publishers Limited. All rights reserved.", "author" : [ { "dropping-particle" : "", "family" : "Suh", "given" : "Alexander", "non-dropping-particle" : "", "parse-names" : false, "suffix" : "" }, { "dropping-particle" : "", "family" : "Paus", "given" : "Martin", "non-dropping-particle" : "", "parse-names" : false, "suffix" : "" }, { "dropping-particle" : "", "family" : "Kiefmann", "given" : "Martin", "non-dropping-particle" : "", "parse-names" : false, "suffix" : "" }, { "dropping-particle" : "", "family" : "Churakov", "given" : "Gennady", "non-dropping-particle" : "", "parse-names" : false, "suffix" : "" }, { "dropping-particle" : "", "family" : "Franke", "given" : "Franziska Anni", "non-dropping-particle" : "", "parse-names" : false, "suffix" : "" }, { "dropping-particle" : "", "family" : "Brosius", "given" : "J\u00fcrgen", "non-dropping-particle" : "", "parse-names" : false, "suffix" : "" }, { "dropping-particle" : "", "family" : "Kriegs", "given" : "Jan Ole", "non-dropping-particle" : "", "parse-names" : false, "suffix" : "" }, { "dropping-particle" : "", "family" : "Schmitz", "given" : "J\u00fcrgen", "non-dropping-particle" : "", "parse-names" : false, "suffix" : "" } ], "container-title" : "Nature Communications", "id" : "ITEM-1", "issue" : "1", "issued" : { "date-parts" : [ [ "2011" ] ] }, "page" : "443", "title" : "Mesozoic retroposons reveal parrots as the closest living relatives of passerine birds", "type" : "article-journal", "volume" : "2" }, "uris" : [ "http://www.mendeley.com/documents/?uuid=ee5b53d6-ff54-4356-8175-8b5380f9fcb8" ] }, { "id" : "ITEM-2",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"ITEM-2",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"(Suh et al. 2011; Bolisetty et al. 2012)", "plainTextFormattedCitation" : "(Suh et al. 2011; Bolisetty et al. 2012)", "previouslyFormattedCitation" : "(Suh et al. 2011; Bolisetty et al. 2012)" }, "properties" : { "noteIndex" : 0 }, "schema" : "https://github.com/citation-style-language/schema/raw/master/csl-citation.json" }</w:instrText>
      </w:r>
      <w:r>
        <w:fldChar w:fldCharType="separate"/>
      </w:r>
      <w:r w:rsidRPr="00A9351A">
        <w:rPr>
          <w:noProof/>
        </w:rPr>
        <w:t>(Suh et al. 2011; Bolisetty et al. 2012)</w:t>
      </w:r>
      <w:r>
        <w:fldChar w:fldCharType="end"/>
      </w:r>
      <w:r>
        <w:t xml:space="preserve">. It is therefore possible that these conclusions were drawn based on lineage-specific LTR retrotransposon expansions. </w:t>
      </w:r>
    </w:p>
    <w:p w14:paraId="38747F14" w14:textId="00A26D69" w:rsidR="003B2D9C" w:rsidRDefault="00A9351A" w:rsidP="00391005">
      <w:pPr>
        <w:pStyle w:val="ListParagraph"/>
      </w:pPr>
      <w:r>
        <w:t>During the second year of my PhD project a wide phylogenetic range of draft avian genomes were released</w:t>
      </w:r>
      <w:r w:rsidR="003B2D9C">
        <w:t xml:space="preserve">, enabling large-scale comparative genomic studies for the first time </w:t>
      </w:r>
      <w:r w:rsidR="003B2D9C">
        <w:fldChar w:fldCharType="begin" w:fldLock="1"/>
      </w:r>
      <w:r w:rsidR="00C9268C">
        <w:instrText>ADDIN CSL_CITATION { "citationItems" : [ { "id" : "ITEM-1", "itemData" : { "DOI" : "10.1126/science.1251385", "abstract" : "birds phylogeny bi334", "author" : [ { "dropping-particle" : "", "family" : "Jarvis", "given" : "Erich D", "non-dropping-particle" : "", "parse-names" : false, "suffix" : "" } ], "container-title" : "Science", "id" : "ITEM-1", "issue" : "6215", "issued" : { "date-parts" : [ [ "2014" ] ] }, "page" : "1126-1138", "title" : "Whole-genome analyses resolve early branches in the tree of life of modern birds", "type" : "article-journal", "volume" : "346" }, "uris" : [ "http://www.mendeley.com/documents/?uuid=2b527e6a-3595-42f9-ae80-ae726adb1ae4" ] } ], "mendeley" : { "formattedCitation" : "(Jarvis 2014)", "plainTextFormattedCitation" : "(Jarvis 2014)", "previouslyFormattedCitation" : "(Jarvis 2014)" }, "properties" : { "noteIndex" : 0 }, "schema" : "https://github.com/citation-style-language/schema/raw/master/csl-citation.json" }</w:instrText>
      </w:r>
      <w:r w:rsidR="003B2D9C">
        <w:fldChar w:fldCharType="separate"/>
      </w:r>
      <w:r w:rsidR="003B2D9C" w:rsidRPr="003B2D9C">
        <w:rPr>
          <w:noProof/>
        </w:rPr>
        <w:t>(Jarvis 2014)</w:t>
      </w:r>
      <w:r w:rsidR="003B2D9C">
        <w:fldChar w:fldCharType="end"/>
      </w:r>
      <w:r w:rsidR="003B2D9C">
        <w:t>. This took the number of publicly available avian genomes to forty-eight, a number which has continued to increase over the last three years.</w:t>
      </w:r>
      <w:r w:rsidR="00267C6E">
        <w:t xml:space="preserve"> Most of these were Neoaves genomes (reflecting avian extant diversity), with the chicken, turkey and duck of the Galloanserae, and the African ostrich (</w:t>
      </w:r>
      <w:r w:rsidR="00267C6E">
        <w:rPr>
          <w:i/>
        </w:rPr>
        <w:t>Struthio camelus australis</w:t>
      </w:r>
      <w:r w:rsidR="00267C6E">
        <w:t>) and white-throated tinamou (</w:t>
      </w:r>
      <w:r w:rsidR="00267C6E">
        <w:rPr>
          <w:i/>
        </w:rPr>
        <w:t>Tinamus guttatus</w:t>
      </w:r>
      <w:r w:rsidR="00267C6E">
        <w:t>) of the Paleognathae.</w:t>
      </w:r>
      <w:r w:rsidR="003B2D9C">
        <w:t xml:space="preserve"> </w:t>
      </w:r>
      <w:r w:rsidR="00C9268C">
        <w:t xml:space="preserve">Endogenous viral elements were studied almost immediately </w:t>
      </w:r>
      <w:r w:rsidR="00C9268C">
        <w:fldChar w:fldCharType="begin" w:fldLock="1"/>
      </w:r>
      <w:r w:rsidR="001A3162">
        <w:instrText>ADDIN CSL_CITATION { "citationItems" : [ { "id" : "ITEM-1", "itemData" : { "DOI" : "10.1186/s13059-014-0539-3", "ISSN" : "1465-6906", "author" : [ { "dropping-particle" : "", "family" : "Cui", "given" : "Jie", "non-dropping-particle" : "", "parse-names" : false, "suffix" : "" }, { "dropping-particle" : "", "family" : "Zhao", "given" : "Wei", "non-dropping-particle" : "", "parse-names" : false, "suffix" : "" }, { "dropping-particle" : "", "family" : "Huang", "given" : "Zhiyong", "non-dropping-particle" : "", "parse-names" : false, "suffix" : "" }, { "dropping-particle" : "", "family" : "Jarvis", "given" : "Erich D", "non-dropping-particle" : "", "parse-names" : false, "suffix" : "" }, { "dropping-particle" : "", "family" : "Gilbert", "given" : "M Thomas P", "non-dropping-particle" : "", "parse-names" : false, "suffix" : "" }, { "dropping-particle" : "", "family" : "Walker", "given" : "Peter J", "non-dropping-particle" : "", "parse-names" : false, "suffix" : "" }, { "dropping-particle" : "", "family" : "Holmes", "given" : "Edward C", "non-dropping-particle" : "", "parse-names" : false, "suffix" : "" }, { "dropping-particle" : "", "family" : "Zhang", "given" : "Guojie", "non-dropping-particle" : "", "parse-names" : false, "suffix" : "" } ], "container-title" : "Genome Biology", "id" : "ITEM-1", "issue" : "12", "issued" : { "date-parts" : [ [ "2014", "12", "11" ] ] }, "page" : "539", "title" : "Low frequency of paleoviral infiltration across the avian phylogeny", "type" : "article-journal", "volume" : "15" }, "uris" : [ "http://www.mendeley.com/documents/?uuid=708ad32d-179e-4bea-85bf-63c6a61405bf" ] } ], "mendeley" : { "formattedCitation" : "(Cui et al. 2014)", "plainTextFormattedCitation" : "(Cui et al. 2014)", "previouslyFormattedCitation" : "(Cui et al. 2014)" }, "properties" : { "noteIndex" : 0 }, "schema" : "https://github.com/citation-style-language/schema/raw/master/csl-citation.json" }</w:instrText>
      </w:r>
      <w:r w:rsidR="00C9268C">
        <w:fldChar w:fldCharType="separate"/>
      </w:r>
      <w:r w:rsidR="00C9268C" w:rsidRPr="00C9268C">
        <w:rPr>
          <w:noProof/>
        </w:rPr>
        <w:t>(Cui et al. 2014)</w:t>
      </w:r>
      <w:r w:rsidR="00C9268C">
        <w:fldChar w:fldCharType="end"/>
      </w:r>
      <w:r w:rsidR="00C9268C">
        <w:t>, and the greatest numbers of intact ERVs were identified in three oscine passerines: 725 in zebra finch, 785 in the medium ground finch (</w:t>
      </w:r>
      <w:r w:rsidR="00C9268C">
        <w:rPr>
          <w:i/>
        </w:rPr>
        <w:t>Geospiza fortis</w:t>
      </w:r>
      <w:r w:rsidR="00C9268C">
        <w:t>), and 1,032 in the American crow (</w:t>
      </w:r>
      <w:r w:rsidR="00C9268C">
        <w:rPr>
          <w:i/>
        </w:rPr>
        <w:t>Corvus brachyrhynchos</w:t>
      </w:r>
      <w:r w:rsidR="00C9268C">
        <w:t>). However, at least in terms of intact elements, there was no clear split in content between Galliformes and Neoaves. The average number of identified intact ER</w:t>
      </w:r>
      <w:r w:rsidR="00BA01B7">
        <w:t xml:space="preserve">Vs was 350: the </w:t>
      </w:r>
      <w:r w:rsidR="00C9268C">
        <w:t>chicken had 573</w:t>
      </w:r>
      <w:r w:rsidR="00BA01B7">
        <w:t xml:space="preserve"> and turkey had 303</w:t>
      </w:r>
      <w:r w:rsidR="00C9268C">
        <w:t>. Furthermore, the work presented in chapter 3 identified 1,073 intact ERVs</w:t>
      </w:r>
      <w:r w:rsidR="005A452B">
        <w:t xml:space="preserve"> in chicken</w:t>
      </w:r>
      <w:r w:rsidR="00C9268C">
        <w:t xml:space="preserve">. </w:t>
      </w:r>
    </w:p>
    <w:p w14:paraId="7E09F84F" w14:textId="77777777" w:rsidR="005A452B" w:rsidRDefault="001A3162" w:rsidP="00391005">
      <w:pPr>
        <w:pStyle w:val="ListParagraph"/>
      </w:pPr>
      <w:r>
        <w:t>This</w:t>
      </w:r>
      <w:r w:rsidR="00BA01B7">
        <w:t xml:space="preserve"> variation in ERV</w:t>
      </w:r>
      <w:r>
        <w:t xml:space="preserve"> content, especially as there i</w:t>
      </w:r>
      <w:r w:rsidR="00BA01B7">
        <w:t xml:space="preserve">s little evidence of shared avian ERVs with reptilian species, suggests lineage-specific expansion and contraction of many of these elements. </w:t>
      </w:r>
      <w:r>
        <w:t>Multiple</w:t>
      </w:r>
      <w:r w:rsidR="00BA01B7">
        <w:t xml:space="preserve"> studies published during and since my own analysis of LTR retrotransposons across the avian lineage (below) have supported the importance of lineage-specific repeat content, particularly in the Neoaves. </w:t>
      </w:r>
      <w:r>
        <w:t xml:space="preserve">This stems from the rapid </w:t>
      </w:r>
      <w:r>
        <w:lastRenderedPageBreak/>
        <w:t>diversification of this group which has produced a hard polytomy at the base of the lineage, resulting in large-scale, incomplete lineage sorting of thousands of analysed genetic markers, including transposable elements</w:t>
      </w:r>
      <w:r w:rsidR="00D23E39">
        <w:t xml:space="preserve"> (TEs)</w:t>
      </w:r>
      <w:r>
        <w:t xml:space="preserve"> </w:t>
      </w:r>
      <w:r>
        <w:fldChar w:fldCharType="begin" w:fldLock="1"/>
      </w:r>
      <w:r w:rsidR="00FD5BE8">
        <w:instrText>ADDIN CSL_CITATION { "citationItems" : [ { "id" : "ITEM-1", "itemData" : { "DOI" : "10.1371/journal.pbio.1002224", "ISSN" : "1545-7885", "PMID" : "26284513", "abstract" : "The diversification of neoavian birds is one of the most rapid adaptive radiations of extant organisms. Recent whole-genome sequence analyses have much improved the resolution of the neoavian radiation and suggest concurrence with the Cretaceous-Paleogene (K-Pg) boundary, yet the causes of the remaining genome-level irresolvabilities appear unclear. Here we show that genome-level analyses of 2,118 retrotransposon presence/absence markers converge at a largely consistent Neoaves phylogeny and detect a highly differential temporal prevalence of incomplete lineage sorting (ILS), i.e., the persistence of ancestral genetic variation as polymorphisms during speciation events. We found that ILS-derived incongruences are spread over the genome and involve 35% and 34% of the analyzed loci on the autosomes and the Z chromosome, respectively. Surprisingly, Neoaves diversification comprises three adaptive radiations, an initial near-K-Pg super-radiation with highly discordant phylogenetic signals from near-simultaneous speciation events, followed by two post-K-Pg radiations of core landbirds and core waterbirds with much less pronounced ILS. We provide evidence that, given the extreme level of up to 100% ILS per branch in super-radiations, particularly rapid speciation events may neither resemble a fully bifurcating tree nor are they resolvable as such. As a consequence, their complex demographic history is more accurately represented as local networks within a species tree.", "author" : [ { "dropping-particle" : "", "family" : "Suh", "given" : "Alexander", "non-dropping-particle" : "", "parse-names" : false, "suffix" : "" }, { "dropping-particle" : "", "family" : "Smeds", "given" : "Linn\u00e9a", "non-dropping-particle" : "", "parse-names" : false, "suffix" : "" }, { "dropping-particle" : "", "family" : "Ellegren", "given" : "Hans", "non-dropping-particle" : "", "parse-names" : false, "suffix" : "" } ], "container-title" : "PLoS biology", "id" : "ITEM-1", "issue" : "8", "issued" : { "date-parts" : [ [ "2015", "8" ] ] }, "page" : "e1002224", "title" : "The Dynamics of Incomplete Lineage Sorting across the Ancient Adaptive Radiation of Neoavian Birds.", "type" : "article-journal", "volume" : "13" }, "uris" : [ "http://www.mendeley.com/documents/?uuid=a622332a-6b4b-4dbd-b803-efc73d686483" ] }, { "id" : "ITEM-2", "itemData" : { "DOI" : "10.1111/zsc.12213", "ISSN" : "14636409", "author" : [ { "dropping-particle" : "", "family" : "Suh", "given" : "Alexander", "non-dropping-particle" : "", "parse-names" : false, "suffix" : "" } ], "container-title" : "Zoologica Scripta", "id" : "ITEM-2", "issue" : "October", "issued" : { "date-parts" : [ [ "2016" ] ] }, "page" : "50-62", "title" : "The phylogenomic forest of bird trees contains a hard polytomy at the root of Neoaves", "type" : "article-journal", "volume" : "45" }, "uris" : [ "http://www.mendeley.com/documents/?uuid=c693cb77-1f94-43e1-94bd-65908eba3671" ] } ], "mendeley" : { "formattedCitation" : "(Suh et al. 2015; Suh 2016)", "plainTextFormattedCitation" : "(Suh et al. 2015; Suh 2016)", "previouslyFormattedCitation" : "(Suh et al. 2015; Suh 2016)" }, "properties" : { "noteIndex" : 0 }, "schema" : "https://github.com/citation-style-language/schema/raw/master/csl-citation.json" }</w:instrText>
      </w:r>
      <w:r>
        <w:fldChar w:fldCharType="separate"/>
      </w:r>
      <w:r w:rsidRPr="001A3162">
        <w:rPr>
          <w:noProof/>
        </w:rPr>
        <w:t>(Suh et al. 2015; Suh 2016)</w:t>
      </w:r>
      <w:r>
        <w:fldChar w:fldCharType="end"/>
      </w:r>
      <w:r>
        <w:t xml:space="preserve">. </w:t>
      </w:r>
    </w:p>
    <w:p w14:paraId="650BECC7" w14:textId="0309BB9F" w:rsidR="00D23E39" w:rsidRDefault="005A452B" w:rsidP="00391005">
      <w:pPr>
        <w:pStyle w:val="ListParagraph"/>
      </w:pPr>
      <w:r>
        <w:t>T</w:t>
      </w:r>
      <w:r w:rsidR="00D23E39">
        <w:t xml:space="preserve">he general evolutionary consensus for the consistently low TE content of avian genomes (5-10 %, except approximately 22 % in the downy woodpecker, </w:t>
      </w:r>
      <w:r w:rsidR="00D23E39">
        <w:rPr>
          <w:i/>
        </w:rPr>
        <w:t>Dryobates pubescens</w:t>
      </w:r>
      <w:r w:rsidR="00D23E39">
        <w:t>) has been that these elements are generally inactive</w:t>
      </w:r>
      <w:r w:rsidR="00F2444A">
        <w:t xml:space="preserve"> </w:t>
      </w:r>
      <w:r w:rsidR="00F2444A">
        <w:fldChar w:fldCharType="begin" w:fldLock="1"/>
      </w:r>
      <w:r w:rsidR="00DA63FA">
        <w:instrText>ADDIN CSL_CITATION { "citationItems" : [ { "id" : "ITEM-1", "itemData" : { "DOI" : "10.1080/10635150601091924", "author" : [ { "dropping-particle" : "", "family" : "Shedlock", "given" : "Andrew M", "non-dropping-particle" : "", "parse-names" : false, "suffix" : "" } ], "container-title" : "Systematic Biology", "id" : "ITEM-1", "issue" : "6", "issued" : { "date-parts" : [ [ "2006" ] ] }, "page" : "902-911", "title" : "Phylogenomic Investigation of CR1 LINE Diversity in Reptiles", "type" : "article-journal", "volume" : "55" }, "uris" : [ "http://www.mendeley.com/documents/?uuid=7be5c773-f4e6-42db-932e-6e3f90064284" ] }, { "id" : "ITEM-2", "itemData" : { "author" : [ { "dropping-particle" : "", "family" : "Shedlock", "given" : "Andrew M", "non-dropping-particle" : "", "parse-names" : false, "suffix" : "" }, { "dropping-particle" : "", "family" : "Botka", "given" : "Christopher W", "non-dropping-particle" : "", "parse-names" : false, "suffix" : "" }, { "dropping-particle" : "", "family" : "Zhao", "given" : "Shaying", "non-dropping-particle" : "", "parse-names" : false, "suffix" : "" }, { "dropping-particle" : "", "family" : "Shetty", "given" : "Jyoti", "non-dropping-particle" : "", "parse-names" : false, "suffix" : "" }, { "dropping-particle" : "", "family" : "Zhang", "given" : "Tingting", "non-dropping-particle" : "", "parse-names" : false, "suffix" : "" }, { "dropping-particle" : "", "family" : "Liu", "given" : "Jun S", "non-dropping-particle" : "", "parse-names" : false, "suffix" : "" }, { "dropping-particle" : "", "family" : "Deschavanne", "given" : "Patrick J", "non-dropping-particle" : "", "parse-names" : false, "suffix" : "" }, { "dropping-particle" : "V", "family" : "Edwards", "given" : "Scott", "non-dropping-particle" : "", "parse-names" : false, "suffix" : "" } ], "container-title" : "PNAS", "id" : "ITEM-2", "issue" : "8", "issued" : { "date-parts" : [ [ "2007" ] ] }, "page" : "2767-2772", "title" : "Phylogenomics of nonavian reptiles and the structure of the ancestral amniote genome", "type" : "article-journal", "volume" : "104" }, "uris" : [ "http://www.mendeley.com/documents/?uuid=3d19b758-6fa5-4bf2-a3f4-99fa8d204650" ] }, { "id" : "ITEM-3", "itemData" : { "DOI" : "10.1146/annurev-genom-082509-141646", "author" : [ { "dropping-particle" : "", "family" : "Janes", "given" : "Daniel E", "non-dropping-particle" : "", "parse-names" : false, "suffix" : "" }, { "dropping-particle" : "", "family" : "Organ", "given" : "Christopher L", "non-dropping-particle" : "", "parse-names" : false, "suffix" : "" }, { "dropping-particle" : "", "family" : "Fujita", "given" : "Matthew K", "non-dropping-particle" : "", "parse-names" : false, "suffix" : "" }, { "dropping-particle" : "", "family" : "Shedlock", "given" : "Andrew M", "non-dropping-particle" : "", "parse-names" : false, "suffix" : "" }, { "dropping-particle" : "V", "family" : "Edwards", "given" : "Scott", "non-dropping-particle" : "", "parse-names" : false, "suffix" : "" } ], "container-title" : "Annual Review of Genomics: Human Genetics", "id" : "ITEM-3", "issued" : { "date-parts" : [ [ "2010" ] ] }, "page" : "239-264", "title" : "Genome Evolution in Reptilia, the Sister Group of Mammals", "type" : "article-journal", "volume" : "11" }, "uris" : [ "http://www.mendeley.com/documents/?uuid=751b4ab6-20d2-4593-96e5-32d84a91ea6a" ] } ], "mendeley" : { "formattedCitation" : "(Shedlock 2006; Shedlock et al. 2007; Janes et al. 2010)", "plainTextFormattedCitation" : "(Shedlock 2006; Shedlock et al. 2007; Janes et al. 2010)", "previouslyFormattedCitation" : "(Shedlock 2006; Shedlock et al. 2007; Janes et al. 2010)" }, "properties" : { "noteIndex" : 0 }, "schema" : "https://github.com/citation-style-language/schema/raw/master/csl-citation.json" }</w:instrText>
      </w:r>
      <w:r w:rsidR="00F2444A">
        <w:fldChar w:fldCharType="separate"/>
      </w:r>
      <w:r w:rsidR="00F2444A" w:rsidRPr="00F2444A">
        <w:rPr>
          <w:noProof/>
        </w:rPr>
        <w:t>(Shedlock 2006; Shedlock et al. 2007; Janes et al. 2010)</w:t>
      </w:r>
      <w:r w:rsidR="00F2444A">
        <w:fldChar w:fldCharType="end"/>
      </w:r>
      <w:r w:rsidR="00D23E39">
        <w:t xml:space="preserve">. However, recent work has shown that </w:t>
      </w:r>
      <w:r w:rsidR="00FD5BE8">
        <w:t xml:space="preserve">many </w:t>
      </w:r>
      <w:r w:rsidR="00D23E39">
        <w:t xml:space="preserve">TEs are highly active in birds, but that there is a counter balancing high rate of large genomic deletions which maintain the small avian genome size </w:t>
      </w:r>
      <w:r w:rsidR="00FD5BE8">
        <w:fldChar w:fldCharType="begin" w:fldLock="1"/>
      </w:r>
      <w:r w:rsidR="00512DD2">
        <w:instrText>ADDIN CSL_CITATION { "citationItems" : [ { "id" : "ITEM-1", "itemData" : { "DOI" : "10.1073/pnas.1616702114", "ISSN" : "0027-8424", "PMID" : "28179571", "author" : [ { "dropping-particle" : "", "family" : "Kapusta", "given" : "Aur\u00e9lie", "non-dropping-particle" : "", "parse-names" : false, "suffix" : "" }, { "dropping-particle" : "", "family" : "Suh", "given" : "Alexander", "non-dropping-particle" : "", "parse-names" : false, "suffix" : "" }, { "dropping-particle" : "", "family" : "Feschotte", "given" : "C\u00e9dric", "non-dropping-particle" : "", "parse-names" : false, "suffix" : "" } ], "container-title" : "Proceedings of the National Academy of Sciences", "id" : "ITEM-1", "issued" : { "date-parts" : [ [ "2017" ] ] }, "page" : "E1460-1469", "title" : "Dynamics of genome size evolution in birds and mammals", "type" : "article-journal" }, "uris" : [ "http://www.mendeley.com/documents/?uuid=0d8cb8d5-4cd2-4f3d-b87a-9a8db5909c28" ] } ], "mendeley" : { "formattedCitation" : "(Kapusta et al. 2017)", "plainTextFormattedCitation" : "(Kapusta et al. 2017)", "previouslyFormattedCitation" : "(Kapusta et al. 2017)" }, "properties" : { "noteIndex" : 0 }, "schema" : "https://github.com/citation-style-language/schema/raw/master/csl-citation.json" }</w:instrText>
      </w:r>
      <w:r w:rsidR="00FD5BE8">
        <w:fldChar w:fldCharType="separate"/>
      </w:r>
      <w:r w:rsidR="00FD5BE8" w:rsidRPr="00FD5BE8">
        <w:rPr>
          <w:noProof/>
        </w:rPr>
        <w:t>(Kapusta et al. 2017)</w:t>
      </w:r>
      <w:r w:rsidR="00FD5BE8">
        <w:fldChar w:fldCharType="end"/>
      </w:r>
      <w:r w:rsidR="00D23E39">
        <w:t xml:space="preserve">. </w:t>
      </w:r>
      <w:r w:rsidR="00FD5BE8">
        <w:t>It is also interesting to note that whilst the net size change in most lineages remains close to zero, neighbouring taxa can exhibit very different, yet balanced, rates of gain and loss. This may, again, facilitate highly lineage-specific repeat content, although some of this effect may be mitigated as new TE expansions or TEs with high copy number are more likely to be removed from the genome by processes such as non-allelic recombination</w:t>
      </w:r>
      <w:r w:rsidR="00F34D95">
        <w:t xml:space="preserve"> </w:t>
      </w:r>
      <w:r w:rsidR="00F34D95">
        <w:fldChar w:fldCharType="begin" w:fldLock="1"/>
      </w:r>
      <w:r w:rsidR="009703FC">
        <w:instrText>ADDIN CSL_CITATION { "citationItems" : [ { "id" : "ITEM-1", "itemData" : { "DOI" : "10.1111/nyas.13295", "ISBN" : "0077-8923", "ISSN" : "00778923", "author" : [ { "dropping-particle" : "", "family" : "Kapusta", "given" : "Aur\u00e9lie", "non-dropping-particle" : "", "parse-names" : false, "suffix" : "" }, { "dropping-particle" : "", "family" : "Suh", "given" : "Alexander", "non-dropping-particle" : "", "parse-names" : false, "suffix" : "" } ], "container-title" : "Annals of the New York Academy of Sciences", "id" : "ITEM-1", "issued" : { "date-parts" : [ [ "2017" ] ] }, "page" : "164-185", "title" : "Evolution of bird genomes-a transposon's-eye view", "type" : "article-journal", "volume" : "1389" }, "uris" : [ "http://www.mendeley.com/documents/?uuid=d0418c78-accb-41f0-9ecc-c4f757790c0f" ] } ], "mendeley" : { "formattedCitation" : "(Kapusta &amp; Suh 2017)", "plainTextFormattedCitation" : "(Kapusta &amp; Suh 2017)", "previouslyFormattedCitation" : "(Kapusta &amp; Suh 2017)" }, "properties" : { "noteIndex" : 0 }, "schema" : "https://github.com/citation-style-language/schema/raw/master/csl-citation.json" }</w:instrText>
      </w:r>
      <w:r w:rsidR="00F34D95">
        <w:fldChar w:fldCharType="separate"/>
      </w:r>
      <w:r w:rsidR="00F34D95" w:rsidRPr="00F34D95">
        <w:rPr>
          <w:noProof/>
        </w:rPr>
        <w:t>(Kapusta &amp; Suh 2017)</w:t>
      </w:r>
      <w:r w:rsidR="00F34D95">
        <w:fldChar w:fldCharType="end"/>
      </w:r>
      <w:r w:rsidR="00FD5BE8">
        <w:t xml:space="preserve">. All this potential for lineage-specificity likely means a solely homology-based approach to LTR retrotransposon identification is inadequate for complete annotation. </w:t>
      </w:r>
    </w:p>
    <w:p w14:paraId="0A7D28B4" w14:textId="146CD68A" w:rsidR="00512DD2" w:rsidRDefault="00374665" w:rsidP="00391005">
      <w:pPr>
        <w:pStyle w:val="ListParagraph"/>
      </w:pPr>
      <w:r>
        <w:t>Another consideration for observed repeat lineage specificity is the highly variable quality of the avian genome assemblies. It was noted in chapter 3 that, even without the use of LocaTR, the analysis of the chicken Galgal4 assembly enabled identification of 2.5 Mb more LTR retrotransposon derived sequence than was identified in the same manner with the previous Galgal3 assembly. The original forty-eight avian genomes used short read sequencing data, but some of the more recent assemblies, including the Japanese quail (</w:t>
      </w:r>
      <w:r>
        <w:rPr>
          <w:i/>
        </w:rPr>
        <w:t>Coturnix japonica</w:t>
      </w:r>
      <w:r>
        <w:t>), hooded crow (</w:t>
      </w:r>
      <w:r>
        <w:rPr>
          <w:i/>
        </w:rPr>
        <w:t>Corvus cornix</w:t>
      </w:r>
      <w:r>
        <w:t>), great tit (</w:t>
      </w:r>
      <w:r>
        <w:rPr>
          <w:i/>
        </w:rPr>
        <w:t>Parus major</w:t>
      </w:r>
      <w:r>
        <w:t>) and the new Galgal5 chicken genome assembly, have made use of long read sequencing technology</w:t>
      </w:r>
      <w:r w:rsidR="00E13672">
        <w:t>. This</w:t>
      </w:r>
      <w:r>
        <w:t xml:space="preserve"> generate</w:t>
      </w:r>
      <w:r w:rsidR="00512DD2">
        <w:t>s</w:t>
      </w:r>
      <w:r>
        <w:t xml:space="preserve"> higher contiguity </w:t>
      </w:r>
      <w:r w:rsidR="00512DD2">
        <w:t xml:space="preserve">and is more able to sequence through repetitive regions. The Galgal5 assembly is 183 Mb longer than Galgal4, has ten times greater contig length, reduced contig number, a 95.7 % reduction in the number of scaffold spanned gaps, and three more assembled microchromsomes (30, 31 and 33) </w:t>
      </w:r>
      <w:r w:rsidR="00512DD2">
        <w:fldChar w:fldCharType="begin" w:fldLock="1"/>
      </w:r>
      <w:r w:rsidR="00F34D95">
        <w:instrText>ADDIN CSL_CITATION { "citationItems" : [ { "id" : "ITEM-1", "itemData" : { "DOI" : "10.1534/g3.116.035923", "ISSN" : "2160-1836", "PMID" : "27852011", "abstract" : "The importance of the Gallus gallus (chicken) as a model organism and agricultural animal merits a continuation of sequence assembly improvement efforts. We present a new version of the chicken genome assembly (Gallus_gallus-5.0; GCA_000002315.3) built from combined long single molecule sequencing technology, finished BACs, and improved physical maps. In overall assembled bases, we see a gain of 183 Mb including 16.4 Mb in placed chromosomes with a corresponding gain in the percentage of intact repeat elements characterized. Of the 1.21 Gb genome, we include three previously missing autosomes, GGA30, 31 and 33 and improve sequence contig length 10-fold over the previous Gallus_gallus-4.0. Despite the significant base representation improvements made, 138 Mb of sequence is not yet located to chromosomes. Gallus_gallus-5.0 when annotated for gene content shows an increase of 4,679 annotated genes, 2,768 non-coding and 1,911 protein-coding, over those in Gallus_gallus-4.0. We also revisited the question of what genes are missing in the avian lineage, as assessed by the highest quality avian genome assembly to date, and found that a large fraction of the original set of missing genes are still absent in sequenced bird species. Finally, our new data support a detailed map of MHC-B encompassing two segments; one with a highly stable gene copy number and another in which the gene copy number is highly variable. The chicken model has been a critical resource for many other fields of study, and this new reference assembly will substantially further these efforts.", "author" : [ { "dropping-particle" : "", "family" : "Warren", "given" : "Wesley C", "non-dropping-particle" : "", "parse-names" : false, "suffix" : "" }, { "dropping-particle" : "", "family" : "Hillier", "given" : "LaDeana W", "non-dropping-particle" : "", "parse-names" : false, "suffix" : "" }, { "dropping-particle" : "", "family" : "Tomlinson", "given" : "Chad", "non-dropping-particle" : "", "parse-names" : false, "suffix" : "" }, { "dropping-particle" : "", "family" : "Minx", "given" : "Patrick", "non-dropping-particle" : "", "parse-names" : false, "suffix" : "" }, { "dropping-particle" : "", "family" : "Kremitzki", "given" : "Milinn", "non-dropping-particle" : "", "parse-names" : false, "suffix" : "" }, { "dropping-particle" : "", "family" : "Graves", "given" : "Tina", "non-dropping-particle" : "", "parse-names" : false, "suffix" : "" }, { "dropping-particle" : "", "family" : "Markovic", "given" : "Chris", "non-dropping-particle" : "", "parse-names" : false, "suffix" : "" }, { "dropping-particle" : "", "family" : "Bouk", "given" : "Nathan", "non-dropping-particle" : "", "parse-names" : false, "suffix" : "" }, { "dropping-particle" : "", "family" : "Pruitt", "given" : "Kim D",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"Mansour", "given" : "Tamer A", "non-dropping-particle" : "", "parse-names" : false, "suffix" : "" }, { "dropping-particle" : "", "family" : "Brown", "given" : "C Titus", "non-dropping-particle" : "", "parse-names" : false, "suffix" : "" }, { "dropping-particle" : "", "family" : "Zimin", "given" : "Aleksey", "non-dropping-particle" : "", "parse-names" : false, "suffix" : "" }, { "dropping-particle" : "", "family" : "Hawken", "given" : "Rachel", "non-dropping-particle" : "", "parse-names" : false, "suffix" : "" }, { "dropping-particle" : "", "family" : "Abrahamsen", "given" : "Mitch", "non-dropping-particle" : "", "parse-names" : false, "suffix" : "" }, { "dropping-particle" : "", "family" : "Pyrkosz", "given" : "Alexis B", "non-dropping-particle" : "", "parse-names" : false, "suffix" : "" }, { "dropping-particle" : "", "family" : "Morisson", "given" : "Mireille", "non-dropping-particle" : "", "parse-names" : false, "suffix" : "" }, { "dropping-particle" : "", "family" : "Fillon", "given" : "Valerie", "non-dropping-particle" : "", "parse-names" : false, "suffix" : "" }, { "dropping-particle" : "", "family" : "Vignal", "given" : "Alain", "non-dropping-particle" : "", "parse-names" : false, "suffix" : "" }, { "dropping-particle" : "", "family" : "Chow", "given" : "William", "non-dropping-particle" : "", "parse-names" : false, "suffix" : "" }, { "dropping-particle" : "", "family" : "Howe", "given" : "Kerstin", "non-dropping-particle" : "", "parse-names" : false, "suffix" : "" }, { "dropping-particle" : "", "family" : "Fulton", "given" : "Janet E", "non-dropping-particle" : "", "parse-names" : false, "suffix" : "" }, { "dropping-particle" : "", "family" : "Miller", "given" : "Marcia M", "non-dropping-particle" : "", "parse-names" : false, "suffix" : "" }, { "dropping-particle" : "", "family" : "Lovell", "given" : "Peter", "non-dropping-particle" : "", "parse-names" : false, "suffix" : "" }, { "dropping-particle" : "V", "family" : "Mello", "given" : "Claudio", "non-dropping-particle" : "", "parse-names" : false, "suffix" : "" }, { "dropping-particle" : "", "family" : "Wirthlin", "given" : "Morgan", "non-dropping-particle" : "", "parse-names" : false, "suffix" : "" }, { "dropping-particle" : "", "family" : "Mason", "given" : "Andrew S", "non-dropping-particle" : "", "parse-names" : false, "suffix" : "" }, { "dropping-particle" : "", "family" : "Kuo", "given" : "Richard", "non-dropping-particle" : "", "parse-names" : false, "suffix" : "" }, { "dropping-particle" : "", "family" : "Burt", "given" : "David W", "non-dropping-particle" : "", "parse-names" : false, "suffix" : "" }, { "dropping-particle" : "", "family" : "Dodgson", "given" : "Jerry B", "non-dropping-particle" : "", "parse-names" : false, "suffix" : "" }, { "dropping-particle" : "", "family" : "Cheng", "given" : "Hans H", "non-dropping-particle" : "", "parse-names" : false, "suffix" : "" } ], "container-title" : "G3 (Bethesda, Md.)", "id" : "ITEM-1", "issue" : "January", "issued" : { "date-parts" : [ [ "2017" ] ] }, "page" : "g3.116.035923", "title" : "A New Chicken Genome Assembly Provides Insight into Avian Genome Structure.", "type" : "article-journal", "volume" : "7" }, "uris" : [ "http://www.mendeley.com/documents/?uuid=0333b8f9-3b6f-4eee-aa95-22b74aba53b7" ] } ], "mendeley" : { "formattedCitation" : "(Warren et al. 2017)", "plainTextFormattedCitation" : "(Warren et al. 2017)", "previouslyFormattedCitation" : "(Warren et al. 2017)" }, "properties" : { "noteIndex" : 0 }, "schema" : "https://github.com/citation-style-language/schema/raw/master/csl-citation.json" }</w:instrText>
      </w:r>
      <w:r w:rsidR="00512DD2">
        <w:fldChar w:fldCharType="separate"/>
      </w:r>
      <w:r w:rsidR="00512DD2" w:rsidRPr="00512DD2">
        <w:rPr>
          <w:noProof/>
        </w:rPr>
        <w:t>(Warren et al. 2017)</w:t>
      </w:r>
      <w:r w:rsidR="00512DD2">
        <w:fldChar w:fldCharType="end"/>
      </w:r>
      <w:r w:rsidR="00117040">
        <w:t xml:space="preserve">, summarised in </w:t>
      </w:r>
      <w:r w:rsidR="00117040" w:rsidRPr="00117040">
        <w:fldChar w:fldCharType="begin" w:fldLock="1"/>
      </w:r>
      <w:r w:rsidR="00117040" w:rsidRPr="00117040">
        <w:instrText xml:space="preserve"> REF _Ref477422867 \h  \* MERGEFORMAT </w:instrText>
      </w:r>
      <w:r w:rsidR="00117040" w:rsidRPr="00117040">
        <w:fldChar w:fldCharType="separate"/>
      </w:r>
      <w:r w:rsidR="002C549C" w:rsidRPr="008B29DC">
        <w:t xml:space="preserve">Table </w:t>
      </w:r>
      <w:r w:rsidR="002C549C">
        <w:rPr>
          <w:noProof/>
        </w:rPr>
        <w:t>2</w:t>
      </w:r>
      <w:r w:rsidR="002C549C" w:rsidRPr="008B29DC">
        <w:rPr>
          <w:noProof/>
        </w:rPr>
        <w:t>.</w:t>
      </w:r>
      <w:r w:rsidR="002C549C">
        <w:rPr>
          <w:noProof/>
        </w:rPr>
        <w:t>3</w:t>
      </w:r>
      <w:r w:rsidR="00117040" w:rsidRPr="00117040">
        <w:fldChar w:fldCharType="end"/>
      </w:r>
      <w:r w:rsidR="00512DD2">
        <w:t>. It is therefore likely that these long read based assemblies will produce more representative LTR retrotransposon content, and it is important that the impact of assembly quality is quantified.</w:t>
      </w:r>
    </w:p>
    <w:p w14:paraId="78A611D3" w14:textId="0F76C5EC" w:rsidR="0060481D" w:rsidRDefault="0060481D" w:rsidP="0060481D">
      <w:pPr>
        <w:pStyle w:val="Heading2"/>
      </w:pPr>
      <w:bookmarkStart w:id="245" w:name="_Toc485721606"/>
      <w:bookmarkStart w:id="246" w:name="_Toc486787186"/>
      <w:bookmarkStart w:id="247" w:name="_Toc486787334"/>
      <w:r>
        <w:lastRenderedPageBreak/>
        <w:t>Research Aims</w:t>
      </w:r>
      <w:bookmarkEnd w:id="245"/>
      <w:bookmarkEnd w:id="246"/>
      <w:bookmarkEnd w:id="247"/>
    </w:p>
    <w:p w14:paraId="74ED7468" w14:textId="694DCC2E" w:rsidR="0060481D" w:rsidRDefault="00F2444A" w:rsidP="00391005">
      <w:pPr>
        <w:pStyle w:val="ListParagraph"/>
      </w:pPr>
      <w:r>
        <w:t xml:space="preserve">This </w:t>
      </w:r>
      <w:r w:rsidR="00C01A27">
        <w:t>chapter covers two major research aims. Firstly, the identification of LTR retrotransposons in the new chicken genome assembly (Galgal5)</w:t>
      </w:r>
      <w:r w:rsidR="00F34D95">
        <w:t xml:space="preserve"> using LocaTR</w:t>
      </w:r>
      <w:r w:rsidR="00C01A27">
        <w:t>, to determine whether recent improvements in assembly length and contiguity have effected total LTR retrotransposon content. Secondly, the identification of LTR retrotransposons across the avian lineage</w:t>
      </w:r>
      <w:r w:rsidR="00F34D95">
        <w:t xml:space="preserve"> using LocaTR</w:t>
      </w:r>
      <w:r w:rsidR="00C01A27">
        <w:t>, to identify whether there is truly a deficit of these elements in Galliformes compared to the Neoaves</w:t>
      </w:r>
      <w:r w:rsidR="00F34D95">
        <w:t>, and to assess the extent of lineage-specific expansions and the impact of genome quality on repeat annotation</w:t>
      </w:r>
      <w:r w:rsidR="00C01A27">
        <w:t>.</w:t>
      </w:r>
    </w:p>
    <w:p w14:paraId="5B076E7D" w14:textId="75F06439" w:rsidR="0060481D" w:rsidRDefault="0060481D" w:rsidP="00391005">
      <w:pPr>
        <w:pStyle w:val="ListParagraph"/>
      </w:pPr>
    </w:p>
    <w:p w14:paraId="2241CA88" w14:textId="404FA4AB" w:rsidR="0060481D" w:rsidRDefault="0060481D" w:rsidP="0060481D">
      <w:pPr>
        <w:pStyle w:val="Heading2"/>
      </w:pPr>
      <w:bookmarkStart w:id="248" w:name="_Toc485721607"/>
      <w:bookmarkStart w:id="249" w:name="_Toc486787187"/>
      <w:bookmarkStart w:id="250" w:name="_Toc486787335"/>
      <w:r>
        <w:t>Statement of publication</w:t>
      </w:r>
      <w:bookmarkEnd w:id="248"/>
      <w:bookmarkEnd w:id="249"/>
      <w:bookmarkEnd w:id="250"/>
    </w:p>
    <w:p w14:paraId="066950E3" w14:textId="6B10225D" w:rsidR="00FA5AA7" w:rsidRPr="00427373" w:rsidRDefault="00F34D95" w:rsidP="00391005">
      <w:pPr>
        <w:pStyle w:val="ListParagraph"/>
      </w:pPr>
      <w:r>
        <w:t>A summary of the</w:t>
      </w:r>
      <w:r w:rsidR="00E7194F">
        <w:t xml:space="preserve"> LocaTR analysis of the</w:t>
      </w:r>
      <w:r w:rsidR="00427373">
        <w:t xml:space="preserve"> Galgal5 chicken assembly was published </w:t>
      </w:r>
      <w:r>
        <w:t>within the paper describing the</w:t>
      </w:r>
      <w:r w:rsidR="00427373">
        <w:t xml:space="preserve"> new genome build: Warren W, Hillier L, Tomlinson C </w:t>
      </w:r>
      <w:r w:rsidR="00427373">
        <w:rPr>
          <w:i/>
        </w:rPr>
        <w:t>et al.</w:t>
      </w:r>
      <w:r w:rsidR="00427373">
        <w:t xml:space="preserve"> (2017), A New Chicken Genome Assembly Provides Insight into Avian Genome Structure, </w:t>
      </w:r>
      <w:r w:rsidR="00427373">
        <w:rPr>
          <w:i/>
        </w:rPr>
        <w:t>G3</w:t>
      </w:r>
      <w:r w:rsidR="00427373">
        <w:t xml:space="preserve">, </w:t>
      </w:r>
      <w:r w:rsidR="00427373">
        <w:rPr>
          <w:b/>
        </w:rPr>
        <w:t>7</w:t>
      </w:r>
      <w:r w:rsidR="00427373">
        <w:t xml:space="preserve">: g3.116.935923. This included a short section on </w:t>
      </w:r>
      <w:r w:rsidR="00E7194F">
        <w:t xml:space="preserve">the </w:t>
      </w:r>
      <w:r w:rsidR="00427373">
        <w:t>physical distribution of these elements</w:t>
      </w:r>
      <w:r w:rsidR="00E7194F">
        <w:t>, the comparison between Galgal4 and Galgal5, and</w:t>
      </w:r>
      <w:r w:rsidR="00427373">
        <w:t xml:space="preserve"> </w:t>
      </w:r>
      <w:r w:rsidR="00E7194F">
        <w:t>relative improvements to total</w:t>
      </w:r>
      <w:r w:rsidR="00427373">
        <w:t xml:space="preserve"> repeat content</w:t>
      </w:r>
      <w:r w:rsidR="00982F0D">
        <w:t xml:space="preserve"> (Appendix 3: Paper3)</w:t>
      </w:r>
      <w:r w:rsidR="00427373">
        <w:t xml:space="preserve">. </w:t>
      </w:r>
      <w:r w:rsidR="0085215E">
        <w:t xml:space="preserve">At the point of publication, the RetroTector </w:t>
      </w:r>
      <w:r w:rsidR="00E13672">
        <w:t>a</w:t>
      </w:r>
      <w:r w:rsidR="0085215E">
        <w:t>nalysis had not been completed, so the total numbers presented here are slightly larger than in the Galgal5 paper.</w:t>
      </w:r>
    </w:p>
    <w:p w14:paraId="3AD285C2" w14:textId="7AF6947E" w:rsidR="0060481D" w:rsidRDefault="00FA5AA7" w:rsidP="00391005">
      <w:pPr>
        <w:pStyle w:val="ListParagraph"/>
      </w:pPr>
      <w:r>
        <w:t xml:space="preserve">As stated above (section </w:t>
      </w:r>
      <w:r>
        <w:fldChar w:fldCharType="begin" w:fldLock="1"/>
      </w:r>
      <w:r>
        <w:instrText xml:space="preserve"> REF _Ref478373246 \n \h </w:instrText>
      </w:r>
      <w:r>
        <w:fldChar w:fldCharType="separate"/>
      </w:r>
      <w:r w:rsidR="002C549C">
        <w:t>3.3</w:t>
      </w:r>
      <w:r>
        <w:fldChar w:fldCharType="end"/>
      </w:r>
      <w:r>
        <w:t>), the initial, homology-based identification of LTR retrotransposons across a limited range of the sauropsid lineage was published as part of the Loca</w:t>
      </w:r>
      <w:r w:rsidR="00E13672">
        <w:t>TR and Galgal4 annotation paper:</w:t>
      </w:r>
      <w:r>
        <w:t xml:space="preserve"> Mason </w:t>
      </w:r>
      <w:r>
        <w:rPr>
          <w:i/>
        </w:rPr>
        <w:t>et al.</w:t>
      </w:r>
      <w:r w:rsidR="00982F0D">
        <w:t xml:space="preserve"> 2016 (Appendix 3: Paper2</w:t>
      </w:r>
      <w:r>
        <w:t xml:space="preserve">).  </w:t>
      </w:r>
    </w:p>
    <w:p w14:paraId="4E5ED951" w14:textId="0AD1627F" w:rsidR="0060481D" w:rsidRDefault="0060481D" w:rsidP="00391005">
      <w:pPr>
        <w:pStyle w:val="ListParagraph"/>
      </w:pPr>
    </w:p>
    <w:p w14:paraId="1DBC4CEC" w14:textId="0D49E323" w:rsidR="00A96CEC" w:rsidRDefault="00BB5A5C" w:rsidP="00A96CEC">
      <w:pPr>
        <w:pStyle w:val="Heading2"/>
      </w:pPr>
      <w:bookmarkStart w:id="251" w:name="_Toc485721608"/>
      <w:bookmarkStart w:id="252" w:name="_Ref486610104"/>
      <w:bookmarkStart w:id="253" w:name="_Toc486787188"/>
      <w:bookmarkStart w:id="254" w:name="_Toc486787336"/>
      <w:r>
        <w:t>Identification of the LTR retrotransposon content of the new Galgal5 chicken genome assembly</w:t>
      </w:r>
      <w:bookmarkEnd w:id="251"/>
      <w:bookmarkEnd w:id="252"/>
      <w:bookmarkEnd w:id="253"/>
      <w:bookmarkEnd w:id="254"/>
    </w:p>
    <w:p w14:paraId="30DE786C" w14:textId="6A9DBC7D" w:rsidR="004814F6" w:rsidRDefault="004814F6" w:rsidP="00391005">
      <w:pPr>
        <w:pStyle w:val="ListParagraph"/>
      </w:pPr>
      <w:r>
        <w:t xml:space="preserve">A total of 35.2 Mb of the Galgal5 assembly was identified as LTR retrotransposon-derived sequence. This accounts for 2.86 % of the genome. Whilst this is a smaller percentage than identified in Galgal4, this is due to the 17.51 % increase in total assembly </w:t>
      </w:r>
      <w:r>
        <w:lastRenderedPageBreak/>
        <w:t xml:space="preserve">length. The actual annotated LTR retrotransposon sequence has increased by 3.7 Mb (11.91 % increase over the Galgal4 annotation; </w:t>
      </w:r>
      <w:r>
        <w:fldChar w:fldCharType="begin" w:fldLock="1"/>
      </w:r>
      <w:r>
        <w:instrText xml:space="preserve"> REF _Ref482436964 \h </w:instrText>
      </w:r>
      <w:r>
        <w:fldChar w:fldCharType="separate"/>
      </w:r>
      <w:r w:rsidR="002C549C">
        <w:t xml:space="preserve">Table </w:t>
      </w:r>
      <w:r w:rsidR="002C549C">
        <w:rPr>
          <w:noProof/>
        </w:rPr>
        <w:t>4</w:t>
      </w:r>
      <w:r w:rsidR="002C549C">
        <w:t>.</w:t>
      </w:r>
      <w:r w:rsidR="002C549C">
        <w:rPr>
          <w:noProof/>
        </w:rPr>
        <w:t>1</w:t>
      </w:r>
      <w:r>
        <w:fldChar w:fldCharType="end"/>
      </w:r>
      <w:r>
        <w:t>).</w:t>
      </w:r>
    </w:p>
    <w:p w14:paraId="76D24557" w14:textId="396403E9" w:rsidR="004814F6" w:rsidRDefault="004814F6" w:rsidP="004814F6">
      <w:pPr>
        <w:pStyle w:val="Caption"/>
      </w:pPr>
      <w:bookmarkStart w:id="255" w:name="_Ref482436964"/>
      <w:bookmarkStart w:id="256" w:name="_Toc486786312"/>
      <w:r>
        <w:t xml:space="preserve">Table </w:t>
      </w:r>
      <w:fldSimple w:instr=" STYLEREF 1 \s " w:fldLock="1">
        <w:r w:rsidR="002C549C">
          <w:rPr>
            <w:noProof/>
          </w:rPr>
          <w:t>4</w:t>
        </w:r>
      </w:fldSimple>
      <w:r w:rsidR="001167C6">
        <w:t>.</w:t>
      </w:r>
      <w:fldSimple w:instr=" SEQ Table \* ARABIC \s 1 " w:fldLock="1">
        <w:r w:rsidR="002C549C">
          <w:rPr>
            <w:noProof/>
          </w:rPr>
          <w:t>1</w:t>
        </w:r>
      </w:fldSimple>
      <w:bookmarkEnd w:id="255"/>
      <w:r w:rsidR="007D0BFD">
        <w:t xml:space="preserve"> Comparative summary of the LocaTR-annotated LTR retrotransposon content of the chicken genome from the Galgal4 and Galgal5 assemblies.</w:t>
      </w:r>
      <w:bookmarkEnd w:id="256"/>
    </w:p>
    <w:tbl>
      <w:tblPr>
        <w:tblStyle w:val="TableGrid"/>
        <w:tblW w:w="53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4"/>
        <w:gridCol w:w="1701"/>
        <w:gridCol w:w="1701"/>
      </w:tblGrid>
      <w:tr w:rsidR="00290BEE" w14:paraId="0812A1FA" w14:textId="77777777" w:rsidTr="007D0BFD">
        <w:trPr>
          <w:trHeight w:val="552"/>
          <w:jc w:val="center"/>
        </w:trPr>
        <w:tc>
          <w:tcPr>
            <w:tcW w:w="1984" w:type="dxa"/>
            <w:tcBorders>
              <w:top w:val="single" w:sz="4" w:space="0" w:color="auto"/>
              <w:bottom w:val="single" w:sz="4" w:space="0" w:color="auto"/>
            </w:tcBorders>
            <w:vAlign w:val="center"/>
          </w:tcPr>
          <w:p w14:paraId="7198AD77" w14:textId="4BF5854F" w:rsidR="00290BEE" w:rsidRDefault="00CC271A" w:rsidP="00E3503A">
            <w:pPr>
              <w:pStyle w:val="Tablecontent"/>
              <w:jc w:val="center"/>
            </w:pPr>
            <w:r>
              <w:t>Assembly features</w:t>
            </w:r>
          </w:p>
        </w:tc>
        <w:tc>
          <w:tcPr>
            <w:tcW w:w="1701" w:type="dxa"/>
            <w:tcBorders>
              <w:top w:val="single" w:sz="4" w:space="0" w:color="auto"/>
              <w:bottom w:val="single" w:sz="4" w:space="0" w:color="auto"/>
            </w:tcBorders>
            <w:vAlign w:val="center"/>
          </w:tcPr>
          <w:p w14:paraId="0943A140" w14:textId="1DFD1FDA" w:rsidR="00290BEE" w:rsidRDefault="00290BEE" w:rsidP="00E3503A">
            <w:pPr>
              <w:pStyle w:val="Tablecontent"/>
              <w:jc w:val="center"/>
            </w:pPr>
            <w:r>
              <w:t>Galgal4</w:t>
            </w:r>
          </w:p>
        </w:tc>
        <w:tc>
          <w:tcPr>
            <w:tcW w:w="1701" w:type="dxa"/>
            <w:tcBorders>
              <w:top w:val="single" w:sz="4" w:space="0" w:color="auto"/>
              <w:bottom w:val="single" w:sz="4" w:space="0" w:color="auto"/>
            </w:tcBorders>
            <w:vAlign w:val="center"/>
          </w:tcPr>
          <w:p w14:paraId="028DC0D6" w14:textId="22CB8A5A" w:rsidR="00290BEE" w:rsidRDefault="00290BEE" w:rsidP="00E3503A">
            <w:pPr>
              <w:pStyle w:val="Tablecontent"/>
              <w:jc w:val="center"/>
            </w:pPr>
            <w:r>
              <w:t xml:space="preserve">Galgal5 </w:t>
            </w:r>
          </w:p>
        </w:tc>
      </w:tr>
      <w:tr w:rsidR="00290BEE" w14:paraId="70741704" w14:textId="77777777" w:rsidTr="007D0BFD">
        <w:trPr>
          <w:jc w:val="center"/>
        </w:trPr>
        <w:tc>
          <w:tcPr>
            <w:tcW w:w="1984" w:type="dxa"/>
            <w:tcBorders>
              <w:top w:val="single" w:sz="4" w:space="0" w:color="auto"/>
              <w:right w:val="single" w:sz="4" w:space="0" w:color="auto"/>
            </w:tcBorders>
            <w:vAlign w:val="center"/>
          </w:tcPr>
          <w:p w14:paraId="4DDCB695" w14:textId="4116DB97" w:rsidR="00290BEE" w:rsidRDefault="007D0BFD" w:rsidP="007D0BFD">
            <w:pPr>
              <w:pStyle w:val="Tablecontent"/>
              <w:ind w:right="41"/>
              <w:jc w:val="center"/>
            </w:pPr>
            <w:r>
              <w:t>Total</w:t>
            </w:r>
            <w:r w:rsidR="00CC271A">
              <w:t xml:space="preserve"> l</w:t>
            </w:r>
            <w:r w:rsidR="00290BEE">
              <w:t>ength (bp)</w:t>
            </w:r>
          </w:p>
        </w:tc>
        <w:tc>
          <w:tcPr>
            <w:tcW w:w="1701" w:type="dxa"/>
            <w:tcBorders>
              <w:top w:val="single" w:sz="4" w:space="0" w:color="auto"/>
              <w:left w:val="single" w:sz="4" w:space="0" w:color="auto"/>
            </w:tcBorders>
            <w:vAlign w:val="center"/>
          </w:tcPr>
          <w:p w14:paraId="275545E7" w14:textId="7C72B3C7" w:rsidR="00290BEE" w:rsidRPr="005A55BD" w:rsidRDefault="00290BEE" w:rsidP="00290BEE">
            <w:pPr>
              <w:pStyle w:val="Tablecontent"/>
              <w:jc w:val="center"/>
            </w:pPr>
            <w:r>
              <w:t>1,046,932,099</w:t>
            </w:r>
          </w:p>
        </w:tc>
        <w:tc>
          <w:tcPr>
            <w:tcW w:w="1701" w:type="dxa"/>
            <w:tcBorders>
              <w:top w:val="single" w:sz="4" w:space="0" w:color="auto"/>
            </w:tcBorders>
            <w:vAlign w:val="center"/>
          </w:tcPr>
          <w:p w14:paraId="0D67653F" w14:textId="4512BA44" w:rsidR="00290BEE" w:rsidRPr="005A55BD" w:rsidRDefault="00290BEE" w:rsidP="00290BEE">
            <w:pPr>
              <w:pStyle w:val="Tablecontent"/>
              <w:jc w:val="center"/>
            </w:pPr>
            <w:r>
              <w:t>1,230,258,557</w:t>
            </w:r>
          </w:p>
        </w:tc>
      </w:tr>
      <w:tr w:rsidR="00290BEE" w14:paraId="6534B63F" w14:textId="77777777" w:rsidTr="007D0BFD">
        <w:trPr>
          <w:jc w:val="center"/>
        </w:trPr>
        <w:tc>
          <w:tcPr>
            <w:tcW w:w="1984" w:type="dxa"/>
            <w:tcBorders>
              <w:right w:val="single" w:sz="4" w:space="0" w:color="auto"/>
            </w:tcBorders>
            <w:vAlign w:val="center"/>
          </w:tcPr>
          <w:p w14:paraId="30A3F747" w14:textId="7AF08612" w:rsidR="00290BEE" w:rsidRDefault="00290BEE" w:rsidP="007D0BFD">
            <w:pPr>
              <w:pStyle w:val="Tablecontent"/>
              <w:ind w:right="41"/>
              <w:jc w:val="center"/>
            </w:pPr>
            <w:r>
              <w:t>LTR content (bp)</w:t>
            </w:r>
          </w:p>
        </w:tc>
        <w:tc>
          <w:tcPr>
            <w:tcW w:w="1701" w:type="dxa"/>
            <w:tcBorders>
              <w:left w:val="single" w:sz="4" w:space="0" w:color="auto"/>
            </w:tcBorders>
            <w:vAlign w:val="center"/>
          </w:tcPr>
          <w:p w14:paraId="1D523E54" w14:textId="53B82779" w:rsidR="00290BEE" w:rsidRPr="005A55BD" w:rsidRDefault="00290BEE" w:rsidP="00290BEE">
            <w:pPr>
              <w:pStyle w:val="Tablecontent"/>
              <w:jc w:val="center"/>
            </w:pPr>
            <w:r>
              <w:t>31,454,008</w:t>
            </w:r>
          </w:p>
        </w:tc>
        <w:tc>
          <w:tcPr>
            <w:tcW w:w="1701" w:type="dxa"/>
            <w:vAlign w:val="center"/>
          </w:tcPr>
          <w:p w14:paraId="772DE6B1" w14:textId="5ACF2E4A" w:rsidR="00290BEE" w:rsidRPr="005A55BD" w:rsidRDefault="00290BEE" w:rsidP="00290BEE">
            <w:pPr>
              <w:pStyle w:val="Tablecontent"/>
              <w:jc w:val="center"/>
            </w:pPr>
            <w:r>
              <w:t>35,200,607</w:t>
            </w:r>
          </w:p>
        </w:tc>
      </w:tr>
      <w:tr w:rsidR="00290BEE" w14:paraId="10DB4D98" w14:textId="77777777" w:rsidTr="007D0BFD">
        <w:trPr>
          <w:jc w:val="center"/>
        </w:trPr>
        <w:tc>
          <w:tcPr>
            <w:tcW w:w="1984" w:type="dxa"/>
            <w:tcBorders>
              <w:right w:val="single" w:sz="4" w:space="0" w:color="auto"/>
            </w:tcBorders>
            <w:vAlign w:val="center"/>
          </w:tcPr>
          <w:p w14:paraId="324088DF" w14:textId="56F67771" w:rsidR="00290BEE" w:rsidRDefault="00290BEE" w:rsidP="007D0BFD">
            <w:pPr>
              <w:pStyle w:val="Tablecontent"/>
              <w:ind w:right="41"/>
              <w:jc w:val="center"/>
            </w:pPr>
            <w:r>
              <w:t>LTR content (%)</w:t>
            </w:r>
          </w:p>
        </w:tc>
        <w:tc>
          <w:tcPr>
            <w:tcW w:w="1701" w:type="dxa"/>
            <w:tcBorders>
              <w:left w:val="single" w:sz="4" w:space="0" w:color="auto"/>
            </w:tcBorders>
            <w:vAlign w:val="center"/>
          </w:tcPr>
          <w:p w14:paraId="70CFA1C2" w14:textId="5FB93AF2" w:rsidR="00290BEE" w:rsidRPr="005A55BD" w:rsidRDefault="00290BEE" w:rsidP="00290BEE">
            <w:pPr>
              <w:pStyle w:val="Tablecontent"/>
              <w:jc w:val="center"/>
            </w:pPr>
            <w:r>
              <w:t>3.01</w:t>
            </w:r>
          </w:p>
        </w:tc>
        <w:tc>
          <w:tcPr>
            <w:tcW w:w="1701" w:type="dxa"/>
            <w:vAlign w:val="center"/>
          </w:tcPr>
          <w:p w14:paraId="687D8C01" w14:textId="2978D2F2" w:rsidR="00290BEE" w:rsidRPr="005A55BD" w:rsidRDefault="00290BEE" w:rsidP="00290BEE">
            <w:pPr>
              <w:pStyle w:val="Tablecontent"/>
              <w:jc w:val="center"/>
            </w:pPr>
            <w:r>
              <w:t>2.86</w:t>
            </w:r>
          </w:p>
        </w:tc>
      </w:tr>
      <w:tr w:rsidR="00290BEE" w14:paraId="78BD0FC1" w14:textId="77777777" w:rsidTr="007D0BFD">
        <w:trPr>
          <w:jc w:val="center"/>
        </w:trPr>
        <w:tc>
          <w:tcPr>
            <w:tcW w:w="1984" w:type="dxa"/>
            <w:tcBorders>
              <w:bottom w:val="single" w:sz="4" w:space="0" w:color="auto"/>
              <w:right w:val="single" w:sz="4" w:space="0" w:color="auto"/>
            </w:tcBorders>
            <w:vAlign w:val="center"/>
          </w:tcPr>
          <w:p w14:paraId="483C73D8" w14:textId="1C3BD7B1" w:rsidR="00290BEE" w:rsidRDefault="00290BEE" w:rsidP="007D0BFD">
            <w:pPr>
              <w:pStyle w:val="Tablecontent"/>
              <w:ind w:right="41"/>
              <w:jc w:val="center"/>
            </w:pPr>
            <w:r>
              <w:t>Number of SIEs</w:t>
            </w:r>
          </w:p>
        </w:tc>
        <w:tc>
          <w:tcPr>
            <w:tcW w:w="1701" w:type="dxa"/>
            <w:tcBorders>
              <w:left w:val="single" w:sz="4" w:space="0" w:color="auto"/>
              <w:bottom w:val="single" w:sz="4" w:space="0" w:color="auto"/>
            </w:tcBorders>
            <w:vAlign w:val="center"/>
          </w:tcPr>
          <w:p w14:paraId="52350514" w14:textId="0E52F292" w:rsidR="00290BEE" w:rsidRPr="005A55BD" w:rsidRDefault="00290BEE" w:rsidP="00E3503A">
            <w:pPr>
              <w:pStyle w:val="Tablecontent"/>
              <w:jc w:val="center"/>
            </w:pPr>
            <w:r>
              <w:t>1,073</w:t>
            </w:r>
          </w:p>
        </w:tc>
        <w:tc>
          <w:tcPr>
            <w:tcW w:w="1701" w:type="dxa"/>
            <w:tcBorders>
              <w:bottom w:val="single" w:sz="4" w:space="0" w:color="auto"/>
            </w:tcBorders>
            <w:vAlign w:val="center"/>
          </w:tcPr>
          <w:p w14:paraId="5710A169" w14:textId="5C155E8B" w:rsidR="00290BEE" w:rsidRPr="005A55BD" w:rsidRDefault="00290BEE" w:rsidP="00E3503A">
            <w:pPr>
              <w:pStyle w:val="Tablecontent"/>
              <w:jc w:val="center"/>
            </w:pPr>
            <w:r>
              <w:t>1,295</w:t>
            </w:r>
          </w:p>
        </w:tc>
      </w:tr>
    </w:tbl>
    <w:p w14:paraId="1FE96709" w14:textId="77777777" w:rsidR="004814F6" w:rsidRDefault="004814F6" w:rsidP="00391005">
      <w:pPr>
        <w:pStyle w:val="ListParagraph"/>
      </w:pPr>
    </w:p>
    <w:p w14:paraId="095AAE20" w14:textId="7C23A591" w:rsidR="00BB5A5C" w:rsidRDefault="004814F6" w:rsidP="00391005">
      <w:pPr>
        <w:pStyle w:val="ListParagraph"/>
      </w:pPr>
      <w:r>
        <w:t>This total content includes some 63,421 distinct sites of which 1,295 were structura</w:t>
      </w:r>
      <w:r w:rsidR="005D175A">
        <w:t>lly intact elements (SIEs). A total of</w:t>
      </w:r>
      <w:r>
        <w:t xml:space="preserve"> 1,073 SIEs were identified in Galgal4 and the increase appears to be due to improvements on the W chromosome (SIEs increased from 56 in Galgal4 to 244 in Galgal5) and the sequencing of previously unrepresented regions. SIE content on the assembled macrochromosomes has generally reduced due to collapsing of repetitive regions and proper incorporation of unplaced contigs. </w:t>
      </w:r>
    </w:p>
    <w:p w14:paraId="30A556CD" w14:textId="356E16C6" w:rsidR="00CF2ED5" w:rsidRDefault="00CF2ED5" w:rsidP="00391005">
      <w:pPr>
        <w:pStyle w:val="ListParagraph"/>
      </w:pPr>
      <w:r>
        <w:t>The effect of the improvements made in this assembly to increase both contiguity and total sequence were evident from a the RepeatMasker ‘-species vertebrates’ analysis alone (</w:t>
      </w:r>
      <w:r>
        <w:fldChar w:fldCharType="begin" w:fldLock="1"/>
      </w:r>
      <w:r>
        <w:instrText xml:space="preserve"> REF _Ref482437487 \h </w:instrText>
      </w:r>
      <w:r>
        <w:fldChar w:fldCharType="separate"/>
      </w:r>
      <w:r w:rsidR="002C549C">
        <w:t xml:space="preserve">Table </w:t>
      </w:r>
      <w:r w:rsidR="002C549C">
        <w:rPr>
          <w:noProof/>
        </w:rPr>
        <w:t>4</w:t>
      </w:r>
      <w:r w:rsidR="002C549C">
        <w:t>.</w:t>
      </w:r>
      <w:r w:rsidR="002C549C">
        <w:rPr>
          <w:noProof/>
        </w:rPr>
        <w:t>2</w:t>
      </w:r>
      <w:r>
        <w:fldChar w:fldCharType="end"/>
      </w:r>
      <w:r>
        <w:t>). However, the use of LocaTR enabled identification of an additional 8.5 Mb of LTR retrotransposo</w:t>
      </w:r>
      <w:r w:rsidR="00DA63FA">
        <w:t>n-derived sequence (32.0</w:t>
      </w:r>
      <w:r w:rsidR="004A0292">
        <w:t xml:space="preserve"> % extra</w:t>
      </w:r>
      <w:r>
        <w:t>).</w:t>
      </w:r>
      <w:r w:rsidR="004A0292">
        <w:t xml:space="preserve"> This observed increase using LocaTR was not solely due to identification of SIEs, as the LocaTR homology protocol identified 31.3 Mb of sequence, 4.6 Mb more than using RepeatMasker alone (</w:t>
      </w:r>
      <w:r w:rsidR="004A0292">
        <w:fldChar w:fldCharType="begin" w:fldLock="1"/>
      </w:r>
      <w:r w:rsidR="004A0292">
        <w:instrText xml:space="preserve"> REF _Ref482438283 \h </w:instrText>
      </w:r>
      <w:r w:rsidR="004A0292">
        <w:fldChar w:fldCharType="separate"/>
      </w:r>
      <w:r w:rsidR="002C549C">
        <w:t xml:space="preserve">Table </w:t>
      </w:r>
      <w:r w:rsidR="002C549C">
        <w:rPr>
          <w:noProof/>
        </w:rPr>
        <w:t>4</w:t>
      </w:r>
      <w:r w:rsidR="002C549C">
        <w:t>.</w:t>
      </w:r>
      <w:r w:rsidR="002C549C">
        <w:rPr>
          <w:noProof/>
        </w:rPr>
        <w:t>3</w:t>
      </w:r>
      <w:r w:rsidR="004A0292">
        <w:fldChar w:fldCharType="end"/>
      </w:r>
      <w:r w:rsidR="00EE52A7">
        <w:t>). T</w:t>
      </w:r>
      <w:r w:rsidR="004A0292">
        <w:t>he secondary BLAST protocol (following the SIE identification) had a much</w:t>
      </w:r>
      <w:r w:rsidR="00147552">
        <w:t xml:space="preserve"> more limited additive effect</w:t>
      </w:r>
      <w:r w:rsidR="004A0292">
        <w:t xml:space="preserve"> than in the Galgal4 analysis. This was due to most of these sites being identified by the homology protocol, following the inclusion of the Galgal4 results.</w:t>
      </w:r>
    </w:p>
    <w:p w14:paraId="2D7DBE6D" w14:textId="3FC38AE1" w:rsidR="00CF2ED5" w:rsidRDefault="00CF2ED5" w:rsidP="00CF2ED5">
      <w:pPr>
        <w:pStyle w:val="Caption"/>
      </w:pPr>
      <w:bookmarkStart w:id="257" w:name="_Ref482437487"/>
      <w:bookmarkStart w:id="258" w:name="_Toc486786313"/>
      <w:r>
        <w:lastRenderedPageBreak/>
        <w:t xml:space="preserve">Table </w:t>
      </w:r>
      <w:fldSimple w:instr=" STYLEREF 1 \s " w:fldLock="1">
        <w:r w:rsidR="002C549C">
          <w:rPr>
            <w:noProof/>
          </w:rPr>
          <w:t>4</w:t>
        </w:r>
      </w:fldSimple>
      <w:r w:rsidR="001167C6">
        <w:t>.</w:t>
      </w:r>
      <w:fldSimple w:instr=" SEQ Table \* ARABIC \s 1 " w:fldLock="1">
        <w:r w:rsidR="002C549C">
          <w:rPr>
            <w:noProof/>
          </w:rPr>
          <w:t>2</w:t>
        </w:r>
      </w:fldSimple>
      <w:bookmarkEnd w:id="257"/>
      <w:r w:rsidR="006F3A47">
        <w:t xml:space="preserve"> Improvements in LTR retrotransposon content annotation across three chicken genome assemblies. The Galgal4 to Galgal5 sequence increase is almost four times more than the increase between Galgal3 and Galgal4.</w:t>
      </w:r>
      <w:bookmarkEnd w:id="258"/>
    </w:p>
    <w:tbl>
      <w:tblPr>
        <w:tblStyle w:val="TableGrid"/>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1701"/>
        <w:gridCol w:w="1701"/>
        <w:gridCol w:w="1701"/>
      </w:tblGrid>
      <w:tr w:rsidR="006F3A47" w14:paraId="1391EF32" w14:textId="77777777" w:rsidTr="00E3503A">
        <w:trPr>
          <w:trHeight w:val="552"/>
          <w:jc w:val="center"/>
        </w:trPr>
        <w:tc>
          <w:tcPr>
            <w:tcW w:w="2268" w:type="dxa"/>
            <w:tcBorders>
              <w:top w:val="single" w:sz="4" w:space="0" w:color="auto"/>
              <w:bottom w:val="single" w:sz="4" w:space="0" w:color="auto"/>
            </w:tcBorders>
            <w:vAlign w:val="center"/>
          </w:tcPr>
          <w:p w14:paraId="5E7F09A3" w14:textId="6ACA6025" w:rsidR="006F3A47" w:rsidRDefault="00290BEE" w:rsidP="00290BEE">
            <w:pPr>
              <w:pStyle w:val="Tablecontent"/>
              <w:jc w:val="center"/>
            </w:pPr>
            <w:r>
              <w:t>Assembly features</w:t>
            </w:r>
          </w:p>
        </w:tc>
        <w:tc>
          <w:tcPr>
            <w:tcW w:w="1701" w:type="dxa"/>
            <w:tcBorders>
              <w:top w:val="single" w:sz="4" w:space="0" w:color="auto"/>
              <w:bottom w:val="single" w:sz="4" w:space="0" w:color="auto"/>
            </w:tcBorders>
            <w:vAlign w:val="center"/>
          </w:tcPr>
          <w:p w14:paraId="4AA194AC" w14:textId="77777777" w:rsidR="006F3A47" w:rsidRDefault="006F3A47" w:rsidP="00E3503A">
            <w:pPr>
              <w:pStyle w:val="Tablecontent"/>
              <w:jc w:val="center"/>
            </w:pPr>
            <w:r>
              <w:t>Galgal3</w:t>
            </w:r>
          </w:p>
        </w:tc>
        <w:tc>
          <w:tcPr>
            <w:tcW w:w="1701" w:type="dxa"/>
            <w:tcBorders>
              <w:top w:val="single" w:sz="4" w:space="0" w:color="auto"/>
              <w:bottom w:val="single" w:sz="4" w:space="0" w:color="auto"/>
            </w:tcBorders>
            <w:vAlign w:val="center"/>
          </w:tcPr>
          <w:p w14:paraId="33D157E3" w14:textId="6A1C12EF" w:rsidR="006F3A47" w:rsidRDefault="006F3A47" w:rsidP="00E3503A">
            <w:pPr>
              <w:pStyle w:val="Tablecontent"/>
              <w:jc w:val="center"/>
            </w:pPr>
            <w:r>
              <w:t xml:space="preserve">Galgal4 </w:t>
            </w:r>
          </w:p>
        </w:tc>
        <w:tc>
          <w:tcPr>
            <w:tcW w:w="1701" w:type="dxa"/>
            <w:tcBorders>
              <w:top w:val="single" w:sz="4" w:space="0" w:color="auto"/>
              <w:bottom w:val="single" w:sz="4" w:space="0" w:color="auto"/>
            </w:tcBorders>
            <w:vAlign w:val="center"/>
          </w:tcPr>
          <w:p w14:paraId="01256B4C" w14:textId="7BB37495" w:rsidR="006F3A47" w:rsidRDefault="006F3A47" w:rsidP="00E3503A">
            <w:pPr>
              <w:pStyle w:val="Tablecontent"/>
              <w:jc w:val="center"/>
            </w:pPr>
            <w:r>
              <w:t>Galgal5</w:t>
            </w:r>
          </w:p>
        </w:tc>
      </w:tr>
      <w:tr w:rsidR="006F3A47" w14:paraId="71CE301F" w14:textId="77777777" w:rsidTr="00E3503A">
        <w:trPr>
          <w:jc w:val="center"/>
        </w:trPr>
        <w:tc>
          <w:tcPr>
            <w:tcW w:w="2268" w:type="dxa"/>
            <w:tcBorders>
              <w:top w:val="single" w:sz="4" w:space="0" w:color="auto"/>
              <w:right w:val="single" w:sz="4" w:space="0" w:color="auto"/>
            </w:tcBorders>
            <w:vAlign w:val="center"/>
          </w:tcPr>
          <w:p w14:paraId="60920790" w14:textId="77777777" w:rsidR="006F3A47" w:rsidRDefault="006F3A47" w:rsidP="00E3503A">
            <w:pPr>
              <w:pStyle w:val="Tablecontent"/>
              <w:ind w:right="41"/>
              <w:jc w:val="right"/>
            </w:pPr>
            <w:r>
              <w:t>Assembly length (bp)</w:t>
            </w:r>
          </w:p>
        </w:tc>
        <w:tc>
          <w:tcPr>
            <w:tcW w:w="1701" w:type="dxa"/>
            <w:tcBorders>
              <w:top w:val="single" w:sz="4" w:space="0" w:color="auto"/>
              <w:left w:val="single" w:sz="4" w:space="0" w:color="auto"/>
            </w:tcBorders>
            <w:vAlign w:val="center"/>
          </w:tcPr>
          <w:p w14:paraId="5D38FFB5" w14:textId="77777777" w:rsidR="006F3A47" w:rsidRPr="005A55BD" w:rsidRDefault="006F3A47" w:rsidP="00E3503A">
            <w:pPr>
              <w:pStyle w:val="Tablecontent"/>
              <w:jc w:val="center"/>
            </w:pPr>
            <w:r>
              <w:t>1,098,770,941</w:t>
            </w:r>
          </w:p>
        </w:tc>
        <w:tc>
          <w:tcPr>
            <w:tcW w:w="1701" w:type="dxa"/>
            <w:tcBorders>
              <w:top w:val="single" w:sz="4" w:space="0" w:color="auto"/>
            </w:tcBorders>
            <w:vAlign w:val="center"/>
          </w:tcPr>
          <w:p w14:paraId="6EB6A38F" w14:textId="77777777" w:rsidR="006F3A47" w:rsidRPr="005A55BD" w:rsidRDefault="006F3A47" w:rsidP="00E3503A">
            <w:pPr>
              <w:pStyle w:val="Tablecontent"/>
              <w:jc w:val="center"/>
            </w:pPr>
            <w:r>
              <w:t>1,046,932,099</w:t>
            </w:r>
          </w:p>
        </w:tc>
        <w:tc>
          <w:tcPr>
            <w:tcW w:w="1701" w:type="dxa"/>
            <w:tcBorders>
              <w:top w:val="single" w:sz="4" w:space="0" w:color="auto"/>
            </w:tcBorders>
            <w:vAlign w:val="center"/>
          </w:tcPr>
          <w:p w14:paraId="6FAD98DC" w14:textId="0E45448A" w:rsidR="006F3A47" w:rsidRPr="005A55BD" w:rsidRDefault="006F3A47" w:rsidP="00E3503A">
            <w:pPr>
              <w:pStyle w:val="Tablecontent"/>
              <w:jc w:val="center"/>
            </w:pPr>
            <w:r>
              <w:t>1,230,258,557</w:t>
            </w:r>
          </w:p>
        </w:tc>
      </w:tr>
      <w:tr w:rsidR="006F3A47" w14:paraId="0448E9F2" w14:textId="77777777" w:rsidTr="00E3503A">
        <w:trPr>
          <w:jc w:val="center"/>
        </w:trPr>
        <w:tc>
          <w:tcPr>
            <w:tcW w:w="2268" w:type="dxa"/>
            <w:tcBorders>
              <w:right w:val="single" w:sz="4" w:space="0" w:color="auto"/>
            </w:tcBorders>
            <w:vAlign w:val="center"/>
          </w:tcPr>
          <w:p w14:paraId="0E190D60" w14:textId="77777777" w:rsidR="006F3A47" w:rsidRDefault="006F3A47" w:rsidP="00E3503A">
            <w:pPr>
              <w:pStyle w:val="Tablecontent"/>
              <w:ind w:right="41"/>
              <w:jc w:val="right"/>
            </w:pPr>
            <w:r>
              <w:t>Scaffold N50 (bp)</w:t>
            </w:r>
          </w:p>
        </w:tc>
        <w:tc>
          <w:tcPr>
            <w:tcW w:w="1701" w:type="dxa"/>
            <w:tcBorders>
              <w:left w:val="single" w:sz="4" w:space="0" w:color="auto"/>
            </w:tcBorders>
            <w:vAlign w:val="center"/>
          </w:tcPr>
          <w:p w14:paraId="7222D5F1" w14:textId="77777777" w:rsidR="006F3A47" w:rsidRPr="005A55BD" w:rsidRDefault="006F3A47" w:rsidP="00E3503A">
            <w:pPr>
              <w:pStyle w:val="Tablecontent"/>
              <w:jc w:val="center"/>
            </w:pPr>
            <w:r>
              <w:t>11,063,745</w:t>
            </w:r>
          </w:p>
        </w:tc>
        <w:tc>
          <w:tcPr>
            <w:tcW w:w="1701" w:type="dxa"/>
            <w:vAlign w:val="center"/>
          </w:tcPr>
          <w:p w14:paraId="3D7675FD" w14:textId="77777777" w:rsidR="006F3A47" w:rsidRPr="005A55BD" w:rsidRDefault="006F3A47" w:rsidP="00E3503A">
            <w:pPr>
              <w:pStyle w:val="Tablecontent"/>
              <w:jc w:val="center"/>
            </w:pPr>
            <w:r>
              <w:t>12,877,381</w:t>
            </w:r>
          </w:p>
        </w:tc>
        <w:tc>
          <w:tcPr>
            <w:tcW w:w="1701" w:type="dxa"/>
            <w:vAlign w:val="center"/>
          </w:tcPr>
          <w:p w14:paraId="04993312" w14:textId="59462E47" w:rsidR="006F3A47" w:rsidRPr="005A55BD" w:rsidRDefault="006F3A47" w:rsidP="00E3503A">
            <w:pPr>
              <w:pStyle w:val="Tablecontent"/>
              <w:jc w:val="center"/>
            </w:pPr>
            <w:r>
              <w:t>6,379,610</w:t>
            </w:r>
          </w:p>
        </w:tc>
      </w:tr>
      <w:tr w:rsidR="006F3A47" w14:paraId="14F4761E" w14:textId="77777777" w:rsidTr="00E3503A">
        <w:trPr>
          <w:jc w:val="center"/>
        </w:trPr>
        <w:tc>
          <w:tcPr>
            <w:tcW w:w="2268" w:type="dxa"/>
            <w:tcBorders>
              <w:right w:val="single" w:sz="4" w:space="0" w:color="auto"/>
            </w:tcBorders>
            <w:vAlign w:val="center"/>
          </w:tcPr>
          <w:p w14:paraId="7446A74D" w14:textId="77777777" w:rsidR="006F3A47" w:rsidRDefault="006F3A47" w:rsidP="00E3503A">
            <w:pPr>
              <w:pStyle w:val="Tablecontent"/>
              <w:ind w:right="41"/>
              <w:jc w:val="right"/>
            </w:pPr>
            <w:r>
              <w:t>LTR content (bp)</w:t>
            </w:r>
          </w:p>
        </w:tc>
        <w:tc>
          <w:tcPr>
            <w:tcW w:w="1701" w:type="dxa"/>
            <w:tcBorders>
              <w:left w:val="single" w:sz="4" w:space="0" w:color="auto"/>
            </w:tcBorders>
            <w:vAlign w:val="center"/>
          </w:tcPr>
          <w:p w14:paraId="558D28E3" w14:textId="77777777" w:rsidR="006F3A47" w:rsidRPr="005A55BD" w:rsidRDefault="006F3A47" w:rsidP="00E3503A">
            <w:pPr>
              <w:pStyle w:val="Tablecontent"/>
              <w:jc w:val="center"/>
            </w:pPr>
            <w:r>
              <w:t>14,870,595</w:t>
            </w:r>
          </w:p>
        </w:tc>
        <w:tc>
          <w:tcPr>
            <w:tcW w:w="1701" w:type="dxa"/>
            <w:vAlign w:val="center"/>
          </w:tcPr>
          <w:p w14:paraId="2366664E" w14:textId="52DA7267" w:rsidR="006F3A47" w:rsidRPr="005A55BD" w:rsidRDefault="006F3A47" w:rsidP="00E3503A">
            <w:pPr>
              <w:pStyle w:val="Tablecontent"/>
              <w:jc w:val="center"/>
            </w:pPr>
            <w:r>
              <w:t>17,369,358</w:t>
            </w:r>
          </w:p>
        </w:tc>
        <w:tc>
          <w:tcPr>
            <w:tcW w:w="1701" w:type="dxa"/>
            <w:vAlign w:val="center"/>
          </w:tcPr>
          <w:p w14:paraId="2A6F9002" w14:textId="1775F36C" w:rsidR="006F3A47" w:rsidRPr="005A55BD" w:rsidRDefault="006F3A47" w:rsidP="00E3503A">
            <w:pPr>
              <w:pStyle w:val="Tablecontent"/>
              <w:jc w:val="center"/>
            </w:pPr>
            <w:r>
              <w:t>26,660,513</w:t>
            </w:r>
          </w:p>
        </w:tc>
      </w:tr>
      <w:tr w:rsidR="006F3A47" w14:paraId="042EC43A" w14:textId="77777777" w:rsidTr="00E3503A">
        <w:trPr>
          <w:jc w:val="center"/>
        </w:trPr>
        <w:tc>
          <w:tcPr>
            <w:tcW w:w="2268" w:type="dxa"/>
            <w:tcBorders>
              <w:bottom w:val="single" w:sz="4" w:space="0" w:color="auto"/>
              <w:right w:val="single" w:sz="4" w:space="0" w:color="auto"/>
            </w:tcBorders>
            <w:vAlign w:val="center"/>
          </w:tcPr>
          <w:p w14:paraId="713C9EA3" w14:textId="6B0140E6" w:rsidR="006F3A47" w:rsidRDefault="006F3A47" w:rsidP="00E3503A">
            <w:pPr>
              <w:pStyle w:val="Tablecontent"/>
              <w:ind w:right="41"/>
              <w:jc w:val="right"/>
            </w:pPr>
            <w:r>
              <w:t>LTR content (%)</w:t>
            </w:r>
          </w:p>
        </w:tc>
        <w:tc>
          <w:tcPr>
            <w:tcW w:w="1701" w:type="dxa"/>
            <w:tcBorders>
              <w:left w:val="single" w:sz="4" w:space="0" w:color="auto"/>
              <w:bottom w:val="single" w:sz="4" w:space="0" w:color="auto"/>
            </w:tcBorders>
            <w:vAlign w:val="center"/>
          </w:tcPr>
          <w:p w14:paraId="3D9ED7FD" w14:textId="78F40A85" w:rsidR="006F3A47" w:rsidRPr="005A55BD" w:rsidRDefault="006F3A47" w:rsidP="00E3503A">
            <w:pPr>
              <w:pStyle w:val="Tablecontent"/>
              <w:jc w:val="center"/>
            </w:pPr>
            <w:r>
              <w:t>1.35</w:t>
            </w:r>
          </w:p>
        </w:tc>
        <w:tc>
          <w:tcPr>
            <w:tcW w:w="1701" w:type="dxa"/>
            <w:tcBorders>
              <w:bottom w:val="single" w:sz="4" w:space="0" w:color="auto"/>
            </w:tcBorders>
            <w:vAlign w:val="center"/>
          </w:tcPr>
          <w:p w14:paraId="11D0E532" w14:textId="24BC9B76" w:rsidR="006F3A47" w:rsidRPr="005A55BD" w:rsidRDefault="006F3A47" w:rsidP="00E3503A">
            <w:pPr>
              <w:pStyle w:val="Tablecontent"/>
              <w:jc w:val="center"/>
            </w:pPr>
            <w:r>
              <w:t>1.67</w:t>
            </w:r>
          </w:p>
        </w:tc>
        <w:tc>
          <w:tcPr>
            <w:tcW w:w="1701" w:type="dxa"/>
            <w:tcBorders>
              <w:bottom w:val="single" w:sz="4" w:space="0" w:color="auto"/>
            </w:tcBorders>
            <w:vAlign w:val="center"/>
          </w:tcPr>
          <w:p w14:paraId="15F5724D" w14:textId="2FC54195" w:rsidR="006F3A47" w:rsidRPr="005A55BD" w:rsidRDefault="006F3A47" w:rsidP="00E3503A">
            <w:pPr>
              <w:pStyle w:val="Tablecontent"/>
              <w:jc w:val="center"/>
            </w:pPr>
            <w:r>
              <w:t>2.17</w:t>
            </w:r>
          </w:p>
        </w:tc>
      </w:tr>
    </w:tbl>
    <w:p w14:paraId="7CB4B2CA" w14:textId="32AC2CEE" w:rsidR="00CF2ED5" w:rsidRPr="00DA63FA" w:rsidRDefault="00CF2ED5" w:rsidP="00391005">
      <w:pPr>
        <w:pStyle w:val="ListParagraph"/>
        <w:rPr>
          <w:sz w:val="2"/>
        </w:rPr>
      </w:pPr>
    </w:p>
    <w:p w14:paraId="12447703" w14:textId="003DB050" w:rsidR="00CF2ED5" w:rsidRDefault="004A0292" w:rsidP="004A0292">
      <w:pPr>
        <w:pStyle w:val="Caption"/>
      </w:pPr>
      <w:bookmarkStart w:id="259" w:name="_Ref482438283"/>
      <w:bookmarkStart w:id="260" w:name="_Toc486786314"/>
      <w:r>
        <w:t xml:space="preserve">Table </w:t>
      </w:r>
      <w:fldSimple w:instr=" STYLEREF 1 \s " w:fldLock="1">
        <w:r w:rsidR="002C549C">
          <w:rPr>
            <w:noProof/>
          </w:rPr>
          <w:t>4</w:t>
        </w:r>
      </w:fldSimple>
      <w:r w:rsidR="001167C6">
        <w:t>.</w:t>
      </w:r>
      <w:fldSimple w:instr=" SEQ Table \* ARABIC \s 1 " w:fldLock="1">
        <w:r w:rsidR="002C549C">
          <w:rPr>
            <w:noProof/>
          </w:rPr>
          <w:t>3</w:t>
        </w:r>
      </w:fldSimple>
      <w:bookmarkEnd w:id="259"/>
      <w:r w:rsidR="00290BEE">
        <w:t xml:space="preserve"> The contribution of the distinct LocaTR protocols to the overall total for both the Galgal4 and Galgal5 assemblies. Total identified content is shown for the homology and structure-based protocols, and just the additive effect is shown for the secondary BLAST. The use of the Galgal4 annotation as part of the Galgal5 analysis has reduced the additive effect of the secondary BLAST, limiting additional sequence to that homologous to the newly identified SIEs.</w:t>
      </w:r>
      <w:bookmarkEnd w:id="260"/>
    </w:p>
    <w:tbl>
      <w:tblPr>
        <w:tblStyle w:val="TableGrid"/>
        <w:tblW w:w="652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1701"/>
        <w:gridCol w:w="1701"/>
      </w:tblGrid>
      <w:tr w:rsidR="006F3A47" w14:paraId="07959121" w14:textId="77777777" w:rsidTr="006F3A47">
        <w:trPr>
          <w:trHeight w:val="552"/>
          <w:jc w:val="center"/>
        </w:trPr>
        <w:tc>
          <w:tcPr>
            <w:tcW w:w="3119" w:type="dxa"/>
            <w:tcBorders>
              <w:top w:val="single" w:sz="4" w:space="0" w:color="auto"/>
              <w:bottom w:val="single" w:sz="4" w:space="0" w:color="auto"/>
            </w:tcBorders>
            <w:vAlign w:val="center"/>
          </w:tcPr>
          <w:p w14:paraId="3A1349A3" w14:textId="671EF1CB" w:rsidR="006F3A47" w:rsidRDefault="00290BEE" w:rsidP="00290BEE">
            <w:pPr>
              <w:pStyle w:val="Tablecontent"/>
              <w:jc w:val="center"/>
            </w:pPr>
            <w:r>
              <w:t>LocaTR protocol contributions</w:t>
            </w:r>
          </w:p>
        </w:tc>
        <w:tc>
          <w:tcPr>
            <w:tcW w:w="1701" w:type="dxa"/>
            <w:tcBorders>
              <w:top w:val="single" w:sz="4" w:space="0" w:color="auto"/>
              <w:bottom w:val="single" w:sz="4" w:space="0" w:color="auto"/>
            </w:tcBorders>
            <w:vAlign w:val="center"/>
          </w:tcPr>
          <w:p w14:paraId="10FCB7D4" w14:textId="5BB2D74B" w:rsidR="006F3A47" w:rsidRDefault="006F3A47" w:rsidP="00E3503A">
            <w:pPr>
              <w:pStyle w:val="Tablecontent"/>
              <w:jc w:val="center"/>
            </w:pPr>
            <w:r>
              <w:t>Galgal4</w:t>
            </w:r>
          </w:p>
        </w:tc>
        <w:tc>
          <w:tcPr>
            <w:tcW w:w="1701" w:type="dxa"/>
            <w:tcBorders>
              <w:top w:val="single" w:sz="4" w:space="0" w:color="auto"/>
              <w:bottom w:val="single" w:sz="4" w:space="0" w:color="auto"/>
            </w:tcBorders>
            <w:vAlign w:val="center"/>
          </w:tcPr>
          <w:p w14:paraId="4A24E9AD" w14:textId="566074CE" w:rsidR="006F3A47" w:rsidRDefault="006F3A47" w:rsidP="00E3503A">
            <w:pPr>
              <w:pStyle w:val="Tablecontent"/>
              <w:jc w:val="center"/>
            </w:pPr>
            <w:r>
              <w:t xml:space="preserve">Galgal5 </w:t>
            </w:r>
          </w:p>
        </w:tc>
      </w:tr>
      <w:tr w:rsidR="006F3A47" w14:paraId="5A168BD0" w14:textId="77777777" w:rsidTr="006F3A47">
        <w:trPr>
          <w:jc w:val="center"/>
        </w:trPr>
        <w:tc>
          <w:tcPr>
            <w:tcW w:w="3119" w:type="dxa"/>
            <w:tcBorders>
              <w:top w:val="single" w:sz="4" w:space="0" w:color="auto"/>
              <w:right w:val="single" w:sz="4" w:space="0" w:color="auto"/>
            </w:tcBorders>
            <w:vAlign w:val="center"/>
          </w:tcPr>
          <w:p w14:paraId="0FED6280" w14:textId="2D8E5348" w:rsidR="006F3A47" w:rsidRDefault="006F3A47" w:rsidP="00E3503A">
            <w:pPr>
              <w:pStyle w:val="Tablecontent"/>
              <w:ind w:right="41"/>
              <w:jc w:val="right"/>
            </w:pPr>
            <w:r>
              <w:t>Homology protocol (bp)</w:t>
            </w:r>
          </w:p>
        </w:tc>
        <w:tc>
          <w:tcPr>
            <w:tcW w:w="1701" w:type="dxa"/>
            <w:tcBorders>
              <w:top w:val="single" w:sz="4" w:space="0" w:color="auto"/>
              <w:left w:val="single" w:sz="4" w:space="0" w:color="auto"/>
            </w:tcBorders>
            <w:vAlign w:val="center"/>
          </w:tcPr>
          <w:p w14:paraId="20E8953B" w14:textId="6FA515F5" w:rsidR="006F3A47" w:rsidRPr="005A55BD" w:rsidRDefault="00290BEE" w:rsidP="00E3503A">
            <w:pPr>
              <w:pStyle w:val="Tablecontent"/>
              <w:jc w:val="center"/>
            </w:pPr>
            <w:r>
              <w:t>20,322,178</w:t>
            </w:r>
          </w:p>
        </w:tc>
        <w:tc>
          <w:tcPr>
            <w:tcW w:w="1701" w:type="dxa"/>
            <w:tcBorders>
              <w:top w:val="single" w:sz="4" w:space="0" w:color="auto"/>
            </w:tcBorders>
            <w:vAlign w:val="center"/>
          </w:tcPr>
          <w:p w14:paraId="15B1ABEA" w14:textId="53FDA327" w:rsidR="006F3A47" w:rsidRPr="005A55BD" w:rsidRDefault="006F3A47" w:rsidP="00E3503A">
            <w:pPr>
              <w:pStyle w:val="Tablecontent"/>
              <w:jc w:val="center"/>
            </w:pPr>
            <w:r>
              <w:t>31,290,565</w:t>
            </w:r>
          </w:p>
        </w:tc>
      </w:tr>
      <w:tr w:rsidR="006F3A47" w14:paraId="3B102E98" w14:textId="77777777" w:rsidTr="006F3A47">
        <w:trPr>
          <w:jc w:val="center"/>
        </w:trPr>
        <w:tc>
          <w:tcPr>
            <w:tcW w:w="3119" w:type="dxa"/>
            <w:tcBorders>
              <w:right w:val="single" w:sz="4" w:space="0" w:color="auto"/>
            </w:tcBorders>
            <w:vAlign w:val="center"/>
          </w:tcPr>
          <w:p w14:paraId="2DFE9F27" w14:textId="09E95EDD" w:rsidR="006F3A47" w:rsidRDefault="006F3A47" w:rsidP="00E3503A">
            <w:pPr>
              <w:pStyle w:val="Tablecontent"/>
              <w:ind w:right="41"/>
              <w:jc w:val="right"/>
            </w:pPr>
            <w:r>
              <w:t>Structure-based programs (bp)</w:t>
            </w:r>
          </w:p>
        </w:tc>
        <w:tc>
          <w:tcPr>
            <w:tcW w:w="1701" w:type="dxa"/>
            <w:tcBorders>
              <w:left w:val="single" w:sz="4" w:space="0" w:color="auto"/>
            </w:tcBorders>
            <w:vAlign w:val="center"/>
          </w:tcPr>
          <w:p w14:paraId="1C2C66EC" w14:textId="4B78990C" w:rsidR="006F3A47" w:rsidRPr="005A55BD" w:rsidRDefault="00290BEE" w:rsidP="00E3503A">
            <w:pPr>
              <w:pStyle w:val="Tablecontent"/>
              <w:jc w:val="center"/>
            </w:pPr>
            <w:r>
              <w:t xml:space="preserve">   9,114,835</w:t>
            </w:r>
          </w:p>
        </w:tc>
        <w:tc>
          <w:tcPr>
            <w:tcW w:w="1701" w:type="dxa"/>
            <w:vAlign w:val="center"/>
          </w:tcPr>
          <w:p w14:paraId="6E7537B6" w14:textId="023111A5" w:rsidR="006F3A47" w:rsidRPr="005A55BD" w:rsidRDefault="006F3A47" w:rsidP="00E3503A">
            <w:pPr>
              <w:pStyle w:val="Tablecontent"/>
              <w:jc w:val="center"/>
            </w:pPr>
            <w:r>
              <w:t xml:space="preserve">   9,683,365</w:t>
            </w:r>
          </w:p>
        </w:tc>
      </w:tr>
      <w:tr w:rsidR="006F3A47" w14:paraId="66DFF57C" w14:textId="77777777" w:rsidTr="006F3A47">
        <w:trPr>
          <w:jc w:val="center"/>
        </w:trPr>
        <w:tc>
          <w:tcPr>
            <w:tcW w:w="3119" w:type="dxa"/>
            <w:tcBorders>
              <w:right w:val="single" w:sz="4" w:space="0" w:color="auto"/>
            </w:tcBorders>
            <w:vAlign w:val="center"/>
          </w:tcPr>
          <w:p w14:paraId="76D859D4" w14:textId="5955A095" w:rsidR="006F3A47" w:rsidRDefault="00FE6413" w:rsidP="00E3503A">
            <w:pPr>
              <w:pStyle w:val="Tablecontent"/>
              <w:ind w:right="41"/>
              <w:jc w:val="right"/>
            </w:pPr>
            <w:r>
              <w:t>Additive s</w:t>
            </w:r>
            <w:r w:rsidR="006F3A47">
              <w:t>econdary BLAST (bp)</w:t>
            </w:r>
          </w:p>
        </w:tc>
        <w:tc>
          <w:tcPr>
            <w:tcW w:w="1701" w:type="dxa"/>
            <w:tcBorders>
              <w:left w:val="single" w:sz="4" w:space="0" w:color="auto"/>
            </w:tcBorders>
            <w:vAlign w:val="center"/>
          </w:tcPr>
          <w:p w14:paraId="64FB0756" w14:textId="59A0003F" w:rsidR="006F3A47" w:rsidRPr="005A55BD" w:rsidRDefault="00290BEE" w:rsidP="00E3503A">
            <w:pPr>
              <w:pStyle w:val="Tablecontent"/>
              <w:jc w:val="center"/>
            </w:pPr>
            <w:r>
              <w:t xml:space="preserve">   7,064,272</w:t>
            </w:r>
          </w:p>
        </w:tc>
        <w:tc>
          <w:tcPr>
            <w:tcW w:w="1701" w:type="dxa"/>
            <w:vAlign w:val="center"/>
          </w:tcPr>
          <w:p w14:paraId="0D5548AF" w14:textId="27D7361D" w:rsidR="006F3A47" w:rsidRPr="005A55BD" w:rsidRDefault="006F3A47" w:rsidP="00E3503A">
            <w:pPr>
              <w:pStyle w:val="Tablecontent"/>
              <w:jc w:val="center"/>
            </w:pPr>
            <w:r>
              <w:t xml:space="preserve">      484,108</w:t>
            </w:r>
          </w:p>
        </w:tc>
      </w:tr>
      <w:tr w:rsidR="006F3A47" w14:paraId="032AF998" w14:textId="77777777" w:rsidTr="006F3A47">
        <w:trPr>
          <w:jc w:val="center"/>
        </w:trPr>
        <w:tc>
          <w:tcPr>
            <w:tcW w:w="3119" w:type="dxa"/>
            <w:tcBorders>
              <w:bottom w:val="single" w:sz="4" w:space="0" w:color="auto"/>
              <w:right w:val="single" w:sz="4" w:space="0" w:color="auto"/>
            </w:tcBorders>
            <w:vAlign w:val="center"/>
          </w:tcPr>
          <w:p w14:paraId="38D98DA2" w14:textId="25B3A74B" w:rsidR="006F3A47" w:rsidRDefault="006F3A47" w:rsidP="00E3503A">
            <w:pPr>
              <w:pStyle w:val="Tablecontent"/>
              <w:ind w:right="41"/>
              <w:jc w:val="right"/>
            </w:pPr>
            <w:r>
              <w:t>Total (bp)</w:t>
            </w:r>
          </w:p>
        </w:tc>
        <w:tc>
          <w:tcPr>
            <w:tcW w:w="1701" w:type="dxa"/>
            <w:tcBorders>
              <w:left w:val="single" w:sz="4" w:space="0" w:color="auto"/>
              <w:bottom w:val="single" w:sz="4" w:space="0" w:color="auto"/>
            </w:tcBorders>
            <w:vAlign w:val="center"/>
          </w:tcPr>
          <w:p w14:paraId="0D1B55CC" w14:textId="5ED9A9DE" w:rsidR="006F3A47" w:rsidRPr="005A55BD" w:rsidRDefault="00290BEE" w:rsidP="00E3503A">
            <w:pPr>
              <w:pStyle w:val="Tablecontent"/>
              <w:jc w:val="center"/>
            </w:pPr>
            <w:r>
              <w:t>31,454,008</w:t>
            </w:r>
          </w:p>
        </w:tc>
        <w:tc>
          <w:tcPr>
            <w:tcW w:w="1701" w:type="dxa"/>
            <w:tcBorders>
              <w:bottom w:val="single" w:sz="4" w:space="0" w:color="auto"/>
            </w:tcBorders>
            <w:vAlign w:val="center"/>
          </w:tcPr>
          <w:p w14:paraId="6CB733B2" w14:textId="502DE46E" w:rsidR="006F3A47" w:rsidRPr="005A55BD" w:rsidRDefault="006F3A47" w:rsidP="00E3503A">
            <w:pPr>
              <w:pStyle w:val="Tablecontent"/>
              <w:jc w:val="center"/>
            </w:pPr>
            <w:r>
              <w:t>35,200,607</w:t>
            </w:r>
          </w:p>
        </w:tc>
      </w:tr>
    </w:tbl>
    <w:p w14:paraId="3BFBE128" w14:textId="0A9871E5" w:rsidR="004A0292" w:rsidRDefault="004A0292" w:rsidP="00391005">
      <w:pPr>
        <w:pStyle w:val="ListParagraph"/>
      </w:pPr>
    </w:p>
    <w:p w14:paraId="5B726E20" w14:textId="5FE7CF6A" w:rsidR="00CF2ED5" w:rsidRDefault="002D77B7" w:rsidP="00391005">
      <w:pPr>
        <w:pStyle w:val="ListParagraph"/>
      </w:pPr>
      <w:r>
        <w:t xml:space="preserve">Each of the four </w:t>
      </w:r>
      <w:r w:rsidR="0069413D">
        <w:t xml:space="preserve">structure-based identification </w:t>
      </w:r>
      <w:r>
        <w:t>programs again exhibited high false positive rates (</w:t>
      </w:r>
      <w:r w:rsidR="0069413D">
        <w:fldChar w:fldCharType="begin" w:fldLock="1"/>
      </w:r>
      <w:r w:rsidR="0069413D">
        <w:instrText xml:space="preserve"> REF _Ref482439474 \h </w:instrText>
      </w:r>
      <w:r w:rsidR="0069413D">
        <w:fldChar w:fldCharType="separate"/>
      </w:r>
      <w:r w:rsidR="002C549C">
        <w:t xml:space="preserve">Table </w:t>
      </w:r>
      <w:r w:rsidR="002C549C">
        <w:rPr>
          <w:noProof/>
        </w:rPr>
        <w:t>4</w:t>
      </w:r>
      <w:r w:rsidR="002C549C">
        <w:t>.</w:t>
      </w:r>
      <w:r w:rsidR="002C549C">
        <w:rPr>
          <w:noProof/>
        </w:rPr>
        <w:t>4</w:t>
      </w:r>
      <w:r w:rsidR="0069413D">
        <w:fldChar w:fldCharType="end"/>
      </w:r>
      <w:r>
        <w:t xml:space="preserve">), but this time there was greater corroboration between the programs. </w:t>
      </w:r>
      <w:r w:rsidR="0069413D">
        <w:t>In the Galgal4 analysis, 72.79 % (782/1073) of all SIEs were identified by a single program. For Galgal5, 532 of the 1,295 SIEs (41.08 %) were unique to a single program, and 609 (47.02 %) were identified by two programs. There was much greater overlap between the results of LTR Harvest, MGEScan_LTR and RetroTector for this analysis than was observed in Galgal4. Again, there were no detectable biase</w:t>
      </w:r>
      <w:r w:rsidR="002F0F9F">
        <w:t>s between the four programs, but</w:t>
      </w:r>
      <w:r w:rsidR="0069413D">
        <w:t xml:space="preserve"> only 0.31 % of SIEs were identified by all four.</w:t>
      </w:r>
    </w:p>
    <w:p w14:paraId="4E41A942" w14:textId="579A0DFE" w:rsidR="0069413D" w:rsidRDefault="0069413D" w:rsidP="0069413D">
      <w:pPr>
        <w:pStyle w:val="Caption"/>
      </w:pPr>
      <w:bookmarkStart w:id="261" w:name="_Ref482439474"/>
      <w:bookmarkStart w:id="262" w:name="_Toc486786315"/>
      <w:r>
        <w:lastRenderedPageBreak/>
        <w:t xml:space="preserve">Table </w:t>
      </w:r>
      <w:fldSimple w:instr=" STYLEREF 1 \s " w:fldLock="1">
        <w:r w:rsidR="002C549C">
          <w:rPr>
            <w:noProof/>
          </w:rPr>
          <w:t>4</w:t>
        </w:r>
      </w:fldSimple>
      <w:r w:rsidR="001167C6">
        <w:t>.</w:t>
      </w:r>
      <w:fldSimple w:instr=" SEQ Table \* ARABIC \s 1 " w:fldLock="1">
        <w:r w:rsidR="002C549C">
          <w:rPr>
            <w:noProof/>
          </w:rPr>
          <w:t>4</w:t>
        </w:r>
      </w:fldSimple>
      <w:bookmarkEnd w:id="261"/>
      <w:r w:rsidR="007D0BFD">
        <w:t xml:space="preserve"> Structurally intact elements identified by the four structure-based identification programs. False positive rates are comparable to the Galgal4 analysis (</w:t>
      </w:r>
      <w:r w:rsidR="007D0BFD" w:rsidRPr="007D0BFD">
        <w:fldChar w:fldCharType="begin" w:fldLock="1"/>
      </w:r>
      <w:r w:rsidR="007D0BFD" w:rsidRPr="007D0BFD">
        <w:instrText xml:space="preserve"> REF _Ref477419688 \h  \* MERGEFORMAT </w:instrText>
      </w:r>
      <w:r w:rsidR="007D0BFD" w:rsidRPr="007D0BFD">
        <w:fldChar w:fldCharType="separate"/>
      </w:r>
      <w:r w:rsidR="002C549C" w:rsidRPr="00534955">
        <w:t xml:space="preserve">Table </w:t>
      </w:r>
      <w:r w:rsidR="002C549C">
        <w:rPr>
          <w:noProof/>
        </w:rPr>
        <w:t>3</w:t>
      </w:r>
      <w:r w:rsidR="002C549C" w:rsidRPr="00534955">
        <w:rPr>
          <w:noProof/>
        </w:rPr>
        <w:t>.</w:t>
      </w:r>
      <w:r w:rsidR="002C549C">
        <w:rPr>
          <w:noProof/>
        </w:rPr>
        <w:t>8</w:t>
      </w:r>
      <w:r w:rsidR="007D0BFD" w:rsidRPr="007D0BFD">
        <w:fldChar w:fldCharType="end"/>
      </w:r>
      <w:r w:rsidR="007D0BFD">
        <w:t>), but the unique SIE percentages are lower for all programs.</w:t>
      </w:r>
      <w:bookmarkEnd w:id="262"/>
    </w:p>
    <w:tbl>
      <w:tblPr>
        <w:tblStyle w:val="TableGrid"/>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1418"/>
        <w:gridCol w:w="1412"/>
        <w:gridCol w:w="1706"/>
        <w:gridCol w:w="1418"/>
      </w:tblGrid>
      <w:tr w:rsidR="007D0BFD" w14:paraId="7B636ADA" w14:textId="77777777" w:rsidTr="007D0BFD">
        <w:trPr>
          <w:trHeight w:val="450"/>
          <w:jc w:val="center"/>
        </w:trPr>
        <w:tc>
          <w:tcPr>
            <w:tcW w:w="2835" w:type="dxa"/>
            <w:tcBorders>
              <w:top w:val="single" w:sz="4" w:space="0" w:color="auto"/>
              <w:bottom w:val="single" w:sz="4" w:space="0" w:color="auto"/>
            </w:tcBorders>
            <w:vAlign w:val="center"/>
          </w:tcPr>
          <w:p w14:paraId="3BAC004B" w14:textId="3968B409" w:rsidR="007D0BFD" w:rsidRDefault="007D0BFD" w:rsidP="007D0BFD">
            <w:pPr>
              <w:pStyle w:val="Tablecontent"/>
              <w:jc w:val="center"/>
            </w:pPr>
            <w:r>
              <w:t>Intact element features</w:t>
            </w:r>
          </w:p>
        </w:tc>
        <w:tc>
          <w:tcPr>
            <w:tcW w:w="1418" w:type="dxa"/>
            <w:tcBorders>
              <w:top w:val="single" w:sz="4" w:space="0" w:color="auto"/>
              <w:bottom w:val="single" w:sz="4" w:space="0" w:color="auto"/>
            </w:tcBorders>
            <w:vAlign w:val="center"/>
          </w:tcPr>
          <w:p w14:paraId="50940E65" w14:textId="77777777" w:rsidR="007D0BFD" w:rsidRDefault="007D0BFD" w:rsidP="00E3503A">
            <w:pPr>
              <w:pStyle w:val="Tablecontent"/>
              <w:jc w:val="center"/>
            </w:pPr>
            <w:r>
              <w:t>LTR_STRUC</w:t>
            </w:r>
          </w:p>
        </w:tc>
        <w:tc>
          <w:tcPr>
            <w:tcW w:w="1412" w:type="dxa"/>
            <w:tcBorders>
              <w:top w:val="single" w:sz="4" w:space="0" w:color="auto"/>
              <w:bottom w:val="single" w:sz="4" w:space="0" w:color="auto"/>
            </w:tcBorders>
            <w:vAlign w:val="center"/>
          </w:tcPr>
          <w:p w14:paraId="5AF907AA" w14:textId="77777777" w:rsidR="007D0BFD" w:rsidRDefault="007D0BFD" w:rsidP="00E3503A">
            <w:pPr>
              <w:pStyle w:val="Tablecontent"/>
              <w:jc w:val="center"/>
            </w:pPr>
            <w:r>
              <w:t>LTR Harvest</w:t>
            </w:r>
          </w:p>
        </w:tc>
        <w:tc>
          <w:tcPr>
            <w:tcW w:w="1706" w:type="dxa"/>
            <w:tcBorders>
              <w:top w:val="single" w:sz="4" w:space="0" w:color="auto"/>
              <w:bottom w:val="single" w:sz="4" w:space="0" w:color="auto"/>
            </w:tcBorders>
            <w:vAlign w:val="center"/>
          </w:tcPr>
          <w:p w14:paraId="1EA7EFD5" w14:textId="77777777" w:rsidR="007D0BFD" w:rsidRDefault="007D0BFD" w:rsidP="00E3503A">
            <w:pPr>
              <w:pStyle w:val="Tablecontent"/>
              <w:jc w:val="center"/>
            </w:pPr>
            <w:r>
              <w:t>MGEScan_LTR</w:t>
            </w:r>
          </w:p>
        </w:tc>
        <w:tc>
          <w:tcPr>
            <w:tcW w:w="1418" w:type="dxa"/>
            <w:tcBorders>
              <w:top w:val="single" w:sz="4" w:space="0" w:color="auto"/>
              <w:bottom w:val="single" w:sz="4" w:space="0" w:color="auto"/>
            </w:tcBorders>
            <w:vAlign w:val="center"/>
          </w:tcPr>
          <w:p w14:paraId="2BA88783" w14:textId="77777777" w:rsidR="007D0BFD" w:rsidRDefault="007D0BFD" w:rsidP="00E3503A">
            <w:pPr>
              <w:pStyle w:val="Tablecontent"/>
              <w:jc w:val="center"/>
            </w:pPr>
            <w:r>
              <w:t>RetroTector</w:t>
            </w:r>
          </w:p>
        </w:tc>
      </w:tr>
      <w:tr w:rsidR="007D0BFD" w14:paraId="3457FEE3" w14:textId="77777777" w:rsidTr="007D0BFD">
        <w:trPr>
          <w:jc w:val="center"/>
        </w:trPr>
        <w:tc>
          <w:tcPr>
            <w:tcW w:w="2835" w:type="dxa"/>
            <w:tcBorders>
              <w:top w:val="single" w:sz="4" w:space="0" w:color="auto"/>
              <w:right w:val="single" w:sz="4" w:space="0" w:color="auto"/>
            </w:tcBorders>
            <w:vAlign w:val="center"/>
          </w:tcPr>
          <w:p w14:paraId="30072B3A" w14:textId="77777777" w:rsidR="007D0BFD" w:rsidRDefault="007D0BFD" w:rsidP="007D0BFD">
            <w:pPr>
              <w:pStyle w:val="Tablecontent"/>
              <w:ind w:right="31"/>
              <w:jc w:val="right"/>
            </w:pPr>
            <w:r>
              <w:t>Initial SIEs identified</w:t>
            </w:r>
          </w:p>
        </w:tc>
        <w:tc>
          <w:tcPr>
            <w:tcW w:w="1418" w:type="dxa"/>
            <w:tcBorders>
              <w:top w:val="single" w:sz="4" w:space="0" w:color="auto"/>
              <w:left w:val="single" w:sz="4" w:space="0" w:color="auto"/>
            </w:tcBorders>
            <w:vAlign w:val="center"/>
          </w:tcPr>
          <w:p w14:paraId="1E1217A1" w14:textId="483DDD82" w:rsidR="007D0BFD" w:rsidRPr="007D0BFD" w:rsidRDefault="007D0BFD" w:rsidP="00E3503A">
            <w:pPr>
              <w:pStyle w:val="Tablecontent"/>
              <w:jc w:val="center"/>
            </w:pPr>
            <w:r>
              <w:t>1,661</w:t>
            </w:r>
          </w:p>
        </w:tc>
        <w:tc>
          <w:tcPr>
            <w:tcW w:w="1412" w:type="dxa"/>
            <w:tcBorders>
              <w:top w:val="single" w:sz="4" w:space="0" w:color="auto"/>
            </w:tcBorders>
            <w:vAlign w:val="center"/>
          </w:tcPr>
          <w:p w14:paraId="372140DF" w14:textId="69EC28C4" w:rsidR="007D0BFD" w:rsidRPr="007D0BFD" w:rsidRDefault="007D0BFD" w:rsidP="00E3503A">
            <w:pPr>
              <w:pStyle w:val="Tablecontent"/>
              <w:jc w:val="center"/>
            </w:pPr>
            <w:r>
              <w:t>29,251</w:t>
            </w:r>
          </w:p>
        </w:tc>
        <w:tc>
          <w:tcPr>
            <w:tcW w:w="1706" w:type="dxa"/>
            <w:tcBorders>
              <w:top w:val="single" w:sz="4" w:space="0" w:color="auto"/>
            </w:tcBorders>
            <w:vAlign w:val="center"/>
          </w:tcPr>
          <w:p w14:paraId="11C28C7F" w14:textId="2E32314A" w:rsidR="007D0BFD" w:rsidRPr="007D0BFD" w:rsidRDefault="007D0BFD" w:rsidP="00E3503A">
            <w:pPr>
              <w:pStyle w:val="Tablecontent"/>
              <w:jc w:val="center"/>
            </w:pPr>
            <w:r>
              <w:t>1,129</w:t>
            </w:r>
          </w:p>
        </w:tc>
        <w:tc>
          <w:tcPr>
            <w:tcW w:w="1418" w:type="dxa"/>
            <w:tcBorders>
              <w:top w:val="single" w:sz="4" w:space="0" w:color="auto"/>
            </w:tcBorders>
            <w:vAlign w:val="center"/>
          </w:tcPr>
          <w:p w14:paraId="6F94A3AC" w14:textId="4B0FB0EA" w:rsidR="007D0BFD" w:rsidRPr="007D0BFD" w:rsidRDefault="007D0BFD" w:rsidP="00E3503A">
            <w:pPr>
              <w:pStyle w:val="Tablecontent"/>
              <w:jc w:val="center"/>
            </w:pPr>
            <w:r>
              <w:t>1,054</w:t>
            </w:r>
          </w:p>
        </w:tc>
      </w:tr>
      <w:tr w:rsidR="007D0BFD" w14:paraId="3AF27DB4" w14:textId="77777777" w:rsidTr="007D0BFD">
        <w:trPr>
          <w:jc w:val="center"/>
        </w:trPr>
        <w:tc>
          <w:tcPr>
            <w:tcW w:w="2835" w:type="dxa"/>
            <w:tcBorders>
              <w:right w:val="single" w:sz="4" w:space="0" w:color="auto"/>
            </w:tcBorders>
            <w:vAlign w:val="center"/>
          </w:tcPr>
          <w:p w14:paraId="2EDA189E" w14:textId="77777777" w:rsidR="007D0BFD" w:rsidRDefault="007D0BFD" w:rsidP="007D0BFD">
            <w:pPr>
              <w:pStyle w:val="Tablecontent"/>
              <w:ind w:right="31"/>
              <w:jc w:val="right"/>
            </w:pPr>
            <w:r>
              <w:t>SIEs with feature support</w:t>
            </w:r>
          </w:p>
        </w:tc>
        <w:tc>
          <w:tcPr>
            <w:tcW w:w="1418" w:type="dxa"/>
            <w:tcBorders>
              <w:left w:val="single" w:sz="4" w:space="0" w:color="auto"/>
            </w:tcBorders>
            <w:vAlign w:val="center"/>
          </w:tcPr>
          <w:p w14:paraId="7FEF2A2E" w14:textId="072B1D4D" w:rsidR="007D0BFD" w:rsidRPr="007D0BFD" w:rsidRDefault="007D0BFD" w:rsidP="00E3503A">
            <w:pPr>
              <w:pStyle w:val="Tablecontent"/>
              <w:jc w:val="center"/>
            </w:pPr>
            <w:r>
              <w:t>379</w:t>
            </w:r>
          </w:p>
        </w:tc>
        <w:tc>
          <w:tcPr>
            <w:tcW w:w="1412" w:type="dxa"/>
            <w:vAlign w:val="center"/>
          </w:tcPr>
          <w:p w14:paraId="15321D2D" w14:textId="5C4D7853" w:rsidR="007D0BFD" w:rsidRPr="007D0BFD" w:rsidRDefault="007D0BFD" w:rsidP="00E3503A">
            <w:pPr>
              <w:pStyle w:val="Tablecontent"/>
              <w:jc w:val="center"/>
            </w:pPr>
            <w:r>
              <w:t>800</w:t>
            </w:r>
          </w:p>
        </w:tc>
        <w:tc>
          <w:tcPr>
            <w:tcW w:w="1706" w:type="dxa"/>
            <w:vAlign w:val="center"/>
          </w:tcPr>
          <w:p w14:paraId="3E960191" w14:textId="052457F0" w:rsidR="007D0BFD" w:rsidRPr="007D0BFD" w:rsidRDefault="007D0BFD" w:rsidP="00E3503A">
            <w:pPr>
              <w:pStyle w:val="Tablecontent"/>
              <w:jc w:val="center"/>
            </w:pPr>
            <w:r>
              <w:t>687</w:t>
            </w:r>
          </w:p>
        </w:tc>
        <w:tc>
          <w:tcPr>
            <w:tcW w:w="1418" w:type="dxa"/>
            <w:vAlign w:val="center"/>
          </w:tcPr>
          <w:p w14:paraId="1BC6F6B0" w14:textId="003F137E" w:rsidR="007D0BFD" w:rsidRPr="007D0BFD" w:rsidRDefault="007D0BFD" w:rsidP="00E3503A">
            <w:pPr>
              <w:pStyle w:val="Tablecontent"/>
              <w:jc w:val="center"/>
            </w:pPr>
            <w:r>
              <w:t>539</w:t>
            </w:r>
          </w:p>
        </w:tc>
      </w:tr>
      <w:tr w:rsidR="007D0BFD" w14:paraId="270634CD" w14:textId="77777777" w:rsidTr="007D0BFD">
        <w:trPr>
          <w:jc w:val="center"/>
        </w:trPr>
        <w:tc>
          <w:tcPr>
            <w:tcW w:w="2835" w:type="dxa"/>
            <w:tcBorders>
              <w:right w:val="single" w:sz="4" w:space="0" w:color="auto"/>
            </w:tcBorders>
            <w:vAlign w:val="center"/>
          </w:tcPr>
          <w:p w14:paraId="03CD2BF9" w14:textId="77777777" w:rsidR="007D0BFD" w:rsidRDefault="007D0BFD" w:rsidP="007D0BFD">
            <w:pPr>
              <w:pStyle w:val="Tablecontent"/>
              <w:ind w:right="31"/>
              <w:jc w:val="right"/>
            </w:pPr>
            <w:r>
              <w:t>False positive rate (%)</w:t>
            </w:r>
          </w:p>
        </w:tc>
        <w:tc>
          <w:tcPr>
            <w:tcW w:w="1418" w:type="dxa"/>
            <w:tcBorders>
              <w:left w:val="single" w:sz="4" w:space="0" w:color="auto"/>
            </w:tcBorders>
            <w:vAlign w:val="center"/>
          </w:tcPr>
          <w:p w14:paraId="711CB12B" w14:textId="2E391175" w:rsidR="007D0BFD" w:rsidRPr="007D0BFD" w:rsidRDefault="007D0BFD" w:rsidP="00E3503A">
            <w:pPr>
              <w:pStyle w:val="Tablecontent"/>
              <w:jc w:val="center"/>
            </w:pPr>
            <w:r>
              <w:t>77.18</w:t>
            </w:r>
          </w:p>
        </w:tc>
        <w:tc>
          <w:tcPr>
            <w:tcW w:w="1412" w:type="dxa"/>
            <w:vAlign w:val="center"/>
          </w:tcPr>
          <w:p w14:paraId="74C5A3EC" w14:textId="698A430F" w:rsidR="007D0BFD" w:rsidRPr="007D0BFD" w:rsidRDefault="007D0BFD" w:rsidP="00E3503A">
            <w:pPr>
              <w:pStyle w:val="Tablecontent"/>
              <w:jc w:val="center"/>
            </w:pPr>
            <w:r>
              <w:t>97.27</w:t>
            </w:r>
          </w:p>
        </w:tc>
        <w:tc>
          <w:tcPr>
            <w:tcW w:w="1706" w:type="dxa"/>
            <w:vAlign w:val="center"/>
          </w:tcPr>
          <w:p w14:paraId="5D2E84C0" w14:textId="3DAE5A62" w:rsidR="007D0BFD" w:rsidRPr="007D0BFD" w:rsidRDefault="007D0BFD" w:rsidP="00E3503A">
            <w:pPr>
              <w:pStyle w:val="Tablecontent"/>
              <w:jc w:val="center"/>
            </w:pPr>
            <w:r>
              <w:t>39.15</w:t>
            </w:r>
          </w:p>
        </w:tc>
        <w:tc>
          <w:tcPr>
            <w:tcW w:w="1418" w:type="dxa"/>
            <w:vAlign w:val="center"/>
          </w:tcPr>
          <w:p w14:paraId="5CA7A8DE" w14:textId="40B40467" w:rsidR="007D0BFD" w:rsidRPr="007D0BFD" w:rsidRDefault="007D0BFD" w:rsidP="00E3503A">
            <w:pPr>
              <w:pStyle w:val="Tablecontent"/>
              <w:jc w:val="center"/>
            </w:pPr>
            <w:r>
              <w:t>48.86</w:t>
            </w:r>
          </w:p>
        </w:tc>
      </w:tr>
      <w:tr w:rsidR="007D0BFD" w14:paraId="299F1EAA" w14:textId="77777777" w:rsidTr="007D0BFD">
        <w:trPr>
          <w:jc w:val="center"/>
        </w:trPr>
        <w:tc>
          <w:tcPr>
            <w:tcW w:w="2835" w:type="dxa"/>
            <w:tcBorders>
              <w:bottom w:val="single" w:sz="4" w:space="0" w:color="auto"/>
              <w:right w:val="single" w:sz="4" w:space="0" w:color="auto"/>
            </w:tcBorders>
            <w:vAlign w:val="center"/>
          </w:tcPr>
          <w:p w14:paraId="00D83E17" w14:textId="77777777" w:rsidR="007D0BFD" w:rsidRDefault="007D0BFD" w:rsidP="007D0BFD">
            <w:pPr>
              <w:pStyle w:val="Tablecontent"/>
              <w:ind w:right="31"/>
              <w:jc w:val="right"/>
            </w:pPr>
            <w:r>
              <w:t>SIEs unique to program (%)</w:t>
            </w:r>
          </w:p>
        </w:tc>
        <w:tc>
          <w:tcPr>
            <w:tcW w:w="1418" w:type="dxa"/>
            <w:tcBorders>
              <w:left w:val="single" w:sz="4" w:space="0" w:color="auto"/>
              <w:bottom w:val="single" w:sz="4" w:space="0" w:color="auto"/>
            </w:tcBorders>
            <w:vAlign w:val="center"/>
          </w:tcPr>
          <w:p w14:paraId="02D2BA4C" w14:textId="534F45C3" w:rsidR="007D0BFD" w:rsidRDefault="007D0BFD" w:rsidP="00E3503A">
            <w:pPr>
              <w:pStyle w:val="Tablecontent"/>
              <w:jc w:val="center"/>
            </w:pPr>
            <w:r>
              <w:t>6.86</w:t>
            </w:r>
          </w:p>
        </w:tc>
        <w:tc>
          <w:tcPr>
            <w:tcW w:w="1412" w:type="dxa"/>
            <w:tcBorders>
              <w:bottom w:val="single" w:sz="4" w:space="0" w:color="auto"/>
            </w:tcBorders>
            <w:vAlign w:val="center"/>
          </w:tcPr>
          <w:p w14:paraId="6941A317" w14:textId="1109E578" w:rsidR="007D0BFD" w:rsidRDefault="007D0BFD" w:rsidP="00E3503A">
            <w:pPr>
              <w:pStyle w:val="Tablecontent"/>
              <w:jc w:val="center"/>
            </w:pPr>
            <w:r>
              <w:t>27.38</w:t>
            </w:r>
          </w:p>
        </w:tc>
        <w:tc>
          <w:tcPr>
            <w:tcW w:w="1706" w:type="dxa"/>
            <w:tcBorders>
              <w:bottom w:val="single" w:sz="4" w:space="0" w:color="auto"/>
            </w:tcBorders>
            <w:vAlign w:val="center"/>
          </w:tcPr>
          <w:p w14:paraId="161A9883" w14:textId="0C0A99D6" w:rsidR="007D0BFD" w:rsidRDefault="007D0BFD" w:rsidP="00E3503A">
            <w:pPr>
              <w:pStyle w:val="Tablecontent"/>
              <w:jc w:val="center"/>
            </w:pPr>
            <w:r>
              <w:t>27.51</w:t>
            </w:r>
          </w:p>
        </w:tc>
        <w:tc>
          <w:tcPr>
            <w:tcW w:w="1418" w:type="dxa"/>
            <w:tcBorders>
              <w:bottom w:val="single" w:sz="4" w:space="0" w:color="auto"/>
            </w:tcBorders>
            <w:vAlign w:val="center"/>
          </w:tcPr>
          <w:p w14:paraId="15599B15" w14:textId="79F87143" w:rsidR="007D0BFD" w:rsidRDefault="007D0BFD" w:rsidP="00E3503A">
            <w:pPr>
              <w:pStyle w:val="Tablecontent"/>
              <w:jc w:val="center"/>
            </w:pPr>
            <w:r>
              <w:t>18.18</w:t>
            </w:r>
          </w:p>
        </w:tc>
      </w:tr>
    </w:tbl>
    <w:p w14:paraId="4435B47F" w14:textId="77777777" w:rsidR="004814F6" w:rsidRPr="00DA63FA" w:rsidRDefault="004814F6" w:rsidP="00391005">
      <w:pPr>
        <w:pStyle w:val="ListParagraph"/>
        <w:rPr>
          <w:sz w:val="22"/>
        </w:rPr>
      </w:pPr>
    </w:p>
    <w:p w14:paraId="7D3F1014" w14:textId="0A8AD77E" w:rsidR="0085215E" w:rsidRDefault="0085215E" w:rsidP="0085215E">
      <w:pPr>
        <w:pStyle w:val="Heading3"/>
      </w:pPr>
      <w:bookmarkStart w:id="263" w:name="_Toc485721609"/>
      <w:bookmarkStart w:id="264" w:name="_Toc486787189"/>
      <w:bookmarkStart w:id="265" w:name="_Toc486787337"/>
      <w:r>
        <w:t xml:space="preserve">LTR </w:t>
      </w:r>
      <w:r w:rsidR="001C6C37">
        <w:t>retrotransposon density</w:t>
      </w:r>
      <w:bookmarkEnd w:id="263"/>
      <w:bookmarkEnd w:id="264"/>
      <w:bookmarkEnd w:id="265"/>
    </w:p>
    <w:p w14:paraId="21F6CB9B" w14:textId="06A273A8" w:rsidR="00E3503A" w:rsidRDefault="00DE50AD" w:rsidP="00391005">
      <w:pPr>
        <w:pStyle w:val="ListParagraph"/>
      </w:pPr>
      <w:r>
        <w:t>In the Galgal5 assembly, like Galgal4,</w:t>
      </w:r>
      <w:r w:rsidR="00DA63FA">
        <w:t xml:space="preserve"> chromosome length had</w:t>
      </w:r>
      <w:r>
        <w:t xml:space="preserve"> a strong negative correlation with</w:t>
      </w:r>
      <w:r w:rsidR="00924B35">
        <w:t xml:space="preserve"> both gene density (r = -0.93;</w:t>
      </w:r>
      <w:r w:rsidR="008B745D">
        <w:t xml:space="preserve"> P</w:t>
      </w:r>
      <w:r>
        <w:t xml:space="preserve"> &lt; 0.001) and </w:t>
      </w:r>
      <w:r w:rsidR="00924B35">
        <w:t>recombination rate (r = -0.91;</w:t>
      </w:r>
      <w:r w:rsidR="008B745D">
        <w:t xml:space="preserve"> P</w:t>
      </w:r>
      <w:r>
        <w:t xml:space="preserve"> &lt; 0.001). In the Galgal4 assembly, LTR retrotransposon content was found to have the opposite correlation: a strong positive correlation with chromosome </w:t>
      </w:r>
      <w:r w:rsidR="00E3503A">
        <w:t>length</w:t>
      </w:r>
      <w:r>
        <w:t xml:space="preserve"> and negative correlations with both gene density and recombination rate</w:t>
      </w:r>
      <w:r w:rsidR="00E3503A">
        <w:t xml:space="preserve"> (</w:t>
      </w:r>
      <w:r w:rsidR="00E3503A">
        <w:fldChar w:fldCharType="begin" w:fldLock="1"/>
      </w:r>
      <w:r w:rsidR="00E3503A">
        <w:instrText xml:space="preserve"> REF _Ref482449874 \h </w:instrText>
      </w:r>
      <w:r w:rsidR="00E3503A">
        <w:fldChar w:fldCharType="separate"/>
      </w:r>
      <w:r w:rsidR="002C549C">
        <w:t xml:space="preserve">Table </w:t>
      </w:r>
      <w:r w:rsidR="002C549C">
        <w:rPr>
          <w:noProof/>
        </w:rPr>
        <w:t>4</w:t>
      </w:r>
      <w:r w:rsidR="002C549C">
        <w:t>.</w:t>
      </w:r>
      <w:r w:rsidR="002C549C">
        <w:rPr>
          <w:noProof/>
        </w:rPr>
        <w:t>5</w:t>
      </w:r>
      <w:r w:rsidR="00E3503A">
        <w:fldChar w:fldCharType="end"/>
      </w:r>
      <w:r w:rsidR="00E3503A">
        <w:t>)</w:t>
      </w:r>
      <w:r>
        <w:t>. In Galg</w:t>
      </w:r>
      <w:r w:rsidR="005D175A">
        <w:t xml:space="preserve">al5 these correlations are </w:t>
      </w:r>
      <w:r>
        <w:t>weaker</w:t>
      </w:r>
      <w:r w:rsidR="001C6C37">
        <w:t xml:space="preserve">, but </w:t>
      </w:r>
      <w:r>
        <w:t>remain significant</w:t>
      </w:r>
      <w:r w:rsidR="00E3503A">
        <w:t>.</w:t>
      </w:r>
    </w:p>
    <w:p w14:paraId="0CDEB985" w14:textId="6C0D39F4" w:rsidR="00E3503A" w:rsidRDefault="00E3503A" w:rsidP="00E3503A">
      <w:pPr>
        <w:pStyle w:val="Caption"/>
      </w:pPr>
      <w:bookmarkStart w:id="266" w:name="_Ref482449874"/>
      <w:bookmarkStart w:id="267" w:name="_Toc486786316"/>
      <w:r>
        <w:t xml:space="preserve">Table </w:t>
      </w:r>
      <w:fldSimple w:instr=" STYLEREF 1 \s " w:fldLock="1">
        <w:r w:rsidR="002C549C">
          <w:rPr>
            <w:noProof/>
          </w:rPr>
          <w:t>4</w:t>
        </w:r>
      </w:fldSimple>
      <w:r w:rsidR="001167C6">
        <w:t>.</w:t>
      </w:r>
      <w:fldSimple w:instr=" SEQ Table \* ARABIC \s 1 " w:fldLock="1">
        <w:r w:rsidR="002C549C">
          <w:rPr>
            <w:noProof/>
          </w:rPr>
          <w:t>5</w:t>
        </w:r>
      </w:fldSimple>
      <w:bookmarkEnd w:id="266"/>
      <w:r w:rsidR="001458DB">
        <w:t xml:space="preserve"> Correlations between LTR retrotransposon density and chromosome length, recombination rate or gene density for the chicken Galgal4 and Galgal5 assemblies. Each correlation is given as the Pearson ‘r’ </w:t>
      </w:r>
      <w:r w:rsidR="008B745D">
        <w:t>and the associated P</w:t>
      </w:r>
      <w:r w:rsidR="001458DB">
        <w:t xml:space="preserve"> values are given belo</w:t>
      </w:r>
      <w:r w:rsidR="008B745D">
        <w:t>w in brackets. Non-significant P</w:t>
      </w:r>
      <w:r w:rsidR="001458DB">
        <w:t xml:space="preserve"> values are underlined. Correlations were completed for all assembled Galgal4 chromosomes (Gg4), all assembled Galgal5 chromosomes (Gg5 All), the Galgal5 macrochromosomes (Gg5 Macro; 1-10) and the Galgal5 microchromosomes (Gg5 Micro; 11-15,17-26,28). Gg4 analysis excluded chromosomes 16, 25, 27, 32, W and Z (section </w:t>
      </w:r>
      <w:r w:rsidR="001458DB">
        <w:fldChar w:fldCharType="begin" w:fldLock="1"/>
      </w:r>
      <w:r w:rsidR="001458DB">
        <w:instrText xml:space="preserve"> REF _Ref468793405 \r \h </w:instrText>
      </w:r>
      <w:r w:rsidR="001458DB">
        <w:fldChar w:fldCharType="separate"/>
      </w:r>
      <w:r w:rsidR="002C549C">
        <w:t>2.2.2</w:t>
      </w:r>
      <w:r w:rsidR="001458DB">
        <w:fldChar w:fldCharType="end"/>
      </w:r>
      <w:r w:rsidR="001458DB">
        <w:t xml:space="preserve">), and Gg5 analysis excluded chromosomes 16, 27, 30-33, W and Z (section </w:t>
      </w:r>
      <w:r w:rsidR="001458DB">
        <w:fldChar w:fldCharType="begin" w:fldLock="1"/>
      </w:r>
      <w:r w:rsidR="001458DB">
        <w:instrText xml:space="preserve"> REF _Ref482452056 \r \h </w:instrText>
      </w:r>
      <w:r w:rsidR="001458DB">
        <w:fldChar w:fldCharType="separate"/>
      </w:r>
      <w:r w:rsidR="002C549C">
        <w:t>2.3.2</w:t>
      </w:r>
      <w:r w:rsidR="001458DB">
        <w:fldChar w:fldCharType="end"/>
      </w:r>
      <w:r w:rsidR="001458DB">
        <w:t>).</w:t>
      </w:r>
      <w:bookmarkEnd w:id="267"/>
    </w:p>
    <w:tbl>
      <w:tblPr>
        <w:tblStyle w:val="TableGrid"/>
        <w:tblW w:w="82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2"/>
        <w:gridCol w:w="1417"/>
        <w:gridCol w:w="1418"/>
        <w:gridCol w:w="1417"/>
        <w:gridCol w:w="1418"/>
      </w:tblGrid>
      <w:tr w:rsidR="00E3503A" w14:paraId="151BE7AE" w14:textId="77777777" w:rsidTr="008B745D">
        <w:trPr>
          <w:trHeight w:val="600"/>
          <w:jc w:val="center"/>
        </w:trPr>
        <w:tc>
          <w:tcPr>
            <w:tcW w:w="2552" w:type="dxa"/>
            <w:tcBorders>
              <w:top w:val="single" w:sz="4" w:space="0" w:color="auto"/>
              <w:bottom w:val="single" w:sz="4" w:space="0" w:color="auto"/>
            </w:tcBorders>
            <w:vAlign w:val="center"/>
          </w:tcPr>
          <w:p w14:paraId="30DBDC9D" w14:textId="76FE78E9" w:rsidR="00E3503A" w:rsidRDefault="00E3503A" w:rsidP="00E3503A">
            <w:pPr>
              <w:pStyle w:val="Tablecontent"/>
            </w:pPr>
            <w:r>
              <w:t>LTR density correlation</w:t>
            </w:r>
          </w:p>
        </w:tc>
        <w:tc>
          <w:tcPr>
            <w:tcW w:w="1417" w:type="dxa"/>
            <w:tcBorders>
              <w:top w:val="single" w:sz="4" w:space="0" w:color="auto"/>
              <w:bottom w:val="single" w:sz="4" w:space="0" w:color="auto"/>
            </w:tcBorders>
            <w:vAlign w:val="center"/>
          </w:tcPr>
          <w:p w14:paraId="7DAB3C80" w14:textId="1B716DEF" w:rsidR="00E3503A" w:rsidRDefault="00E3503A" w:rsidP="00E3503A">
            <w:pPr>
              <w:pStyle w:val="Tablecontent"/>
              <w:jc w:val="center"/>
            </w:pPr>
            <w:r>
              <w:t>Gg4</w:t>
            </w:r>
          </w:p>
        </w:tc>
        <w:tc>
          <w:tcPr>
            <w:tcW w:w="1418" w:type="dxa"/>
            <w:tcBorders>
              <w:top w:val="single" w:sz="4" w:space="0" w:color="auto"/>
              <w:bottom w:val="single" w:sz="4" w:space="0" w:color="auto"/>
            </w:tcBorders>
            <w:vAlign w:val="center"/>
          </w:tcPr>
          <w:p w14:paraId="14487F42" w14:textId="1BE60D9E" w:rsidR="00E3503A" w:rsidRDefault="00E3503A" w:rsidP="00E3503A">
            <w:pPr>
              <w:pStyle w:val="Tablecontent"/>
              <w:jc w:val="center"/>
            </w:pPr>
            <w:r>
              <w:t>Gg5 All</w:t>
            </w:r>
          </w:p>
        </w:tc>
        <w:tc>
          <w:tcPr>
            <w:tcW w:w="1417" w:type="dxa"/>
            <w:tcBorders>
              <w:top w:val="single" w:sz="4" w:space="0" w:color="auto"/>
              <w:bottom w:val="single" w:sz="4" w:space="0" w:color="auto"/>
            </w:tcBorders>
            <w:vAlign w:val="center"/>
          </w:tcPr>
          <w:p w14:paraId="3C46B4FC" w14:textId="3D1ACEB5" w:rsidR="00E3503A" w:rsidRDefault="00E3503A" w:rsidP="00E3503A">
            <w:pPr>
              <w:pStyle w:val="Tablecontent"/>
              <w:jc w:val="center"/>
            </w:pPr>
            <w:r>
              <w:t>Gg5 Macro</w:t>
            </w:r>
          </w:p>
        </w:tc>
        <w:tc>
          <w:tcPr>
            <w:tcW w:w="1418" w:type="dxa"/>
            <w:tcBorders>
              <w:top w:val="single" w:sz="4" w:space="0" w:color="auto"/>
              <w:bottom w:val="single" w:sz="4" w:space="0" w:color="auto"/>
            </w:tcBorders>
            <w:vAlign w:val="center"/>
          </w:tcPr>
          <w:p w14:paraId="2D3CEB4E" w14:textId="55992DA5" w:rsidR="00E3503A" w:rsidRDefault="00E3503A" w:rsidP="00E3503A">
            <w:pPr>
              <w:pStyle w:val="Tablecontent"/>
              <w:jc w:val="center"/>
            </w:pPr>
            <w:r>
              <w:t>Gg5 Micro</w:t>
            </w:r>
          </w:p>
        </w:tc>
      </w:tr>
      <w:tr w:rsidR="00E3503A" w14:paraId="09CC6201" w14:textId="77777777" w:rsidTr="008B745D">
        <w:trPr>
          <w:jc w:val="center"/>
        </w:trPr>
        <w:tc>
          <w:tcPr>
            <w:tcW w:w="2552" w:type="dxa"/>
            <w:tcBorders>
              <w:top w:val="single" w:sz="4" w:space="0" w:color="auto"/>
            </w:tcBorders>
            <w:vAlign w:val="center"/>
          </w:tcPr>
          <w:p w14:paraId="6C0C292F" w14:textId="2C6122EF" w:rsidR="00E3503A" w:rsidRDefault="00E3503A" w:rsidP="00E3503A">
            <w:pPr>
              <w:pStyle w:val="Tablecontent"/>
              <w:ind w:right="41"/>
            </w:pPr>
            <w:r>
              <w:t>vs. chromosome length</w:t>
            </w:r>
          </w:p>
        </w:tc>
        <w:tc>
          <w:tcPr>
            <w:tcW w:w="1417" w:type="dxa"/>
            <w:tcBorders>
              <w:top w:val="single" w:sz="4" w:space="0" w:color="auto"/>
              <w:left w:val="nil"/>
            </w:tcBorders>
            <w:vAlign w:val="center"/>
          </w:tcPr>
          <w:p w14:paraId="2994DF92" w14:textId="6C9B6CCD" w:rsidR="00E3503A" w:rsidRPr="005A55BD" w:rsidRDefault="00E3503A" w:rsidP="00E3503A">
            <w:pPr>
              <w:pStyle w:val="Tablecontent"/>
              <w:jc w:val="center"/>
            </w:pPr>
            <w:r>
              <w:t xml:space="preserve">  0.91</w:t>
            </w:r>
            <w:r w:rsidR="008B745D">
              <w:br/>
              <w:t>(P</w:t>
            </w:r>
            <w:r w:rsidR="00F95C2C">
              <w:t xml:space="preserve"> &lt; 0.001)</w:t>
            </w:r>
          </w:p>
        </w:tc>
        <w:tc>
          <w:tcPr>
            <w:tcW w:w="1418" w:type="dxa"/>
            <w:tcBorders>
              <w:top w:val="single" w:sz="4" w:space="0" w:color="auto"/>
            </w:tcBorders>
          </w:tcPr>
          <w:p w14:paraId="2E7A30B5" w14:textId="38F5342D" w:rsidR="00E3503A" w:rsidRDefault="008B745D" w:rsidP="00E3503A">
            <w:pPr>
              <w:pStyle w:val="Tablecontent"/>
              <w:jc w:val="center"/>
            </w:pPr>
            <w:r>
              <w:t xml:space="preserve">  0.69</w:t>
            </w:r>
            <w:r>
              <w:br/>
              <w:t>(P</w:t>
            </w:r>
            <w:r w:rsidR="00F95C2C">
              <w:t xml:space="preserve"> &lt; 0.001)</w:t>
            </w:r>
          </w:p>
        </w:tc>
        <w:tc>
          <w:tcPr>
            <w:tcW w:w="1417" w:type="dxa"/>
            <w:tcBorders>
              <w:top w:val="single" w:sz="4" w:space="0" w:color="auto"/>
            </w:tcBorders>
          </w:tcPr>
          <w:p w14:paraId="205FC3F9" w14:textId="11E7C73F" w:rsidR="00E3503A" w:rsidRDefault="00F95C2C" w:rsidP="00E3503A">
            <w:pPr>
              <w:pStyle w:val="Tablecontent"/>
              <w:jc w:val="center"/>
            </w:pPr>
            <w:r>
              <w:t xml:space="preserve">  0.97</w:t>
            </w:r>
            <w:r>
              <w:br/>
            </w:r>
            <w:r w:rsidR="008B745D">
              <w:t>(P</w:t>
            </w:r>
            <w:r>
              <w:t xml:space="preserve"> &lt; 0.001)</w:t>
            </w:r>
          </w:p>
        </w:tc>
        <w:tc>
          <w:tcPr>
            <w:tcW w:w="1418" w:type="dxa"/>
            <w:tcBorders>
              <w:top w:val="single" w:sz="4" w:space="0" w:color="auto"/>
            </w:tcBorders>
            <w:vAlign w:val="center"/>
          </w:tcPr>
          <w:p w14:paraId="4F51A24E" w14:textId="6C92024C" w:rsidR="00E3503A" w:rsidRPr="005A55BD" w:rsidRDefault="008B745D" w:rsidP="00E3503A">
            <w:pPr>
              <w:pStyle w:val="Tablecontent"/>
              <w:jc w:val="center"/>
            </w:pPr>
            <w:r>
              <w:t xml:space="preserve">  0.17</w:t>
            </w:r>
            <w:r>
              <w:br/>
              <w:t>(P</w:t>
            </w:r>
            <w:r w:rsidR="00F95C2C">
              <w:t xml:space="preserve"> = </w:t>
            </w:r>
            <w:r w:rsidR="00F95C2C" w:rsidRPr="00F95C2C">
              <w:rPr>
                <w:u w:val="single"/>
              </w:rPr>
              <w:t>0.572</w:t>
            </w:r>
            <w:r w:rsidR="00F95C2C">
              <w:t>)</w:t>
            </w:r>
          </w:p>
        </w:tc>
      </w:tr>
      <w:tr w:rsidR="00E3503A" w14:paraId="7067D83C" w14:textId="77777777" w:rsidTr="008B745D">
        <w:trPr>
          <w:jc w:val="center"/>
        </w:trPr>
        <w:tc>
          <w:tcPr>
            <w:tcW w:w="2552" w:type="dxa"/>
            <w:vAlign w:val="center"/>
          </w:tcPr>
          <w:p w14:paraId="00D887C6" w14:textId="7A53EE17" w:rsidR="00E3503A" w:rsidRDefault="00E3503A" w:rsidP="00E3503A">
            <w:pPr>
              <w:pStyle w:val="Tablecontent"/>
              <w:ind w:right="41"/>
            </w:pPr>
            <w:r>
              <w:t>vs. recombination rate</w:t>
            </w:r>
          </w:p>
        </w:tc>
        <w:tc>
          <w:tcPr>
            <w:tcW w:w="1417" w:type="dxa"/>
            <w:tcBorders>
              <w:left w:val="nil"/>
            </w:tcBorders>
            <w:vAlign w:val="center"/>
          </w:tcPr>
          <w:p w14:paraId="0DDD6E61" w14:textId="7FB80DF0" w:rsidR="00E3503A" w:rsidRPr="005A55BD" w:rsidRDefault="00E3503A" w:rsidP="00E3503A">
            <w:pPr>
              <w:pStyle w:val="Tablecontent"/>
              <w:jc w:val="center"/>
            </w:pPr>
            <w:r w:rsidRPr="00E3503A">
              <w:t>-</w:t>
            </w:r>
            <w:r>
              <w:t xml:space="preserve"> 0.81</w:t>
            </w:r>
            <w:r w:rsidR="008B745D">
              <w:br/>
              <w:t>(P</w:t>
            </w:r>
            <w:r w:rsidR="00F95C2C">
              <w:t xml:space="preserve"> &lt; 0.001)</w:t>
            </w:r>
          </w:p>
        </w:tc>
        <w:tc>
          <w:tcPr>
            <w:tcW w:w="1418" w:type="dxa"/>
          </w:tcPr>
          <w:p w14:paraId="69F649C9" w14:textId="6E9B8744" w:rsidR="00E3503A" w:rsidRDefault="008B745D" w:rsidP="00E3503A">
            <w:pPr>
              <w:pStyle w:val="Tablecontent"/>
              <w:jc w:val="center"/>
            </w:pPr>
            <w:r>
              <w:t>- 0.50</w:t>
            </w:r>
            <w:r>
              <w:br/>
              <w:t>(P</w:t>
            </w:r>
            <w:r w:rsidR="00F95C2C">
              <w:t xml:space="preserve"> = 0.014)</w:t>
            </w:r>
          </w:p>
        </w:tc>
        <w:tc>
          <w:tcPr>
            <w:tcW w:w="1417" w:type="dxa"/>
          </w:tcPr>
          <w:p w14:paraId="068CD6A0" w14:textId="2AFF4241" w:rsidR="00E3503A" w:rsidRDefault="008B745D" w:rsidP="00E3503A">
            <w:pPr>
              <w:pStyle w:val="Tablecontent"/>
              <w:jc w:val="center"/>
            </w:pPr>
            <w:r>
              <w:t>- 0.88</w:t>
            </w:r>
            <w:r>
              <w:br/>
              <w:t>(P</w:t>
            </w:r>
            <w:r w:rsidR="00F95C2C">
              <w:t xml:space="preserve"> = 0.001)</w:t>
            </w:r>
          </w:p>
        </w:tc>
        <w:tc>
          <w:tcPr>
            <w:tcW w:w="1418" w:type="dxa"/>
            <w:vAlign w:val="center"/>
          </w:tcPr>
          <w:p w14:paraId="02E0429B" w14:textId="015767F0" w:rsidR="00E3503A" w:rsidRPr="005A55BD" w:rsidRDefault="008B745D" w:rsidP="00E3503A">
            <w:pPr>
              <w:pStyle w:val="Tablecontent"/>
              <w:jc w:val="center"/>
            </w:pPr>
            <w:r>
              <w:t>- 0.22</w:t>
            </w:r>
            <w:r>
              <w:br/>
              <w:t>(P</w:t>
            </w:r>
            <w:r w:rsidR="00F95C2C">
              <w:t xml:space="preserve"> = </w:t>
            </w:r>
            <w:r w:rsidR="00F95C2C" w:rsidRPr="00F95C2C">
              <w:rPr>
                <w:u w:val="single"/>
              </w:rPr>
              <w:t>0.447</w:t>
            </w:r>
            <w:r w:rsidR="00F95C2C">
              <w:t>)</w:t>
            </w:r>
          </w:p>
        </w:tc>
      </w:tr>
      <w:tr w:rsidR="00E3503A" w14:paraId="2B838210" w14:textId="77777777" w:rsidTr="008B745D">
        <w:trPr>
          <w:jc w:val="center"/>
        </w:trPr>
        <w:tc>
          <w:tcPr>
            <w:tcW w:w="2552" w:type="dxa"/>
            <w:tcBorders>
              <w:bottom w:val="single" w:sz="4" w:space="0" w:color="auto"/>
            </w:tcBorders>
            <w:vAlign w:val="center"/>
          </w:tcPr>
          <w:p w14:paraId="56AA415A" w14:textId="7E4BF81A" w:rsidR="00E3503A" w:rsidRDefault="00E3503A" w:rsidP="00E3503A">
            <w:pPr>
              <w:pStyle w:val="Tablecontent"/>
              <w:ind w:right="41"/>
            </w:pPr>
            <w:r>
              <w:t>vs. gene density</w:t>
            </w:r>
          </w:p>
        </w:tc>
        <w:tc>
          <w:tcPr>
            <w:tcW w:w="1417" w:type="dxa"/>
            <w:tcBorders>
              <w:left w:val="nil"/>
              <w:bottom w:val="single" w:sz="4" w:space="0" w:color="auto"/>
            </w:tcBorders>
            <w:vAlign w:val="center"/>
          </w:tcPr>
          <w:p w14:paraId="5C99ECF0" w14:textId="4631CAD0" w:rsidR="00E3503A" w:rsidRPr="005A55BD" w:rsidRDefault="00E3503A" w:rsidP="00E3503A">
            <w:pPr>
              <w:pStyle w:val="Tablecontent"/>
              <w:jc w:val="center"/>
            </w:pPr>
            <w:r w:rsidRPr="00E3503A">
              <w:t>-</w:t>
            </w:r>
            <w:r>
              <w:t xml:space="preserve"> 0.72</w:t>
            </w:r>
            <w:r w:rsidR="008B745D">
              <w:br/>
              <w:t>(P</w:t>
            </w:r>
            <w:r w:rsidR="00F95C2C">
              <w:t xml:space="preserve"> &lt; 0.001)</w:t>
            </w:r>
          </w:p>
        </w:tc>
        <w:tc>
          <w:tcPr>
            <w:tcW w:w="1418" w:type="dxa"/>
            <w:tcBorders>
              <w:bottom w:val="single" w:sz="4" w:space="0" w:color="auto"/>
            </w:tcBorders>
          </w:tcPr>
          <w:p w14:paraId="56284B54" w14:textId="71F5D272" w:rsidR="00E3503A" w:rsidRDefault="008B745D" w:rsidP="00E3503A">
            <w:pPr>
              <w:pStyle w:val="Tablecontent"/>
              <w:jc w:val="center"/>
            </w:pPr>
            <w:r>
              <w:t>- 0.58</w:t>
            </w:r>
            <w:r>
              <w:br/>
              <w:t>(P</w:t>
            </w:r>
            <w:r w:rsidR="00F95C2C">
              <w:t xml:space="preserve"> = 0.003)</w:t>
            </w:r>
          </w:p>
        </w:tc>
        <w:tc>
          <w:tcPr>
            <w:tcW w:w="1417" w:type="dxa"/>
            <w:tcBorders>
              <w:bottom w:val="single" w:sz="4" w:space="0" w:color="auto"/>
            </w:tcBorders>
          </w:tcPr>
          <w:p w14:paraId="32B6991C" w14:textId="36CC60A7" w:rsidR="00E3503A" w:rsidRDefault="008B745D" w:rsidP="00E3503A">
            <w:pPr>
              <w:pStyle w:val="Tablecontent"/>
              <w:jc w:val="center"/>
            </w:pPr>
            <w:r>
              <w:t>- 0.88</w:t>
            </w:r>
            <w:r>
              <w:br/>
              <w:t>(P</w:t>
            </w:r>
            <w:r w:rsidR="00F95C2C">
              <w:t xml:space="preserve"> = 0.001)</w:t>
            </w:r>
          </w:p>
        </w:tc>
        <w:tc>
          <w:tcPr>
            <w:tcW w:w="1418" w:type="dxa"/>
            <w:tcBorders>
              <w:bottom w:val="single" w:sz="4" w:space="0" w:color="auto"/>
            </w:tcBorders>
            <w:vAlign w:val="center"/>
          </w:tcPr>
          <w:p w14:paraId="1823ABD3" w14:textId="496E5D83" w:rsidR="00E3503A" w:rsidRPr="005A55BD" w:rsidRDefault="008B745D" w:rsidP="00E3503A">
            <w:pPr>
              <w:pStyle w:val="Tablecontent"/>
              <w:jc w:val="center"/>
            </w:pPr>
            <w:r>
              <w:t>- 0.18</w:t>
            </w:r>
            <w:r>
              <w:br/>
              <w:t>(P</w:t>
            </w:r>
            <w:r w:rsidR="00F95C2C">
              <w:t xml:space="preserve"> = </w:t>
            </w:r>
            <w:r w:rsidR="00F95C2C" w:rsidRPr="00F95C2C">
              <w:rPr>
                <w:u w:val="single"/>
              </w:rPr>
              <w:t>0.548</w:t>
            </w:r>
            <w:r w:rsidR="00F95C2C">
              <w:t>)</w:t>
            </w:r>
          </w:p>
        </w:tc>
      </w:tr>
    </w:tbl>
    <w:p w14:paraId="1B531D77" w14:textId="2397B430" w:rsidR="00E3503A" w:rsidRDefault="00F95C2C" w:rsidP="00391005">
      <w:pPr>
        <w:pStyle w:val="ListParagraph"/>
      </w:pPr>
      <w:r>
        <w:lastRenderedPageBreak/>
        <w:t>Reduction in the genome-wide correlation strength</w:t>
      </w:r>
      <w:r w:rsidR="001C6C37">
        <w:t xml:space="preserve"> is due to the increase in </w:t>
      </w:r>
      <w:r>
        <w:t xml:space="preserve">annotated </w:t>
      </w:r>
      <w:r w:rsidR="001C6C37">
        <w:t xml:space="preserve">LTR retrotransposon content on </w:t>
      </w:r>
      <w:r>
        <w:t>the microchromosomes. T</w:t>
      </w:r>
      <w:r w:rsidR="001C6C37">
        <w:t xml:space="preserve">he macrochromosomes and microchromosomes </w:t>
      </w:r>
      <w:r>
        <w:t>have</w:t>
      </w:r>
      <w:r w:rsidR="001C6C37">
        <w:t xml:space="preserve"> very different </w:t>
      </w:r>
      <w:r>
        <w:t>LTR retrotransposon content</w:t>
      </w:r>
      <w:r w:rsidR="001C6C37">
        <w:t xml:space="preserve"> compared to </w:t>
      </w:r>
      <w:r>
        <w:t xml:space="preserve">their </w:t>
      </w:r>
      <w:r w:rsidR="001C6C37">
        <w:t>chromosome length (</w:t>
      </w:r>
      <w:r>
        <w:fldChar w:fldCharType="begin" w:fldLock="1"/>
      </w:r>
      <w:r>
        <w:instrText xml:space="preserve"> REF _Ref482450808 \h </w:instrText>
      </w:r>
      <w:r>
        <w:fldChar w:fldCharType="separate"/>
      </w:r>
      <w:r w:rsidR="002C549C">
        <w:t xml:space="preserve">Figure </w:t>
      </w:r>
      <w:r w:rsidR="002C549C">
        <w:rPr>
          <w:noProof/>
        </w:rPr>
        <w:t>4</w:t>
      </w:r>
      <w:r w:rsidR="002C549C">
        <w:t>.</w:t>
      </w:r>
      <w:r w:rsidR="002C549C">
        <w:rPr>
          <w:noProof/>
        </w:rPr>
        <w:t>1</w:t>
      </w:r>
      <w:r>
        <w:fldChar w:fldCharType="end"/>
      </w:r>
      <w:r w:rsidR="001C6C37">
        <w:t>). Chromosomes 1 to</w:t>
      </w:r>
      <w:r>
        <w:t xml:space="preserve"> 10 have correlations like those</w:t>
      </w:r>
      <w:r w:rsidR="001C6C37">
        <w:t xml:space="preserve"> ob</w:t>
      </w:r>
      <w:r>
        <w:t>served genome-wide in Galgal4, however,</w:t>
      </w:r>
      <w:r w:rsidR="001C6C37">
        <w:t xml:space="preserve"> the microchromosomes (11-15, 17-26, 28) have no significant correlations between LTR retrotransposon content and chromosome length, recombination rate or gene density</w:t>
      </w:r>
      <w:r>
        <w:t xml:space="preserve"> (</w:t>
      </w:r>
      <w:r>
        <w:fldChar w:fldCharType="begin" w:fldLock="1"/>
      </w:r>
      <w:r>
        <w:instrText xml:space="preserve"> REF _Ref482449874 \h </w:instrText>
      </w:r>
      <w:r>
        <w:fldChar w:fldCharType="separate"/>
      </w:r>
      <w:r w:rsidR="002C549C">
        <w:t xml:space="preserve">Table </w:t>
      </w:r>
      <w:r w:rsidR="002C549C">
        <w:rPr>
          <w:noProof/>
        </w:rPr>
        <w:t>4</w:t>
      </w:r>
      <w:r w:rsidR="002C549C">
        <w:t>.</w:t>
      </w:r>
      <w:r w:rsidR="002C549C">
        <w:rPr>
          <w:noProof/>
        </w:rPr>
        <w:t>5</w:t>
      </w:r>
      <w:r>
        <w:fldChar w:fldCharType="end"/>
      </w:r>
      <w:r>
        <w:t>)</w:t>
      </w:r>
      <w:r w:rsidR="001C6C37">
        <w:t xml:space="preserve">. </w:t>
      </w:r>
    </w:p>
    <w:p w14:paraId="4676C87B" w14:textId="3DCD745E" w:rsidR="00F95C2C" w:rsidRPr="00DA63FA" w:rsidRDefault="00F95C2C" w:rsidP="00391005">
      <w:pPr>
        <w:pStyle w:val="ListParagraph"/>
        <w:rPr>
          <w:sz w:val="2"/>
        </w:rPr>
      </w:pPr>
    </w:p>
    <w:p w14:paraId="0DF606F4" w14:textId="4BEAD11D" w:rsidR="00F95C2C" w:rsidRDefault="00117040" w:rsidP="00117040">
      <w:pPr>
        <w:pStyle w:val="ListParagraph"/>
        <w:jc w:val="center"/>
      </w:pPr>
      <w:r>
        <w:rPr>
          <w:noProof/>
          <w:lang w:eastAsia="en-GB"/>
        </w:rPr>
        <w:drawing>
          <wp:inline distT="0" distB="0" distL="0" distR="0" wp14:anchorId="6572453A" wp14:editId="2AAB159F">
            <wp:extent cx="4580841" cy="309562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88321" cy="3100680"/>
                    </a:xfrm>
                    <a:prstGeom prst="rect">
                      <a:avLst/>
                    </a:prstGeom>
                    <a:noFill/>
                  </pic:spPr>
                </pic:pic>
              </a:graphicData>
            </a:graphic>
          </wp:inline>
        </w:drawing>
      </w:r>
    </w:p>
    <w:p w14:paraId="6F21B9FE" w14:textId="697C8D38" w:rsidR="004D1C23" w:rsidRDefault="00F95C2C" w:rsidP="004D1C23">
      <w:pPr>
        <w:pStyle w:val="Figure"/>
      </w:pPr>
      <w:bookmarkStart w:id="268" w:name="_Ref482450808"/>
      <w:bookmarkStart w:id="269" w:name="_Toc486785436"/>
      <w:r>
        <w:t xml:space="preserve">Figure </w:t>
      </w:r>
      <w:fldSimple w:instr=" STYLEREF 1 \s " w:fldLock="1">
        <w:r w:rsidR="002C549C">
          <w:rPr>
            <w:noProof/>
          </w:rPr>
          <w:t>4</w:t>
        </w:r>
      </w:fldSimple>
      <w:r w:rsidR="001167C6">
        <w:t>.</w:t>
      </w:r>
      <w:fldSimple w:instr=" SEQ Figure \* ARABIC \s 1 " w:fldLock="1">
        <w:r w:rsidR="002C549C">
          <w:rPr>
            <w:noProof/>
          </w:rPr>
          <w:t>1</w:t>
        </w:r>
      </w:fldSimple>
      <w:bookmarkEnd w:id="268"/>
      <w:r w:rsidR="00604E0F">
        <w:rPr>
          <w:noProof/>
        </w:rPr>
        <w:t xml:space="preserve"> Correlation between chromosome length and</w:t>
      </w:r>
      <w:r w:rsidR="00604E0F" w:rsidRPr="00604E0F">
        <w:rPr>
          <w:noProof/>
        </w:rPr>
        <w:t xml:space="preserve"> LTR retrotransposon density, wh</w:t>
      </w:r>
      <w:r w:rsidR="00604E0F">
        <w:rPr>
          <w:noProof/>
        </w:rPr>
        <w:t>ere both measures have been log</w:t>
      </w:r>
      <w:r w:rsidR="00604E0F" w:rsidRPr="00604E0F">
        <w:rPr>
          <w:noProof/>
          <w:vertAlign w:val="subscript"/>
        </w:rPr>
        <w:t>10</w:t>
      </w:r>
      <w:r w:rsidR="00604E0F">
        <w:rPr>
          <w:noProof/>
        </w:rPr>
        <w:t xml:space="preserve"> transformed and all the outlier chromosomes (16,27,30-33,W,Z) have been removed. The grey dotted line (r = 0.69) shows the positive correlation for all data, and the red dotted line (r = 0.97) is the stronger positive correlation when just considering the macrochromosomes (</w:t>
      </w:r>
      <w:r w:rsidR="00117040">
        <w:rPr>
          <w:noProof/>
        </w:rPr>
        <w:t xml:space="preserve">chromosomes </w:t>
      </w:r>
      <w:r w:rsidR="00604E0F">
        <w:rPr>
          <w:noProof/>
        </w:rPr>
        <w:t>1-10</w:t>
      </w:r>
      <w:r w:rsidR="00117040">
        <w:rPr>
          <w:noProof/>
        </w:rPr>
        <w:t>; triangles</w:t>
      </w:r>
      <w:r w:rsidR="00604E0F">
        <w:rPr>
          <w:noProof/>
        </w:rPr>
        <w:t>). The microchromosomes</w:t>
      </w:r>
      <w:r w:rsidR="00117040">
        <w:rPr>
          <w:noProof/>
        </w:rPr>
        <w:t xml:space="preserve"> (crosses)</w:t>
      </w:r>
      <w:r w:rsidR="00604E0F">
        <w:rPr>
          <w:noProof/>
        </w:rPr>
        <w:t xml:space="preserve"> alone have a non significant correlation.</w:t>
      </w:r>
      <w:bookmarkEnd w:id="269"/>
      <w:r w:rsidR="00604E0F">
        <w:rPr>
          <w:noProof/>
        </w:rPr>
        <w:t xml:space="preserve"> </w:t>
      </w:r>
    </w:p>
    <w:p w14:paraId="7BE9349D" w14:textId="31726AFA" w:rsidR="004D1C23" w:rsidRDefault="004D1C23" w:rsidP="00391005">
      <w:pPr>
        <w:pStyle w:val="ListParagraph"/>
      </w:pPr>
      <w:r>
        <w:t>The GLM fitted for the whole genome identified both chromosome length (</w:t>
      </w:r>
      <w:r w:rsidR="008B745D">
        <w:t>P</w:t>
      </w:r>
      <w:r>
        <w:t xml:space="preserve"> &lt; 0.001) and recombination rate (</w:t>
      </w:r>
      <w:r w:rsidR="008B745D">
        <w:t>P</w:t>
      </w:r>
      <w:r>
        <w:t xml:space="preserve"> = 0.027) as sign</w:t>
      </w:r>
      <w:r w:rsidR="005D175A">
        <w:t>ificant variables. T</w:t>
      </w:r>
      <w:r w:rsidR="006140BF">
        <w:t>here wa</w:t>
      </w:r>
      <w:r>
        <w:t xml:space="preserve">s no significant interaction between the two variables </w:t>
      </w:r>
      <w:r w:rsidR="006140BF">
        <w:t>e</w:t>
      </w:r>
      <w:r w:rsidR="00DA63FA">
        <w:t>ven though recombination rate i</w:t>
      </w:r>
      <w:r>
        <w:t xml:space="preserve">s scaled by </w:t>
      </w:r>
      <w:r w:rsidR="005D175A">
        <w:t>chromosome length.</w:t>
      </w:r>
      <w:r>
        <w:t xml:space="preserve"> </w:t>
      </w:r>
      <w:r w:rsidR="005D175A">
        <w:t>R</w:t>
      </w:r>
      <w:r>
        <w:t xml:space="preserve">ecombination rate was not significant in the Galgal4 GLM (section </w:t>
      </w:r>
      <w:r>
        <w:fldChar w:fldCharType="begin" w:fldLock="1"/>
      </w:r>
      <w:r>
        <w:instrText xml:space="preserve"> REF _Ref482452316 \r \h </w:instrText>
      </w:r>
      <w:r>
        <w:fldChar w:fldCharType="separate"/>
      </w:r>
      <w:r w:rsidR="002C549C">
        <w:t>3.6.1</w:t>
      </w:r>
      <w:r>
        <w:fldChar w:fldCharType="end"/>
      </w:r>
      <w:r w:rsidR="00F1790A">
        <w:t>). The GLM</w:t>
      </w:r>
      <w:r>
        <w:t xml:space="preserve"> fitted for just the macrochromosomes gave only chr</w:t>
      </w:r>
      <w:r w:rsidR="008B745D">
        <w:t xml:space="preserve">omosome </w:t>
      </w:r>
      <w:r w:rsidR="008B745D">
        <w:lastRenderedPageBreak/>
        <w:t>length as significant (P</w:t>
      </w:r>
      <w:r>
        <w:t xml:space="preserve"> &lt; 0.001), and the GLM for the microchromosomes had no significant variables. </w:t>
      </w:r>
    </w:p>
    <w:p w14:paraId="3C532C41" w14:textId="5A2648A8" w:rsidR="0085353D" w:rsidRDefault="0085353D" w:rsidP="00391005">
      <w:pPr>
        <w:pStyle w:val="ListParagraph"/>
      </w:pPr>
      <w:r>
        <w:t>Correlations between LTR retrotransposon content and chromosome length were all repeated with the addition of the unplaced, but localised, contigs for the assembled chromosomes. The lengths were included in the chromosome totals and elements identified on these contigs were added to the density calculation. The correlations were much the same, and the same split was observed between macrochromosomes and microchromosomes. These data are not shown here as the values for lengths and density were non-biologically representative approximations. However, it was imp</w:t>
      </w:r>
      <w:r w:rsidR="00EA4F07">
        <w:t>ortant to check that the absent</w:t>
      </w:r>
      <w:r>
        <w:t xml:space="preserve"> regions that were difficult to assemble, due to, for example, their repeat content, did not bias the correlations.</w:t>
      </w:r>
    </w:p>
    <w:p w14:paraId="79AB2ADB" w14:textId="168013FF" w:rsidR="0085353D" w:rsidRDefault="0085353D" w:rsidP="00391005">
      <w:pPr>
        <w:pStyle w:val="ListParagraph"/>
      </w:pPr>
    </w:p>
    <w:p w14:paraId="4A8BD143" w14:textId="15694B62" w:rsidR="0085353D" w:rsidRDefault="0085353D" w:rsidP="0085353D">
      <w:pPr>
        <w:pStyle w:val="Heading4"/>
      </w:pPr>
      <w:r>
        <w:t>SIE clusters</w:t>
      </w:r>
    </w:p>
    <w:p w14:paraId="4A7EDF2A" w14:textId="2F48DAC0" w:rsidR="00F95C2C" w:rsidRDefault="00A0105C" w:rsidP="00391005">
      <w:pPr>
        <w:pStyle w:val="ListParagraph"/>
      </w:pPr>
      <w:r>
        <w:t>A total of 521 SIEs (40.23 %) were identified within clusters which were unrelated by insertion age or genera</w:t>
      </w:r>
      <w:r w:rsidR="006140BF">
        <w:t xml:space="preserve"> (Appendix 2; AF05)</w:t>
      </w:r>
      <w:r w:rsidR="009B3FFD">
        <w:t xml:space="preserve">, proportionately almost identical to </w:t>
      </w:r>
      <w:r w:rsidR="00EA4F07">
        <w:t xml:space="preserve">Galgal4 (40.26 %).  All but </w:t>
      </w:r>
      <w:r w:rsidR="009B3FFD">
        <w:t xml:space="preserve">two of the previously identified clusters </w:t>
      </w:r>
      <w:r w:rsidR="00EA4F07">
        <w:t>were</w:t>
      </w:r>
      <w:r w:rsidR="009B3FFD">
        <w:t xml:space="preserve"> identified again. Both were clusters of five SIEs which have now reduced to four, removing them from the analysis. An additional cluster was identified on the Z chromosome, and </w:t>
      </w:r>
      <w:r w:rsidR="005D175A">
        <w:t>neighbouring cluster pairs</w:t>
      </w:r>
      <w:r w:rsidR="009B3FFD">
        <w:t xml:space="preserve"> identified on both chromosome 1 and Z </w:t>
      </w:r>
      <w:r w:rsidR="004A7DD1">
        <w:t>i</w:t>
      </w:r>
      <w:r w:rsidR="009B3FFD">
        <w:t>n Galgal4 were joined in this analysis. Despite these similarities it must be noted that several clusters on chromosome</w:t>
      </w:r>
      <w:r w:rsidR="005D175A">
        <w:t>s</w:t>
      </w:r>
      <w:r w:rsidR="009B3FFD">
        <w:t xml:space="preserve"> 1, 2, 4 and Z reduced in size due to </w:t>
      </w:r>
      <w:r w:rsidR="004A7DD1">
        <w:t>repeat collapsing and the incorporation of unplaced contigs which increased the region size. However, the numbers remain similar due to the expansion of the single W chromosome cluster from 56 SIEs in Galgal4 to 244 in this analysis.</w:t>
      </w:r>
    </w:p>
    <w:p w14:paraId="28F6F7A6" w14:textId="77777777" w:rsidR="00A0105C" w:rsidRDefault="00A0105C" w:rsidP="00391005">
      <w:pPr>
        <w:pStyle w:val="ListParagraph"/>
      </w:pPr>
    </w:p>
    <w:p w14:paraId="77BB4FA6" w14:textId="75A69A74" w:rsidR="002F0F9F" w:rsidRDefault="001C6C37" w:rsidP="001C6C37">
      <w:pPr>
        <w:pStyle w:val="Heading3"/>
      </w:pPr>
      <w:bookmarkStart w:id="270" w:name="_Toc485721610"/>
      <w:bookmarkStart w:id="271" w:name="_Ref486605599"/>
      <w:bookmarkStart w:id="272" w:name="_Toc486787190"/>
      <w:bookmarkStart w:id="273" w:name="_Toc486787338"/>
      <w:r>
        <w:t>The distribution of LTR retrotransposons relative to genomic features</w:t>
      </w:r>
      <w:bookmarkEnd w:id="270"/>
      <w:bookmarkEnd w:id="271"/>
      <w:bookmarkEnd w:id="272"/>
      <w:bookmarkEnd w:id="273"/>
    </w:p>
    <w:p w14:paraId="6B92159F" w14:textId="7E74DE6B" w:rsidR="00B82BBD" w:rsidRDefault="008B745D" w:rsidP="00391005">
      <w:pPr>
        <w:pStyle w:val="ListParagraph"/>
      </w:pPr>
      <w:r>
        <w:t xml:space="preserve">In addition to the recent improvements of the chicken reference genome, the known annotation of coding features has also been </w:t>
      </w:r>
      <w:r w:rsidR="0034777D">
        <w:t xml:space="preserve">updated using RNAseq data from multiple tissues and developmental stages, and the inclusion of PacBio IsoSeq data which </w:t>
      </w:r>
      <w:r w:rsidR="00EA4F07">
        <w:lastRenderedPageBreak/>
        <w:t xml:space="preserve">unambiguously identifies </w:t>
      </w:r>
      <w:r w:rsidR="0034777D">
        <w:t>alternative transcripts</w:t>
      </w:r>
      <w:r w:rsidR="00DA63FA">
        <w:t xml:space="preserve"> </w:t>
      </w:r>
      <w:r w:rsidR="00DA63FA">
        <w:fldChar w:fldCharType="begin" w:fldLock="1"/>
      </w:r>
      <w:r w:rsidR="00C569BB">
        <w:instrText>ADDIN CSL_CITATION { "citationItems" : [ { "id" : "ITEM-1", "itemData" : { "author" : [ { "dropping-particle" : "", "family" : "Gonzalez-Garay", "given" : "ML", "non-dropping-particle" : "", "parse-names" : false, "suffix" : "" } ], "container-title" : "Translational Bioinformatics: Transcriptomics and Gene Regulation", "id" : "ITEM-1", "issued" : { "date-parts" : [ [ "2015" ] ] }, "page" : "141-160", "title" : "Introduction to Isoform Sequencing Using Pacific Biosciences Technology (IsoSeq)", "type" : "chapter" }, "uris" : [ "http://www.mendeley.com/documents/?uuid=3426b948-e758-43c5-a756-9c8cffe0b3d2" ] } ], "mendeley" : { "formattedCitation" : "(Gonzalez-Garay 2015)", "plainTextFormattedCitation" : "(Gonzalez-Garay 2015)", "previouslyFormattedCitation" : "(Gonzalez-Garay 2015)" }, "properties" : { "noteIndex" : 0 }, "schema" : "https://github.com/citation-style-language/schema/raw/master/csl-citation.json" }</w:instrText>
      </w:r>
      <w:r w:rsidR="00DA63FA">
        <w:fldChar w:fldCharType="separate"/>
      </w:r>
      <w:r w:rsidR="00DA63FA" w:rsidRPr="00DA63FA">
        <w:rPr>
          <w:noProof/>
        </w:rPr>
        <w:t>(Gonzalez-Garay 2015)</w:t>
      </w:r>
      <w:r w:rsidR="00DA63FA">
        <w:fldChar w:fldCharType="end"/>
      </w:r>
      <w:r w:rsidR="0034777D">
        <w:t>. Consequently, much more of the genome has been annotated as coding, so now, under random integration, it would be expected that 58.32 % of insertions would fall within transcriptional units (TUs; the coding region and 5 kb up- and downstream). However, as with the Galgal4 analysis, there is a significant depletion of LTR retrotransposon derived sequence within coding regions (46.27 %; P = 0.017), and an enrichment of these in unplaced contigs (20.52 %; P = 0.020), when compared to a model of random integrations (</w:t>
      </w:r>
      <w:r w:rsidR="00B82BBD">
        <w:fldChar w:fldCharType="begin" w:fldLock="1"/>
      </w:r>
      <w:r w:rsidR="00B82BBD">
        <w:instrText xml:space="preserve"> REF _Ref482456490 \h </w:instrText>
      </w:r>
      <w:r w:rsidR="00B82BBD">
        <w:fldChar w:fldCharType="separate"/>
      </w:r>
      <w:r w:rsidR="002C549C">
        <w:t xml:space="preserve">Figure </w:t>
      </w:r>
      <w:r w:rsidR="002C549C">
        <w:rPr>
          <w:noProof/>
        </w:rPr>
        <w:t>4</w:t>
      </w:r>
      <w:r w:rsidR="002C549C">
        <w:t>.</w:t>
      </w:r>
      <w:r w:rsidR="002C549C">
        <w:rPr>
          <w:noProof/>
        </w:rPr>
        <w:t>2</w:t>
      </w:r>
      <w:r w:rsidR="00B82BBD">
        <w:fldChar w:fldCharType="end"/>
      </w:r>
      <w:r w:rsidR="0034777D">
        <w:t>). These differences are more marked in the SIE dataset (P = 1.24 x10</w:t>
      </w:r>
      <w:r w:rsidR="0034777D">
        <w:rPr>
          <w:vertAlign w:val="superscript"/>
        </w:rPr>
        <w:t>-5</w:t>
      </w:r>
      <w:r w:rsidR="0034777D">
        <w:t xml:space="preserve"> and P = 4.45 x10</w:t>
      </w:r>
      <w:r w:rsidR="0034777D">
        <w:rPr>
          <w:vertAlign w:val="superscript"/>
        </w:rPr>
        <w:t>-10</w:t>
      </w:r>
      <w:r w:rsidR="0034777D">
        <w:t xml:space="preserve"> respectively). </w:t>
      </w:r>
    </w:p>
    <w:p w14:paraId="131FD73D" w14:textId="7C88668D" w:rsidR="00B82BBD" w:rsidRPr="00DA63FA" w:rsidRDefault="00B82BBD" w:rsidP="00391005">
      <w:pPr>
        <w:pStyle w:val="ListParagraph"/>
        <w:rPr>
          <w:sz w:val="2"/>
        </w:rPr>
      </w:pPr>
    </w:p>
    <w:p w14:paraId="17D32AC8" w14:textId="0434A77C" w:rsidR="00B82BBD" w:rsidRDefault="00F1790A" w:rsidP="00DA63FA">
      <w:pPr>
        <w:pStyle w:val="ListParagraph"/>
        <w:jc w:val="center"/>
      </w:pPr>
      <w:r>
        <w:rPr>
          <w:noProof/>
          <w:lang w:eastAsia="en-GB"/>
        </w:rPr>
        <w:drawing>
          <wp:inline distT="0" distB="0" distL="0" distR="0" wp14:anchorId="21159DE0" wp14:editId="77FD8807">
            <wp:extent cx="4547184" cy="3581400"/>
            <wp:effectExtent l="0" t="0" r="635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l="1168" t="1" b="1736"/>
                    <a:stretch/>
                  </pic:blipFill>
                  <pic:spPr bwMode="auto">
                    <a:xfrm>
                      <a:off x="0" y="0"/>
                      <a:ext cx="4585282" cy="3611406"/>
                    </a:xfrm>
                    <a:prstGeom prst="rect">
                      <a:avLst/>
                    </a:prstGeom>
                    <a:noFill/>
                    <a:ln>
                      <a:noFill/>
                    </a:ln>
                    <a:extLst>
                      <a:ext uri="{53640926-AAD7-44D8-BBD7-CCE9431645EC}">
                        <a14:shadowObscured xmlns:a14="http://schemas.microsoft.com/office/drawing/2010/main"/>
                      </a:ext>
                    </a:extLst>
                  </pic:spPr>
                </pic:pic>
              </a:graphicData>
            </a:graphic>
          </wp:inline>
        </w:drawing>
      </w:r>
    </w:p>
    <w:p w14:paraId="49CEA1BE" w14:textId="54FEBD33" w:rsidR="00B82BBD" w:rsidRDefault="00B82BBD" w:rsidP="00B82BBD">
      <w:pPr>
        <w:pStyle w:val="Figure"/>
      </w:pPr>
      <w:bookmarkStart w:id="274" w:name="_Ref482456490"/>
      <w:bookmarkStart w:id="275" w:name="_Toc486785437"/>
      <w:r>
        <w:t xml:space="preserve">Figure </w:t>
      </w:r>
      <w:fldSimple w:instr=" STYLEREF 1 \s " w:fldLock="1">
        <w:r w:rsidR="002C549C">
          <w:rPr>
            <w:noProof/>
          </w:rPr>
          <w:t>4</w:t>
        </w:r>
      </w:fldSimple>
      <w:r w:rsidR="001167C6">
        <w:t>.</w:t>
      </w:r>
      <w:fldSimple w:instr=" SEQ Figure \* ARABIC \s 1 " w:fldLock="1">
        <w:r w:rsidR="002C549C">
          <w:rPr>
            <w:noProof/>
          </w:rPr>
          <w:t>2</w:t>
        </w:r>
      </w:fldSimple>
      <w:bookmarkEnd w:id="274"/>
      <w:r w:rsidR="00F1790A">
        <w:rPr>
          <w:noProof/>
        </w:rPr>
        <w:t xml:space="preserve"> </w:t>
      </w:r>
      <w:r w:rsidR="00F1790A" w:rsidRPr="00F1790A">
        <w:rPr>
          <w:noProof/>
        </w:rPr>
        <w:t>LTR retrotransposon distribution relative to the</w:t>
      </w:r>
      <w:r w:rsidR="00F1790A">
        <w:rPr>
          <w:noProof/>
        </w:rPr>
        <w:t xml:space="preserve"> Ensembl genome annotations (v86</w:t>
      </w:r>
      <w:r w:rsidR="00F1790A" w:rsidRPr="00F1790A">
        <w:rPr>
          <w:noProof/>
        </w:rPr>
        <w:t>). Shortest distance was measured from each element to the nearest annotated feature (irrespective of strand) and grouped into 10 kb bins, where the bin value represents the up</w:t>
      </w:r>
      <w:r w:rsidR="00DA63FA">
        <w:rPr>
          <w:noProof/>
        </w:rPr>
        <w:t>per bin limit. T</w:t>
      </w:r>
      <w:r w:rsidR="00F1790A" w:rsidRPr="00F1790A">
        <w:rPr>
          <w:noProof/>
        </w:rPr>
        <w:t>he dotted line represents 100,000 randomly generated distributions for each dataset, with st</w:t>
      </w:r>
      <w:r w:rsidR="00DA63FA">
        <w:rPr>
          <w:noProof/>
        </w:rPr>
        <w:t>andard deviation error bars. O</w:t>
      </w:r>
      <w:r w:rsidR="00F1790A" w:rsidRPr="00F1790A">
        <w:rPr>
          <w:noProof/>
        </w:rPr>
        <w:t>ne line is shown because the randomly generated full and intact models gave the same results, and the standard dev</w:t>
      </w:r>
      <w:r w:rsidR="00DA63FA">
        <w:rPr>
          <w:noProof/>
        </w:rPr>
        <w:t xml:space="preserve">iation was equal </w:t>
      </w:r>
      <w:r w:rsidR="00F1790A" w:rsidRPr="00F1790A">
        <w:rPr>
          <w:noProof/>
        </w:rPr>
        <w:t xml:space="preserve">when rounded to two decimal places. Significant differences between proportions in each bin are highlighted with asterisks, where * = P &lt; 0.05 and *** = P &lt; 0.0001. TU = Transcriptional Unit (incl. exons, introns, UTRs and 5 kb flanks up and downstream). ND = Non-Defined </w:t>
      </w:r>
      <w:r w:rsidR="00DA63FA">
        <w:rPr>
          <w:noProof/>
        </w:rPr>
        <w:t>(contigs without an</w:t>
      </w:r>
      <w:r w:rsidR="00F1790A" w:rsidRPr="00F1790A">
        <w:rPr>
          <w:noProof/>
        </w:rPr>
        <w:t xml:space="preserve"> Ensembl annotation).</w:t>
      </w:r>
      <w:bookmarkEnd w:id="275"/>
    </w:p>
    <w:p w14:paraId="1E52F57F" w14:textId="6B3E4C6C" w:rsidR="00B82BBD" w:rsidRDefault="0034777D" w:rsidP="00391005">
      <w:pPr>
        <w:pStyle w:val="ListParagraph"/>
      </w:pPr>
      <w:r>
        <w:lastRenderedPageBreak/>
        <w:t>In contrast to the Galgal4 analysis</w:t>
      </w:r>
      <w:r w:rsidR="005D175A">
        <w:t>,</w:t>
      </w:r>
      <w:r w:rsidR="00DA63FA">
        <w:t xml:space="preserve"> there wa</w:t>
      </w:r>
      <w:r>
        <w:t xml:space="preserve">s no enrichment in either the full or SIE datasets in regions greater than 100 kb away from coding regions. However, when </w:t>
      </w:r>
      <w:r w:rsidR="00DA63FA">
        <w:t>the macrochromosomes (1-10, Z) we</w:t>
      </w:r>
      <w:r>
        <w:t xml:space="preserve">re considered alone, there </w:t>
      </w:r>
      <w:r w:rsidR="00DA63FA">
        <w:t>wa</w:t>
      </w:r>
      <w:r w:rsidR="00B82BBD">
        <w:t xml:space="preserve">s both significant depletion of elements within TUs (43.78 %; P = 0.027) and enrichment in regions greater than 100 kb away from coding regions (24.69 %; P = 0.032). On the microchromosomes, LTR retrotransposon distribution follows that of the random integration model. </w:t>
      </w:r>
    </w:p>
    <w:p w14:paraId="771DD510" w14:textId="77777777" w:rsidR="00B82BBD" w:rsidRDefault="00B82BBD" w:rsidP="00391005">
      <w:pPr>
        <w:pStyle w:val="ListParagraph"/>
      </w:pPr>
    </w:p>
    <w:p w14:paraId="71E0419A" w14:textId="50570A9B" w:rsidR="00B82BBD" w:rsidRDefault="00B82BBD" w:rsidP="00B82BBD">
      <w:pPr>
        <w:pStyle w:val="Heading4"/>
      </w:pPr>
      <w:r>
        <w:t>Observed overlaps with long non-coding RNA (lncRNA) genes</w:t>
      </w:r>
    </w:p>
    <w:p w14:paraId="175AFE25" w14:textId="5A56D7BC" w:rsidR="00AE15CA" w:rsidRDefault="00924B35" w:rsidP="00391005">
      <w:pPr>
        <w:pStyle w:val="ListParagraph"/>
      </w:pPr>
      <w:r>
        <w:t xml:space="preserve">Transposable elements have been shown to derive lncRNA genes in mammalian genomes </w:t>
      </w:r>
      <w:r>
        <w:fldChar w:fldCharType="begin" w:fldLock="1"/>
      </w:r>
      <w:r w:rsidR="005F4E6D">
        <w:instrText>ADDIN CSL_CITATION { "citationItems" : [ { "id" : "ITEM-1", "itemData" : { "DOI" : "10.1371/journal.pgen.1003470", "ISSN" : "1553-7404", "PMID" : "23637635", "abstract" : "Advances in vertebrate genomics have uncovered thousands of loci encoding long noncoding RNAs (lncRNAs). While progress has been made in elucidating the regulatory functions of lncRNAs, little is known about their origins and evolution. Here we explore the contribution of transposable elements (TEs) to the makeup and regulation of lncRNAs in human, mouse, and zebrafish. Surprisingly, TEs occur in more than two thirds of mature lncRNA transcripts and account for a substantial portion of total lncRNA sequence (~30% in human), whereas they seldom occur in protein-coding transcripts. While TEs contribute less to lncRNA exons than expected, several TE families are strongly enriched in lncRNAs. There is also substantial interspecific variation in the coverage and types of TEs embedded in lncRNAs, partially reflecting differences in the TE landscapes of the genomes surveyed. In human, TE sequences in lncRNAs evolve under greater evolutionary constraint than their non-TE sequences, than their intronic TEs, or than random DNA. Consistent with functional constraint, we found that TEs contribute signals essential for the biogenesis of many lncRNAs, including ~30,000 unique sites for transcription initiation, splicing, or polyadenylation in human. In addition, we identified ~35,000 TEs marked as open chromatin located within 10 kb upstream of lncRNA genes. The density of these marks in one cell type correlate with elevated expression of the downstream lncRNA in the same cell type, suggesting that these TEs contribute to cis-regulation. These global trends are recapitulated in several lncRNAs with established functions. Finally a subset of TEs embedded in lncRNAs are subject to RNA editing and predicted to form secondary structures likely important for function. In conclusion, TEs are nearly ubiquitous in lncRNAs and have played an important role in the lineage-specific diversification of vertebrate lncRNA repertoires.", "author" : [ { "dropping-particle" : "", "family" : "Kapusta", "given" : "Aur\u00e9lie", "non-dropping-particle" : "", "parse-names" : false, "suffix" : "" }, { "dropping-particle" : "", "family" : "Kronenberg", "given" : "Zev", "non-dropping-particle" : "", "parse-names" : false, "suffix" : "" }, { "dropping-particle" : "", "family" : "Lynch", "given" : "Vincent J", "non-dropping-particle" : "", "parse-names" : false, "suffix" : "" }, { "dropping-particle" : "", "family" : "Zhuo", "given" : "Xiaoyu", "non-dropping-particle" : "", "parse-names" : false, "suffix" : "" }, { "dropping-particle" : "", "family" : "Ramsay", "given" : "LeeAnn", "non-dropping-particle" : "", "parse-names" : false, "suffix" : "" }, { "dropping-particle" : "", "family" : "Bourque", "given" : "Guillaume", "non-dropping-particle" : "", "parse-names" : false, "suffix" : "" }, { "dropping-particle" : "", "family" : "Yandell", "given" : "Mark", "non-dropping-particle" : "", "parse-names" : false, "suffix" : "" }, { "dropping-particle" : "", "family" : "Feschotte", "given" : "C\u00e9dric", "non-dropping-particle" : "", "parse-names" : false, "suffix" : "" } ], "container-title" : "PLoS genetics", "id" : "ITEM-1", "issue" : "4", "issued" : { "date-parts" : [ [ "2013", "4" ] ] }, "page" : "e1003470", "title" : "Transposable elements are major contributors to the origin, diversification, and regulation of vertebrate long noncoding RNAs.", "type" : "article-journal", "volume" : "9" }, "uris" : [ "http://www.mendeley.com/documents/?uuid=ea88d2e5-ef5f-4b0f-a84f-617f7ca660f9" ] } ], "mendeley" : { "formattedCitation" : "(Kapusta et al. 2013)", "plainTextFormattedCitation" : "(Kapusta et al. 2013)", "previouslyFormattedCitation" : "(Kapusta et al. 2013)" }, "properties" : { "noteIndex" : 0 }, "schema" : "https://github.com/citation-style-language/schema/raw/master/csl-citation.json" }</w:instrText>
      </w:r>
      <w:r>
        <w:fldChar w:fldCharType="separate"/>
      </w:r>
      <w:r w:rsidRPr="00924B35">
        <w:rPr>
          <w:noProof/>
        </w:rPr>
        <w:t>(Kapusta et al. 2013)</w:t>
      </w:r>
      <w:r>
        <w:fldChar w:fldCharType="end"/>
      </w:r>
      <w:r>
        <w:t>, and work recently published from our group by Kuo and colleagues (2017) identified over 20,000 novel lncRNA genes in the chicken. Of the 782 structurally intact LTR retrotransposons on assembled chromosomes, 72 (9.21 %) were found to overlap with lncRNA genes by at least 50 b</w:t>
      </w:r>
      <w:r w:rsidR="00781F38">
        <w:t>p. Of these, 32 (44.44 %)</w:t>
      </w:r>
      <w:r>
        <w:t xml:space="preserve"> were where the lncRNA completely contained the SIE, and 21 (29.17 %) were SIEs which completely contained the lncRNA. A further 15 (20.83 %) had overlaps shorter than half the length of the smaller element. </w:t>
      </w:r>
    </w:p>
    <w:p w14:paraId="050AF49A" w14:textId="6AB46348" w:rsidR="00B82BBD" w:rsidRDefault="00AE15CA" w:rsidP="00391005">
      <w:pPr>
        <w:pStyle w:val="ListParagraph"/>
      </w:pPr>
      <w:r>
        <w:t>Interestingly, 54.17 % of lncRNA (39/72) overlaps were with SIEs within clusters. One of these SIEs (4: 19,503,044-19,513,269) contained two lncRNAs in the same orientation: 4: 19,509,404-19,510,686 and 4:</w:t>
      </w:r>
      <w:r w:rsidR="00C4330D">
        <w:t xml:space="preserve"> 19,511,604-19,513,631. Overall, </w:t>
      </w:r>
      <w:r w:rsidR="00924B35">
        <w:t>54.17 % of overlapping feature</w:t>
      </w:r>
      <w:r>
        <w:t xml:space="preserve">s were in the same orientation. </w:t>
      </w:r>
      <w:r w:rsidR="00924B35">
        <w:t xml:space="preserve"> </w:t>
      </w:r>
    </w:p>
    <w:p w14:paraId="013AF9AF" w14:textId="1C9384F0" w:rsidR="00AE15CA" w:rsidRDefault="00AE15CA" w:rsidP="00391005">
      <w:pPr>
        <w:pStyle w:val="ListParagraph"/>
      </w:pPr>
      <w:r>
        <w:t>The output file of t</w:t>
      </w:r>
      <w:r w:rsidR="00982F0D">
        <w:t>his intersectBed analysis is in Appendix 2: AF06</w:t>
      </w:r>
      <w:r>
        <w:t>.</w:t>
      </w:r>
    </w:p>
    <w:p w14:paraId="223B8535" w14:textId="77777777" w:rsidR="0085215E" w:rsidRDefault="0085215E" w:rsidP="00391005">
      <w:pPr>
        <w:pStyle w:val="ListParagraph"/>
      </w:pPr>
    </w:p>
    <w:p w14:paraId="1F1FA7E5" w14:textId="5FE545DA" w:rsidR="00BB5A5C" w:rsidRDefault="00BB5A5C" w:rsidP="00BB5A5C">
      <w:pPr>
        <w:pStyle w:val="Heading2"/>
      </w:pPr>
      <w:bookmarkStart w:id="276" w:name="_Toc485721611"/>
      <w:bookmarkStart w:id="277" w:name="_Toc486787191"/>
      <w:bookmarkStart w:id="278" w:name="_Toc486787339"/>
      <w:r>
        <w:t>LTR retrotransposon content across the avian lineage</w:t>
      </w:r>
      <w:bookmarkEnd w:id="276"/>
      <w:bookmarkEnd w:id="277"/>
      <w:bookmarkEnd w:id="278"/>
    </w:p>
    <w:p w14:paraId="1C5D44A3" w14:textId="70645B68" w:rsidR="00BB5A5C" w:rsidRDefault="00BB5A5C" w:rsidP="00BB5A5C">
      <w:pPr>
        <w:pStyle w:val="Heading3"/>
      </w:pPr>
      <w:bookmarkStart w:id="279" w:name="_Ref482549889"/>
      <w:bookmarkStart w:id="280" w:name="_Toc485721612"/>
      <w:bookmarkStart w:id="281" w:name="_Toc486787192"/>
      <w:bookmarkStart w:id="282" w:name="_Toc486787340"/>
      <w:r>
        <w:t>Homology-based annotation using the LTR retrotransposon sequences identified in the analysis of the Galgal4 assembly</w:t>
      </w:r>
      <w:bookmarkEnd w:id="279"/>
      <w:bookmarkEnd w:id="280"/>
      <w:bookmarkEnd w:id="281"/>
      <w:bookmarkEnd w:id="282"/>
    </w:p>
    <w:p w14:paraId="7849D410" w14:textId="5AD83A29" w:rsidR="004A0F38" w:rsidRDefault="004A0F38" w:rsidP="00391005">
      <w:pPr>
        <w:pStyle w:val="ListParagraph"/>
      </w:pPr>
      <w:r>
        <w:t>LTR retrotransposons were identified in each of the twenty-one analysed species with the generic RepeatMasker analysis for vertebrate repeats, but the addition of the Galgal4 custom library increased the annotated LTR retrotransposon content in all species. The additive influence of th</w:t>
      </w:r>
      <w:r w:rsidR="00AF3855">
        <w:t>e chicken-d</w:t>
      </w:r>
      <w:r w:rsidR="00D35DF8">
        <w:t>erived sequences was substantial</w:t>
      </w:r>
      <w:r w:rsidR="00AF3855">
        <w:t xml:space="preserve"> across the lineage </w:t>
      </w:r>
      <w:r w:rsidR="00AF3855">
        <w:lastRenderedPageBreak/>
        <w:t>(</w:t>
      </w:r>
      <w:r w:rsidR="00AF3855">
        <w:fldChar w:fldCharType="begin" w:fldLock="1"/>
      </w:r>
      <w:r w:rsidR="00AF3855">
        <w:instrText xml:space="preserve"> REF _Ref482106131 \h </w:instrText>
      </w:r>
      <w:r w:rsidR="00AF3855">
        <w:fldChar w:fldCharType="separate"/>
      </w:r>
      <w:r w:rsidR="002C549C">
        <w:t xml:space="preserve">Table </w:t>
      </w:r>
      <w:r w:rsidR="002C549C">
        <w:rPr>
          <w:noProof/>
        </w:rPr>
        <w:t>4</w:t>
      </w:r>
      <w:r w:rsidR="002C549C">
        <w:t>.</w:t>
      </w:r>
      <w:r w:rsidR="002C549C">
        <w:rPr>
          <w:noProof/>
        </w:rPr>
        <w:t>6</w:t>
      </w:r>
      <w:r w:rsidR="00AF3855">
        <w:fldChar w:fldCharType="end"/>
      </w:r>
      <w:r w:rsidR="00AF3855">
        <w:t>), except in the phylogenetically distant Carolina anole (</w:t>
      </w:r>
      <w:r w:rsidR="00AF3855" w:rsidRPr="00AF3855">
        <w:rPr>
          <w:i/>
        </w:rPr>
        <w:t>Anolis carolinensis</w:t>
      </w:r>
      <w:r w:rsidR="00AF3855">
        <w:t>)</w:t>
      </w:r>
      <w:r w:rsidR="00316AF4">
        <w:t>. Eleven of the analysed species had an increase to their annotated repeat content greater than was seen in the chicken.</w:t>
      </w:r>
    </w:p>
    <w:p w14:paraId="325109C9" w14:textId="12A74F0E" w:rsidR="00781F38" w:rsidRDefault="00781F38" w:rsidP="00781F38">
      <w:pPr>
        <w:pStyle w:val="ListParagraph"/>
      </w:pPr>
      <w:r>
        <w:t>When these data were annotated against the known phylogeny (</w:t>
      </w:r>
      <w:r>
        <w:fldChar w:fldCharType="begin" w:fldLock="1"/>
      </w:r>
      <w:r>
        <w:instrText xml:space="preserve"> REF _Ref482106745 \h </w:instrText>
      </w:r>
      <w:r>
        <w:fldChar w:fldCharType="separate"/>
      </w:r>
      <w:r w:rsidR="002C549C">
        <w:t xml:space="preserve">Figure </w:t>
      </w:r>
      <w:r w:rsidR="002C549C">
        <w:rPr>
          <w:noProof/>
        </w:rPr>
        <w:t>4</w:t>
      </w:r>
      <w:r w:rsidR="002C549C">
        <w:t>.</w:t>
      </w:r>
      <w:r w:rsidR="002C549C">
        <w:rPr>
          <w:noProof/>
        </w:rPr>
        <w:t>3</w:t>
      </w:r>
      <w:r>
        <w:fldChar w:fldCharType="end"/>
      </w:r>
      <w:r>
        <w:t>) it was clear that LTR retrotransposon content is highly heterogeneous, and there was certainly no clear split between the Galloanserae and Neoaves. The highest LTR retrotransposon content was identified in the two oscine passerines analysed (American crow and zebra finch; cbra and tgua), matching the work of Cui and colleagues (2014). However, it is interesting to note that these two species differ in the content derived from each RepeatMasker analysis (</w:t>
      </w:r>
      <w:r>
        <w:fldChar w:fldCharType="begin" w:fldLock="1"/>
      </w:r>
      <w:r>
        <w:instrText xml:space="preserve"> REF _Ref482106131 \h </w:instrText>
      </w:r>
      <w:r>
        <w:fldChar w:fldCharType="separate"/>
      </w:r>
      <w:r w:rsidR="002C549C">
        <w:t xml:space="preserve">Table </w:t>
      </w:r>
      <w:r w:rsidR="002C549C">
        <w:rPr>
          <w:noProof/>
        </w:rPr>
        <w:t>4</w:t>
      </w:r>
      <w:r w:rsidR="002C549C">
        <w:t>.</w:t>
      </w:r>
      <w:r w:rsidR="002C549C">
        <w:rPr>
          <w:noProof/>
        </w:rPr>
        <w:t>6</w:t>
      </w:r>
      <w:r>
        <w:fldChar w:fldCharType="end"/>
      </w:r>
      <w:r>
        <w:t xml:space="preserve">), perhaps supporting lineage-specific repeat variation within this incredibly diverse phylogenetic group. </w:t>
      </w:r>
    </w:p>
    <w:p w14:paraId="69F129A0" w14:textId="601F897B" w:rsidR="00781F38" w:rsidRDefault="00781F38" w:rsidP="00781F38">
      <w:pPr>
        <w:pStyle w:val="ListParagraph"/>
      </w:pPr>
      <w:r>
        <w:t>Sister taxa often have very different LTR retrotransposon content, such as the rock dove (</w:t>
      </w:r>
      <w:r>
        <w:rPr>
          <w:i/>
        </w:rPr>
        <w:t>Columba livia</w:t>
      </w:r>
      <w:r>
        <w:t>; cliv) and yellow throated sandgrouse (</w:t>
      </w:r>
      <w:r>
        <w:rPr>
          <w:i/>
        </w:rPr>
        <w:t>Pterocles gutturalis</w:t>
      </w:r>
      <w:r>
        <w:t>; pgut), and Anna’s hummingbird (</w:t>
      </w:r>
      <w:r>
        <w:rPr>
          <w:i/>
        </w:rPr>
        <w:t>Calypte anna</w:t>
      </w:r>
      <w:r>
        <w:t>; cann) and the common cuckoo (</w:t>
      </w:r>
      <w:r>
        <w:rPr>
          <w:i/>
        </w:rPr>
        <w:t>Cuculus canorus</w:t>
      </w:r>
      <w:r>
        <w:t>; ccan). Interestingly, in both pairings it is the species with the ‘poorer’ genome quality (in terms of N50 length) which has the greater content. However, there were no significant correlations between LTR retrotransposon content and genome size, scaffold N50 or contig N50 (</w:t>
      </w:r>
      <w:r>
        <w:fldChar w:fldCharType="begin" w:fldLock="1"/>
      </w:r>
      <w:r>
        <w:instrText xml:space="preserve"> REF _Ref482118933 \h </w:instrText>
      </w:r>
      <w:r>
        <w:fldChar w:fldCharType="separate"/>
      </w:r>
      <w:r w:rsidR="002C549C">
        <w:t xml:space="preserve">Figure </w:t>
      </w:r>
      <w:r w:rsidR="002C549C">
        <w:rPr>
          <w:noProof/>
        </w:rPr>
        <w:t>4</w:t>
      </w:r>
      <w:r w:rsidR="002C549C">
        <w:t>.</w:t>
      </w:r>
      <w:r w:rsidR="002C549C">
        <w:rPr>
          <w:noProof/>
        </w:rPr>
        <w:t>4</w:t>
      </w:r>
      <w:r>
        <w:fldChar w:fldCharType="end"/>
      </w:r>
      <w:r>
        <w:t>). A striking example of this was that the same LTR retrotransposon content (2.67 %) was observed in the bald eagle (</w:t>
      </w:r>
      <w:r>
        <w:rPr>
          <w:i/>
        </w:rPr>
        <w:t>Haliaeetus leucocephalus</w:t>
      </w:r>
      <w:r>
        <w:t>; hleu) and barn owl (</w:t>
      </w:r>
      <w:r>
        <w:rPr>
          <w:i/>
        </w:rPr>
        <w:t>Tyto alba</w:t>
      </w:r>
      <w:r>
        <w:t>; talb) despite the bald eagle genome having a 180-fold higher scaffold N50 length. This likely represents true lineage-specific differences between the species.</w:t>
      </w:r>
    </w:p>
    <w:p w14:paraId="39F8EF8D" w14:textId="142A59CE" w:rsidR="00781F38" w:rsidRDefault="00781F38" w:rsidP="00391005">
      <w:pPr>
        <w:pStyle w:val="ListParagraph"/>
      </w:pPr>
    </w:p>
    <w:p w14:paraId="37C3E151" w14:textId="645CDA5C" w:rsidR="00781F38" w:rsidRDefault="00781F38" w:rsidP="00391005">
      <w:pPr>
        <w:pStyle w:val="ListParagraph"/>
      </w:pPr>
    </w:p>
    <w:p w14:paraId="5931E512" w14:textId="2FC4099C" w:rsidR="00781F38" w:rsidRDefault="00781F38" w:rsidP="00391005">
      <w:pPr>
        <w:pStyle w:val="ListParagraph"/>
      </w:pPr>
    </w:p>
    <w:p w14:paraId="0EB178EC" w14:textId="32D215CE" w:rsidR="00781F38" w:rsidRDefault="00781F38" w:rsidP="00391005">
      <w:pPr>
        <w:pStyle w:val="ListParagraph"/>
      </w:pPr>
    </w:p>
    <w:p w14:paraId="409B5807" w14:textId="71C9AD94" w:rsidR="00781F38" w:rsidRDefault="00781F38" w:rsidP="00391005">
      <w:pPr>
        <w:pStyle w:val="ListParagraph"/>
      </w:pPr>
    </w:p>
    <w:p w14:paraId="68DE6EFA" w14:textId="5C0F6DDD" w:rsidR="00781F38" w:rsidRDefault="00781F38" w:rsidP="00391005">
      <w:pPr>
        <w:pStyle w:val="ListParagraph"/>
      </w:pPr>
    </w:p>
    <w:p w14:paraId="1C266355" w14:textId="6BF58433" w:rsidR="00AF3855" w:rsidRDefault="00AF3855" w:rsidP="00AF3855">
      <w:pPr>
        <w:pStyle w:val="Caption"/>
      </w:pPr>
      <w:bookmarkStart w:id="283" w:name="_Ref482106131"/>
      <w:bookmarkStart w:id="284" w:name="_Toc486786317"/>
      <w:r>
        <w:lastRenderedPageBreak/>
        <w:t xml:space="preserve">Table </w:t>
      </w:r>
      <w:fldSimple w:instr=" STYLEREF 1 \s " w:fldLock="1">
        <w:r w:rsidR="002C549C">
          <w:rPr>
            <w:noProof/>
          </w:rPr>
          <w:t>4</w:t>
        </w:r>
      </w:fldSimple>
      <w:r w:rsidR="001167C6">
        <w:t>.</w:t>
      </w:r>
      <w:fldSimple w:instr=" SEQ Table \* ARABIC \s 1 " w:fldLock="1">
        <w:r w:rsidR="002C549C">
          <w:rPr>
            <w:noProof/>
          </w:rPr>
          <w:t>6</w:t>
        </w:r>
      </w:fldSimple>
      <w:bookmarkEnd w:id="283"/>
      <w:r>
        <w:t xml:space="preserve"> The identified LTR retrotransposon content in each analysed species showing the contribution of the two RepeatMasker analyses. Species are shown in alphabetical order with uniq</w:t>
      </w:r>
      <w:r w:rsidR="00781F38">
        <w:t>ue four letter codes</w:t>
      </w:r>
      <w:r>
        <w:t>. The LTR retrotransposon content is shown as percentages of the genome in all cases, with the first column the content identified from the ‘-species vertebrates’ RepeatMasker analysis</w:t>
      </w:r>
      <w:r w:rsidR="00F65702">
        <w:t xml:space="preserve"> (RM-v)</w:t>
      </w:r>
      <w:r>
        <w:t>, the second column from the custom Galgal4 library</w:t>
      </w:r>
      <w:r w:rsidR="00F65702">
        <w:t xml:space="preserve"> (RM-G4)</w:t>
      </w:r>
      <w:r>
        <w:t>, and the third c</w:t>
      </w:r>
      <w:r w:rsidR="00F52B00">
        <w:t xml:space="preserve">olumn shows the additive total. Annotated content overlapped between analyses in all cases, with the </w:t>
      </w:r>
      <w:r w:rsidR="00781F38">
        <w:t>additive Galgal4 analysis effect in the final column.</w:t>
      </w:r>
      <w:bookmarkEnd w:id="284"/>
    </w:p>
    <w:tbl>
      <w:tblPr>
        <w:tblStyle w:val="TableGrid"/>
        <w:tblW w:w="83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992"/>
        <w:gridCol w:w="1134"/>
        <w:gridCol w:w="1276"/>
        <w:gridCol w:w="1134"/>
        <w:gridCol w:w="1134"/>
      </w:tblGrid>
      <w:tr w:rsidR="002509F9" w14:paraId="69C73237" w14:textId="3D92AE9D" w:rsidTr="00781F38">
        <w:trPr>
          <w:jc w:val="center"/>
        </w:trPr>
        <w:tc>
          <w:tcPr>
            <w:tcW w:w="2694" w:type="dxa"/>
            <w:tcBorders>
              <w:top w:val="single" w:sz="4" w:space="0" w:color="auto"/>
              <w:bottom w:val="single" w:sz="4" w:space="0" w:color="auto"/>
            </w:tcBorders>
            <w:vAlign w:val="center"/>
          </w:tcPr>
          <w:p w14:paraId="604984D7" w14:textId="071EAE5C" w:rsidR="00FB4FD3" w:rsidRDefault="00781F38" w:rsidP="00F52B00">
            <w:pPr>
              <w:pStyle w:val="Tablecontent"/>
            </w:pPr>
            <w:r>
              <w:t>Species n</w:t>
            </w:r>
            <w:r w:rsidR="00FB4FD3">
              <w:t>ame</w:t>
            </w:r>
          </w:p>
        </w:tc>
        <w:tc>
          <w:tcPr>
            <w:tcW w:w="992" w:type="dxa"/>
            <w:tcBorders>
              <w:top w:val="single" w:sz="4" w:space="0" w:color="auto"/>
              <w:bottom w:val="single" w:sz="4" w:space="0" w:color="auto"/>
              <w:right w:val="single" w:sz="4" w:space="0" w:color="auto"/>
            </w:tcBorders>
            <w:vAlign w:val="center"/>
          </w:tcPr>
          <w:p w14:paraId="7F7A06C4" w14:textId="0DE225B7" w:rsidR="00FB4FD3" w:rsidRDefault="00FB4FD3" w:rsidP="00FB4FD3">
            <w:pPr>
              <w:pStyle w:val="Tablecontent"/>
              <w:jc w:val="center"/>
            </w:pPr>
            <w:r>
              <w:t>Code</w:t>
            </w:r>
          </w:p>
        </w:tc>
        <w:tc>
          <w:tcPr>
            <w:tcW w:w="1134" w:type="dxa"/>
            <w:tcBorders>
              <w:top w:val="single" w:sz="4" w:space="0" w:color="auto"/>
              <w:left w:val="single" w:sz="4" w:space="0" w:color="auto"/>
              <w:bottom w:val="single" w:sz="4" w:space="0" w:color="auto"/>
            </w:tcBorders>
          </w:tcPr>
          <w:p w14:paraId="57A00089" w14:textId="7524E337" w:rsidR="00FB4FD3" w:rsidRDefault="002509F9" w:rsidP="00AF3855">
            <w:pPr>
              <w:pStyle w:val="Tablecontent"/>
              <w:jc w:val="center"/>
            </w:pPr>
            <w:r>
              <w:t>RM-v (%)</w:t>
            </w:r>
          </w:p>
        </w:tc>
        <w:tc>
          <w:tcPr>
            <w:tcW w:w="1276" w:type="dxa"/>
            <w:tcBorders>
              <w:top w:val="single" w:sz="4" w:space="0" w:color="auto"/>
              <w:bottom w:val="single" w:sz="4" w:space="0" w:color="auto"/>
            </w:tcBorders>
          </w:tcPr>
          <w:p w14:paraId="30415998" w14:textId="77151F12" w:rsidR="00FB4FD3" w:rsidRDefault="002509F9" w:rsidP="00AF3855">
            <w:pPr>
              <w:pStyle w:val="Tablecontent"/>
              <w:jc w:val="center"/>
            </w:pPr>
            <w:r>
              <w:t>RM-G</w:t>
            </w:r>
            <w:r w:rsidR="00FB4FD3">
              <w:t>4</w:t>
            </w:r>
            <w:r>
              <w:t xml:space="preserve"> (%)</w:t>
            </w:r>
          </w:p>
        </w:tc>
        <w:tc>
          <w:tcPr>
            <w:tcW w:w="1134" w:type="dxa"/>
            <w:tcBorders>
              <w:top w:val="single" w:sz="4" w:space="0" w:color="auto"/>
              <w:bottom w:val="single" w:sz="4" w:space="0" w:color="auto"/>
            </w:tcBorders>
          </w:tcPr>
          <w:p w14:paraId="0AF4BB6E" w14:textId="1645F0C0" w:rsidR="00FB4FD3" w:rsidRDefault="00FB4FD3" w:rsidP="00AF3855">
            <w:pPr>
              <w:pStyle w:val="Tablecontent"/>
              <w:jc w:val="center"/>
            </w:pPr>
            <w:r w:rsidRPr="00FB4FD3">
              <w:t>Total</w:t>
            </w:r>
            <w:r w:rsidR="002509F9">
              <w:t xml:space="preserve"> (%)</w:t>
            </w:r>
          </w:p>
        </w:tc>
        <w:tc>
          <w:tcPr>
            <w:tcW w:w="1134" w:type="dxa"/>
            <w:tcBorders>
              <w:top w:val="single" w:sz="4" w:space="0" w:color="auto"/>
              <w:bottom w:val="single" w:sz="4" w:space="0" w:color="auto"/>
            </w:tcBorders>
          </w:tcPr>
          <w:p w14:paraId="3F41A051" w14:textId="7B59989A" w:rsidR="00FB4FD3" w:rsidRDefault="002509F9" w:rsidP="00AF3855">
            <w:pPr>
              <w:pStyle w:val="Tablecontent"/>
              <w:jc w:val="center"/>
            </w:pPr>
            <w:r>
              <w:t>Effect</w:t>
            </w:r>
            <w:r w:rsidR="00FB4FD3">
              <w:t xml:space="preserve"> (%)</w:t>
            </w:r>
          </w:p>
        </w:tc>
      </w:tr>
      <w:tr w:rsidR="002509F9" w14:paraId="1147D63F" w14:textId="53B010C0" w:rsidTr="00781F38">
        <w:trPr>
          <w:jc w:val="center"/>
        </w:trPr>
        <w:tc>
          <w:tcPr>
            <w:tcW w:w="2694" w:type="dxa"/>
            <w:tcBorders>
              <w:top w:val="single" w:sz="4" w:space="0" w:color="auto"/>
            </w:tcBorders>
          </w:tcPr>
          <w:p w14:paraId="008F5330" w14:textId="54E7EB5F" w:rsidR="002509F9" w:rsidRPr="00FB4FD3" w:rsidRDefault="002509F9" w:rsidP="002509F9">
            <w:pPr>
              <w:pStyle w:val="Tablecontent"/>
              <w:rPr>
                <w:i/>
              </w:rPr>
            </w:pPr>
            <w:r w:rsidRPr="00FB4FD3">
              <w:rPr>
                <w:i/>
              </w:rPr>
              <w:t>Anas platyrhychos</w:t>
            </w:r>
          </w:p>
        </w:tc>
        <w:tc>
          <w:tcPr>
            <w:tcW w:w="992" w:type="dxa"/>
            <w:tcBorders>
              <w:top w:val="single" w:sz="4" w:space="0" w:color="auto"/>
              <w:right w:val="single" w:sz="4" w:space="0" w:color="auto"/>
            </w:tcBorders>
          </w:tcPr>
          <w:p w14:paraId="15770001" w14:textId="603D725A" w:rsidR="002509F9" w:rsidRPr="00E33AE2" w:rsidRDefault="002509F9" w:rsidP="002509F9">
            <w:pPr>
              <w:pStyle w:val="Tablecontent"/>
              <w:jc w:val="center"/>
            </w:pPr>
            <w:r w:rsidRPr="0040503B">
              <w:t>apla</w:t>
            </w:r>
          </w:p>
        </w:tc>
        <w:tc>
          <w:tcPr>
            <w:tcW w:w="1134" w:type="dxa"/>
            <w:tcBorders>
              <w:top w:val="single" w:sz="4" w:space="0" w:color="auto"/>
              <w:left w:val="single" w:sz="4" w:space="0" w:color="auto"/>
            </w:tcBorders>
          </w:tcPr>
          <w:p w14:paraId="30E469A1" w14:textId="3058D48B" w:rsidR="002509F9" w:rsidRPr="00E33AE2" w:rsidRDefault="002509F9" w:rsidP="002509F9">
            <w:pPr>
              <w:pStyle w:val="Tablecontent"/>
              <w:jc w:val="center"/>
            </w:pPr>
            <w:r w:rsidRPr="0040503B">
              <w:t>0.99</w:t>
            </w:r>
          </w:p>
        </w:tc>
        <w:tc>
          <w:tcPr>
            <w:tcW w:w="1276" w:type="dxa"/>
            <w:tcBorders>
              <w:top w:val="single" w:sz="4" w:space="0" w:color="auto"/>
            </w:tcBorders>
          </w:tcPr>
          <w:p w14:paraId="3DFBA623" w14:textId="5ADE96E9" w:rsidR="002509F9" w:rsidRPr="00E33AE2" w:rsidRDefault="002509F9" w:rsidP="002509F9">
            <w:pPr>
              <w:pStyle w:val="Tablecontent"/>
              <w:jc w:val="center"/>
            </w:pPr>
            <w:r w:rsidRPr="0040503B">
              <w:t>3.78</w:t>
            </w:r>
          </w:p>
        </w:tc>
        <w:tc>
          <w:tcPr>
            <w:tcW w:w="1134" w:type="dxa"/>
            <w:tcBorders>
              <w:top w:val="single" w:sz="4" w:space="0" w:color="auto"/>
            </w:tcBorders>
          </w:tcPr>
          <w:p w14:paraId="56D0947A" w14:textId="28504E40" w:rsidR="002509F9" w:rsidRPr="00E33AE2" w:rsidRDefault="002509F9" w:rsidP="002509F9">
            <w:pPr>
              <w:pStyle w:val="Tablecontent"/>
              <w:jc w:val="center"/>
            </w:pPr>
            <w:r w:rsidRPr="0040503B">
              <w:t>3.95</w:t>
            </w:r>
          </w:p>
        </w:tc>
        <w:tc>
          <w:tcPr>
            <w:tcW w:w="1134" w:type="dxa"/>
            <w:tcBorders>
              <w:top w:val="single" w:sz="4" w:space="0" w:color="auto"/>
            </w:tcBorders>
          </w:tcPr>
          <w:p w14:paraId="247F80F9" w14:textId="3C72F5F0" w:rsidR="002509F9" w:rsidRPr="0040503B" w:rsidRDefault="002509F9" w:rsidP="002509F9">
            <w:pPr>
              <w:pStyle w:val="Tablecontent"/>
              <w:jc w:val="center"/>
            </w:pPr>
            <w:r w:rsidRPr="00067E9D">
              <w:t>74.94</w:t>
            </w:r>
          </w:p>
        </w:tc>
      </w:tr>
      <w:tr w:rsidR="002509F9" w14:paraId="6FE2E948" w14:textId="4A83A786" w:rsidTr="00781F38">
        <w:trPr>
          <w:jc w:val="center"/>
        </w:trPr>
        <w:tc>
          <w:tcPr>
            <w:tcW w:w="2694" w:type="dxa"/>
          </w:tcPr>
          <w:p w14:paraId="0BF2F07D" w14:textId="2BD6AC6B" w:rsidR="002509F9" w:rsidRPr="00FB4FD3" w:rsidRDefault="002509F9" w:rsidP="002509F9">
            <w:pPr>
              <w:pStyle w:val="Tablecontent"/>
              <w:rPr>
                <w:i/>
              </w:rPr>
            </w:pPr>
            <w:r w:rsidRPr="00FB4FD3">
              <w:rPr>
                <w:i/>
              </w:rPr>
              <w:t>Anolis carolinensis</w:t>
            </w:r>
          </w:p>
        </w:tc>
        <w:tc>
          <w:tcPr>
            <w:tcW w:w="992" w:type="dxa"/>
            <w:tcBorders>
              <w:right w:val="single" w:sz="4" w:space="0" w:color="auto"/>
            </w:tcBorders>
          </w:tcPr>
          <w:p w14:paraId="0200B315" w14:textId="65A13D11" w:rsidR="002509F9" w:rsidRPr="00E33AE2" w:rsidRDefault="002509F9" w:rsidP="002509F9">
            <w:pPr>
              <w:pStyle w:val="Tablecontent"/>
              <w:jc w:val="center"/>
            </w:pPr>
            <w:r w:rsidRPr="0040503B">
              <w:t>acar</w:t>
            </w:r>
          </w:p>
        </w:tc>
        <w:tc>
          <w:tcPr>
            <w:tcW w:w="1134" w:type="dxa"/>
            <w:tcBorders>
              <w:left w:val="single" w:sz="4" w:space="0" w:color="auto"/>
            </w:tcBorders>
          </w:tcPr>
          <w:p w14:paraId="4C667A64" w14:textId="75B097DA" w:rsidR="002509F9" w:rsidRPr="00E33AE2" w:rsidRDefault="002509F9" w:rsidP="002509F9">
            <w:pPr>
              <w:pStyle w:val="Tablecontent"/>
              <w:jc w:val="center"/>
            </w:pPr>
            <w:r w:rsidRPr="0040503B">
              <w:t>4.52</w:t>
            </w:r>
          </w:p>
        </w:tc>
        <w:tc>
          <w:tcPr>
            <w:tcW w:w="1276" w:type="dxa"/>
          </w:tcPr>
          <w:p w14:paraId="6C124228" w14:textId="12BE8EDE" w:rsidR="002509F9" w:rsidRPr="00E33AE2" w:rsidRDefault="002509F9" w:rsidP="002509F9">
            <w:pPr>
              <w:pStyle w:val="Tablecontent"/>
              <w:jc w:val="center"/>
            </w:pPr>
            <w:r w:rsidRPr="0040503B">
              <w:t>0.43</w:t>
            </w:r>
          </w:p>
        </w:tc>
        <w:tc>
          <w:tcPr>
            <w:tcW w:w="1134" w:type="dxa"/>
          </w:tcPr>
          <w:p w14:paraId="2B507836" w14:textId="337B9A1D" w:rsidR="002509F9" w:rsidRPr="00E33AE2" w:rsidRDefault="002509F9" w:rsidP="002509F9">
            <w:pPr>
              <w:pStyle w:val="Tablecontent"/>
              <w:jc w:val="center"/>
            </w:pPr>
            <w:r w:rsidRPr="0040503B">
              <w:t>4.88</w:t>
            </w:r>
          </w:p>
        </w:tc>
        <w:tc>
          <w:tcPr>
            <w:tcW w:w="1134" w:type="dxa"/>
          </w:tcPr>
          <w:p w14:paraId="37BE9C11" w14:textId="471CAC20" w:rsidR="002509F9" w:rsidRPr="0040503B" w:rsidRDefault="002509F9" w:rsidP="002509F9">
            <w:pPr>
              <w:pStyle w:val="Tablecontent"/>
              <w:jc w:val="center"/>
            </w:pPr>
            <w:r w:rsidRPr="00067E9D">
              <w:t xml:space="preserve"> </w:t>
            </w:r>
            <w:r>
              <w:t xml:space="preserve"> </w:t>
            </w:r>
            <w:r w:rsidRPr="00067E9D">
              <w:t>7.38</w:t>
            </w:r>
          </w:p>
        </w:tc>
      </w:tr>
      <w:tr w:rsidR="002509F9" w14:paraId="1669FD47" w14:textId="26761098" w:rsidTr="00781F38">
        <w:trPr>
          <w:jc w:val="center"/>
        </w:trPr>
        <w:tc>
          <w:tcPr>
            <w:tcW w:w="2694" w:type="dxa"/>
          </w:tcPr>
          <w:p w14:paraId="6F1C5DA3" w14:textId="27D41E9B" w:rsidR="002509F9" w:rsidRPr="00FB4FD3" w:rsidRDefault="002509F9" w:rsidP="002509F9">
            <w:pPr>
              <w:pStyle w:val="Tablecontent"/>
              <w:rPr>
                <w:i/>
              </w:rPr>
            </w:pPr>
            <w:r w:rsidRPr="00FB4FD3">
              <w:rPr>
                <w:i/>
              </w:rPr>
              <w:t>Apaloderma vittatum</w:t>
            </w:r>
          </w:p>
        </w:tc>
        <w:tc>
          <w:tcPr>
            <w:tcW w:w="992" w:type="dxa"/>
            <w:tcBorders>
              <w:right w:val="single" w:sz="4" w:space="0" w:color="auto"/>
            </w:tcBorders>
          </w:tcPr>
          <w:p w14:paraId="2E4133B9" w14:textId="0FA6F282" w:rsidR="002509F9" w:rsidRPr="00E33AE2" w:rsidRDefault="002509F9" w:rsidP="002509F9">
            <w:pPr>
              <w:pStyle w:val="Tablecontent"/>
              <w:jc w:val="center"/>
            </w:pPr>
            <w:r w:rsidRPr="0040503B">
              <w:t>avit</w:t>
            </w:r>
          </w:p>
        </w:tc>
        <w:tc>
          <w:tcPr>
            <w:tcW w:w="1134" w:type="dxa"/>
            <w:tcBorders>
              <w:left w:val="single" w:sz="4" w:space="0" w:color="auto"/>
            </w:tcBorders>
          </w:tcPr>
          <w:p w14:paraId="419E1E3B" w14:textId="12B222AC" w:rsidR="002509F9" w:rsidRPr="00E33AE2" w:rsidRDefault="002509F9" w:rsidP="002509F9">
            <w:pPr>
              <w:pStyle w:val="Tablecontent"/>
              <w:jc w:val="center"/>
            </w:pPr>
            <w:r w:rsidRPr="0040503B">
              <w:t>0.86</w:t>
            </w:r>
          </w:p>
        </w:tc>
        <w:tc>
          <w:tcPr>
            <w:tcW w:w="1276" w:type="dxa"/>
          </w:tcPr>
          <w:p w14:paraId="5201C203" w14:textId="1805C0B7" w:rsidR="002509F9" w:rsidRPr="00E33AE2" w:rsidRDefault="002509F9" w:rsidP="002509F9">
            <w:pPr>
              <w:pStyle w:val="Tablecontent"/>
              <w:jc w:val="center"/>
            </w:pPr>
            <w:r w:rsidRPr="0040503B">
              <w:t>3.1</w:t>
            </w:r>
            <w:r>
              <w:t>0</w:t>
            </w:r>
          </w:p>
        </w:tc>
        <w:tc>
          <w:tcPr>
            <w:tcW w:w="1134" w:type="dxa"/>
          </w:tcPr>
          <w:p w14:paraId="7B5837F2" w14:textId="3CC7D9A9" w:rsidR="002509F9" w:rsidRPr="00E33AE2" w:rsidRDefault="002509F9" w:rsidP="002509F9">
            <w:pPr>
              <w:pStyle w:val="Tablecontent"/>
              <w:jc w:val="center"/>
            </w:pPr>
            <w:r w:rsidRPr="0040503B">
              <w:t>3.38</w:t>
            </w:r>
          </w:p>
        </w:tc>
        <w:tc>
          <w:tcPr>
            <w:tcW w:w="1134" w:type="dxa"/>
          </w:tcPr>
          <w:p w14:paraId="1A675796" w14:textId="5BE49D5A" w:rsidR="002509F9" w:rsidRPr="0040503B" w:rsidRDefault="002509F9" w:rsidP="002509F9">
            <w:pPr>
              <w:pStyle w:val="Tablecontent"/>
              <w:jc w:val="center"/>
            </w:pPr>
            <w:r w:rsidRPr="00067E9D">
              <w:t>74.56</w:t>
            </w:r>
          </w:p>
        </w:tc>
      </w:tr>
      <w:tr w:rsidR="002509F9" w14:paraId="4004D00C" w14:textId="0997CA18" w:rsidTr="00781F38">
        <w:trPr>
          <w:jc w:val="center"/>
        </w:trPr>
        <w:tc>
          <w:tcPr>
            <w:tcW w:w="2694" w:type="dxa"/>
          </w:tcPr>
          <w:p w14:paraId="7B2641B0" w14:textId="59F60215" w:rsidR="002509F9" w:rsidRPr="00FB4FD3" w:rsidRDefault="002509F9" w:rsidP="002509F9">
            <w:pPr>
              <w:pStyle w:val="Tablecontent"/>
              <w:rPr>
                <w:i/>
              </w:rPr>
            </w:pPr>
            <w:r w:rsidRPr="00FB4FD3">
              <w:rPr>
                <w:i/>
              </w:rPr>
              <w:t>Aptenodytes forsteri</w:t>
            </w:r>
          </w:p>
        </w:tc>
        <w:tc>
          <w:tcPr>
            <w:tcW w:w="992" w:type="dxa"/>
            <w:tcBorders>
              <w:right w:val="single" w:sz="4" w:space="0" w:color="auto"/>
            </w:tcBorders>
          </w:tcPr>
          <w:p w14:paraId="05B30649" w14:textId="4DBAC9BA" w:rsidR="002509F9" w:rsidRPr="00E33AE2" w:rsidRDefault="002509F9" w:rsidP="002509F9">
            <w:pPr>
              <w:pStyle w:val="Tablecontent"/>
              <w:jc w:val="center"/>
            </w:pPr>
            <w:r w:rsidRPr="0040503B">
              <w:t>afor</w:t>
            </w:r>
          </w:p>
        </w:tc>
        <w:tc>
          <w:tcPr>
            <w:tcW w:w="1134" w:type="dxa"/>
            <w:tcBorders>
              <w:left w:val="single" w:sz="4" w:space="0" w:color="auto"/>
            </w:tcBorders>
          </w:tcPr>
          <w:p w14:paraId="4E5640EB" w14:textId="057C2D53" w:rsidR="002509F9" w:rsidRPr="00E33AE2" w:rsidRDefault="002509F9" w:rsidP="002509F9">
            <w:pPr>
              <w:pStyle w:val="Tablecontent"/>
              <w:jc w:val="center"/>
            </w:pPr>
            <w:r w:rsidRPr="0040503B">
              <w:t>1.1</w:t>
            </w:r>
            <w:r>
              <w:t>0</w:t>
            </w:r>
          </w:p>
        </w:tc>
        <w:tc>
          <w:tcPr>
            <w:tcW w:w="1276" w:type="dxa"/>
          </w:tcPr>
          <w:p w14:paraId="59E4DC39" w14:textId="6A95865D" w:rsidR="002509F9" w:rsidRPr="00E33AE2" w:rsidRDefault="002509F9" w:rsidP="002509F9">
            <w:pPr>
              <w:pStyle w:val="Tablecontent"/>
              <w:jc w:val="center"/>
            </w:pPr>
            <w:r w:rsidRPr="0040503B">
              <w:t>1.38</w:t>
            </w:r>
          </w:p>
        </w:tc>
        <w:tc>
          <w:tcPr>
            <w:tcW w:w="1134" w:type="dxa"/>
          </w:tcPr>
          <w:p w14:paraId="4EC4CA05" w14:textId="055096F3" w:rsidR="002509F9" w:rsidRPr="00E33AE2" w:rsidRDefault="002509F9" w:rsidP="002509F9">
            <w:pPr>
              <w:pStyle w:val="Tablecontent"/>
              <w:jc w:val="center"/>
            </w:pPr>
            <w:r w:rsidRPr="0040503B">
              <w:t>1.51</w:t>
            </w:r>
          </w:p>
        </w:tc>
        <w:tc>
          <w:tcPr>
            <w:tcW w:w="1134" w:type="dxa"/>
          </w:tcPr>
          <w:p w14:paraId="1F30C1D4" w14:textId="6C755E2F" w:rsidR="002509F9" w:rsidRPr="0040503B" w:rsidRDefault="002509F9" w:rsidP="002509F9">
            <w:pPr>
              <w:pStyle w:val="Tablecontent"/>
              <w:jc w:val="center"/>
            </w:pPr>
            <w:r w:rsidRPr="00067E9D">
              <w:t>27.15</w:t>
            </w:r>
          </w:p>
        </w:tc>
      </w:tr>
      <w:tr w:rsidR="002509F9" w14:paraId="0DC16850" w14:textId="2C88A3F4" w:rsidTr="00781F38">
        <w:trPr>
          <w:jc w:val="center"/>
        </w:trPr>
        <w:tc>
          <w:tcPr>
            <w:tcW w:w="2694" w:type="dxa"/>
          </w:tcPr>
          <w:p w14:paraId="13AE38AD" w14:textId="7FBB90BC" w:rsidR="002509F9" w:rsidRPr="00FB4FD3" w:rsidRDefault="002509F9" w:rsidP="002509F9">
            <w:pPr>
              <w:pStyle w:val="Tablecontent"/>
              <w:rPr>
                <w:i/>
              </w:rPr>
            </w:pPr>
            <w:r w:rsidRPr="00FB4FD3">
              <w:rPr>
                <w:i/>
              </w:rPr>
              <w:t>Calypte anna</w:t>
            </w:r>
          </w:p>
        </w:tc>
        <w:tc>
          <w:tcPr>
            <w:tcW w:w="992" w:type="dxa"/>
            <w:tcBorders>
              <w:right w:val="single" w:sz="4" w:space="0" w:color="auto"/>
            </w:tcBorders>
          </w:tcPr>
          <w:p w14:paraId="1DC0EFEF" w14:textId="59AC7FCB" w:rsidR="002509F9" w:rsidRPr="00E33AE2" w:rsidRDefault="002509F9" w:rsidP="002509F9">
            <w:pPr>
              <w:pStyle w:val="Tablecontent"/>
              <w:jc w:val="center"/>
            </w:pPr>
            <w:r w:rsidRPr="0040503B">
              <w:t>cann</w:t>
            </w:r>
          </w:p>
        </w:tc>
        <w:tc>
          <w:tcPr>
            <w:tcW w:w="1134" w:type="dxa"/>
            <w:tcBorders>
              <w:left w:val="single" w:sz="4" w:space="0" w:color="auto"/>
            </w:tcBorders>
          </w:tcPr>
          <w:p w14:paraId="0F1D1E5E" w14:textId="49AF868E" w:rsidR="002509F9" w:rsidRPr="00E33AE2" w:rsidRDefault="002509F9" w:rsidP="002509F9">
            <w:pPr>
              <w:pStyle w:val="Tablecontent"/>
              <w:jc w:val="center"/>
            </w:pPr>
            <w:r w:rsidRPr="0040503B">
              <w:t>0.66</w:t>
            </w:r>
          </w:p>
        </w:tc>
        <w:tc>
          <w:tcPr>
            <w:tcW w:w="1276" w:type="dxa"/>
          </w:tcPr>
          <w:p w14:paraId="4D04463B" w14:textId="6DC9E06E" w:rsidR="002509F9" w:rsidRPr="00E33AE2" w:rsidRDefault="002509F9" w:rsidP="002509F9">
            <w:pPr>
              <w:pStyle w:val="Tablecontent"/>
              <w:jc w:val="center"/>
            </w:pPr>
            <w:r w:rsidRPr="0040503B">
              <w:t>0.77</w:t>
            </w:r>
          </w:p>
        </w:tc>
        <w:tc>
          <w:tcPr>
            <w:tcW w:w="1134" w:type="dxa"/>
          </w:tcPr>
          <w:p w14:paraId="4D23512D" w14:textId="74B3DCE9" w:rsidR="002509F9" w:rsidRPr="00E33AE2" w:rsidRDefault="002509F9" w:rsidP="002509F9">
            <w:pPr>
              <w:pStyle w:val="Tablecontent"/>
              <w:jc w:val="center"/>
            </w:pPr>
            <w:r w:rsidRPr="0040503B">
              <w:t>1.09</w:t>
            </w:r>
          </w:p>
        </w:tc>
        <w:tc>
          <w:tcPr>
            <w:tcW w:w="1134" w:type="dxa"/>
          </w:tcPr>
          <w:p w14:paraId="11069B7D" w14:textId="6DAB1EC4" w:rsidR="002509F9" w:rsidRPr="0040503B" w:rsidRDefault="002509F9" w:rsidP="002509F9">
            <w:pPr>
              <w:pStyle w:val="Tablecontent"/>
              <w:jc w:val="center"/>
            </w:pPr>
            <w:r w:rsidRPr="00067E9D">
              <w:t>39.45</w:t>
            </w:r>
          </w:p>
        </w:tc>
      </w:tr>
      <w:tr w:rsidR="002509F9" w14:paraId="244A3622" w14:textId="4587C7B4" w:rsidTr="00781F38">
        <w:trPr>
          <w:jc w:val="center"/>
        </w:trPr>
        <w:tc>
          <w:tcPr>
            <w:tcW w:w="2694" w:type="dxa"/>
          </w:tcPr>
          <w:p w14:paraId="4FCB7949" w14:textId="332EC7B6" w:rsidR="002509F9" w:rsidRPr="00FB4FD3" w:rsidRDefault="002509F9" w:rsidP="002509F9">
            <w:pPr>
              <w:pStyle w:val="Tablecontent"/>
              <w:rPr>
                <w:i/>
              </w:rPr>
            </w:pPr>
            <w:r w:rsidRPr="00FB4FD3">
              <w:rPr>
                <w:i/>
              </w:rPr>
              <w:t>Chrysemys picta bellii</w:t>
            </w:r>
          </w:p>
        </w:tc>
        <w:tc>
          <w:tcPr>
            <w:tcW w:w="992" w:type="dxa"/>
            <w:tcBorders>
              <w:right w:val="single" w:sz="4" w:space="0" w:color="auto"/>
            </w:tcBorders>
          </w:tcPr>
          <w:p w14:paraId="4BF8D683" w14:textId="24B06EB4" w:rsidR="002509F9" w:rsidRPr="00E33AE2" w:rsidRDefault="002509F9" w:rsidP="002509F9">
            <w:pPr>
              <w:pStyle w:val="Tablecontent"/>
              <w:jc w:val="center"/>
            </w:pPr>
            <w:r w:rsidRPr="0040503B">
              <w:t>cpic</w:t>
            </w:r>
          </w:p>
        </w:tc>
        <w:tc>
          <w:tcPr>
            <w:tcW w:w="1134" w:type="dxa"/>
            <w:tcBorders>
              <w:left w:val="single" w:sz="4" w:space="0" w:color="auto"/>
            </w:tcBorders>
          </w:tcPr>
          <w:p w14:paraId="2D61F72B" w14:textId="22EE5453" w:rsidR="002509F9" w:rsidRPr="00E33AE2" w:rsidRDefault="002509F9" w:rsidP="002509F9">
            <w:pPr>
              <w:pStyle w:val="Tablecontent"/>
              <w:jc w:val="center"/>
            </w:pPr>
            <w:r w:rsidRPr="0040503B">
              <w:t>1.3</w:t>
            </w:r>
            <w:r>
              <w:t>0</w:t>
            </w:r>
          </w:p>
        </w:tc>
        <w:tc>
          <w:tcPr>
            <w:tcW w:w="1276" w:type="dxa"/>
          </w:tcPr>
          <w:p w14:paraId="0489AF22" w14:textId="02DB16C6" w:rsidR="002509F9" w:rsidRPr="00E33AE2" w:rsidRDefault="002509F9" w:rsidP="002509F9">
            <w:pPr>
              <w:pStyle w:val="Tablecontent"/>
              <w:jc w:val="center"/>
            </w:pPr>
            <w:r w:rsidRPr="0040503B">
              <w:t>2.58</w:t>
            </w:r>
          </w:p>
        </w:tc>
        <w:tc>
          <w:tcPr>
            <w:tcW w:w="1134" w:type="dxa"/>
          </w:tcPr>
          <w:p w14:paraId="6F57B0EE" w14:textId="2A056486" w:rsidR="002509F9" w:rsidRPr="00E33AE2" w:rsidRDefault="002509F9" w:rsidP="002509F9">
            <w:pPr>
              <w:pStyle w:val="Tablecontent"/>
              <w:jc w:val="center"/>
            </w:pPr>
            <w:r w:rsidRPr="0040503B">
              <w:t>3.87</w:t>
            </w:r>
          </w:p>
        </w:tc>
        <w:tc>
          <w:tcPr>
            <w:tcW w:w="1134" w:type="dxa"/>
          </w:tcPr>
          <w:p w14:paraId="05050E33" w14:textId="58C84268" w:rsidR="002509F9" w:rsidRPr="0040503B" w:rsidRDefault="002509F9" w:rsidP="002509F9">
            <w:pPr>
              <w:pStyle w:val="Tablecontent"/>
              <w:jc w:val="center"/>
            </w:pPr>
            <w:r w:rsidRPr="00067E9D">
              <w:t>66.41</w:t>
            </w:r>
          </w:p>
        </w:tc>
      </w:tr>
      <w:tr w:rsidR="002509F9" w14:paraId="750A81D3" w14:textId="2DFE6AC8" w:rsidTr="00781F38">
        <w:trPr>
          <w:jc w:val="center"/>
        </w:trPr>
        <w:tc>
          <w:tcPr>
            <w:tcW w:w="2694" w:type="dxa"/>
          </w:tcPr>
          <w:p w14:paraId="4E0B8853" w14:textId="2BEE442C" w:rsidR="002509F9" w:rsidRPr="00FB4FD3" w:rsidRDefault="002509F9" w:rsidP="002509F9">
            <w:pPr>
              <w:pStyle w:val="Tablecontent"/>
              <w:rPr>
                <w:i/>
              </w:rPr>
            </w:pPr>
            <w:r w:rsidRPr="00FB4FD3">
              <w:rPr>
                <w:i/>
              </w:rPr>
              <w:t>Columba livia</w:t>
            </w:r>
          </w:p>
        </w:tc>
        <w:tc>
          <w:tcPr>
            <w:tcW w:w="992" w:type="dxa"/>
            <w:tcBorders>
              <w:right w:val="single" w:sz="4" w:space="0" w:color="auto"/>
            </w:tcBorders>
          </w:tcPr>
          <w:p w14:paraId="2B79A70E" w14:textId="6EBA0E25" w:rsidR="002509F9" w:rsidRPr="00E33AE2" w:rsidRDefault="002509F9" w:rsidP="002509F9">
            <w:pPr>
              <w:pStyle w:val="Tablecontent"/>
              <w:jc w:val="center"/>
            </w:pPr>
            <w:r w:rsidRPr="0040503B">
              <w:t>cliv</w:t>
            </w:r>
          </w:p>
        </w:tc>
        <w:tc>
          <w:tcPr>
            <w:tcW w:w="1134" w:type="dxa"/>
            <w:tcBorders>
              <w:left w:val="single" w:sz="4" w:space="0" w:color="auto"/>
            </w:tcBorders>
          </w:tcPr>
          <w:p w14:paraId="0A890590" w14:textId="72BD8A30" w:rsidR="002509F9" w:rsidRPr="00E33AE2" w:rsidRDefault="002509F9" w:rsidP="002509F9">
            <w:pPr>
              <w:pStyle w:val="Tablecontent"/>
              <w:jc w:val="center"/>
            </w:pPr>
            <w:r w:rsidRPr="0040503B">
              <w:t>0.61</w:t>
            </w:r>
          </w:p>
        </w:tc>
        <w:tc>
          <w:tcPr>
            <w:tcW w:w="1276" w:type="dxa"/>
          </w:tcPr>
          <w:p w14:paraId="594CBCA1" w14:textId="6C6B513D" w:rsidR="002509F9" w:rsidRPr="00E33AE2" w:rsidRDefault="002509F9" w:rsidP="002509F9">
            <w:pPr>
              <w:pStyle w:val="Tablecontent"/>
              <w:jc w:val="center"/>
            </w:pPr>
            <w:r w:rsidRPr="0040503B">
              <w:t>0.89</w:t>
            </w:r>
          </w:p>
        </w:tc>
        <w:tc>
          <w:tcPr>
            <w:tcW w:w="1134" w:type="dxa"/>
          </w:tcPr>
          <w:p w14:paraId="2C860CC4" w14:textId="6C189076" w:rsidR="002509F9" w:rsidRPr="00E33AE2" w:rsidRDefault="002509F9" w:rsidP="002509F9">
            <w:pPr>
              <w:pStyle w:val="Tablecontent"/>
              <w:jc w:val="center"/>
            </w:pPr>
            <w:r w:rsidRPr="0040503B">
              <w:t>1.06</w:t>
            </w:r>
          </w:p>
        </w:tc>
        <w:tc>
          <w:tcPr>
            <w:tcW w:w="1134" w:type="dxa"/>
          </w:tcPr>
          <w:p w14:paraId="14535399" w14:textId="15A87DB4" w:rsidR="002509F9" w:rsidRPr="0040503B" w:rsidRDefault="002509F9" w:rsidP="002509F9">
            <w:pPr>
              <w:pStyle w:val="Tablecontent"/>
              <w:jc w:val="center"/>
            </w:pPr>
            <w:r w:rsidRPr="00067E9D">
              <w:t>42.45</w:t>
            </w:r>
          </w:p>
        </w:tc>
      </w:tr>
      <w:tr w:rsidR="002509F9" w14:paraId="5C53DD10" w14:textId="5BBADF5C" w:rsidTr="00781F38">
        <w:trPr>
          <w:jc w:val="center"/>
        </w:trPr>
        <w:tc>
          <w:tcPr>
            <w:tcW w:w="2694" w:type="dxa"/>
          </w:tcPr>
          <w:p w14:paraId="2F236F45" w14:textId="056AF016" w:rsidR="002509F9" w:rsidRPr="00FB4FD3" w:rsidRDefault="002509F9" w:rsidP="002509F9">
            <w:pPr>
              <w:pStyle w:val="Tablecontent"/>
              <w:rPr>
                <w:i/>
              </w:rPr>
            </w:pPr>
            <w:r w:rsidRPr="00FB4FD3">
              <w:rPr>
                <w:i/>
              </w:rPr>
              <w:t>Corvus brachyrhynchos</w:t>
            </w:r>
          </w:p>
        </w:tc>
        <w:tc>
          <w:tcPr>
            <w:tcW w:w="992" w:type="dxa"/>
            <w:tcBorders>
              <w:right w:val="single" w:sz="4" w:space="0" w:color="auto"/>
            </w:tcBorders>
          </w:tcPr>
          <w:p w14:paraId="7D706807" w14:textId="72894126" w:rsidR="002509F9" w:rsidRPr="00E33AE2" w:rsidRDefault="002509F9" w:rsidP="002509F9">
            <w:pPr>
              <w:pStyle w:val="Tablecontent"/>
              <w:jc w:val="center"/>
            </w:pPr>
            <w:r w:rsidRPr="0040503B">
              <w:t>cbra</w:t>
            </w:r>
          </w:p>
        </w:tc>
        <w:tc>
          <w:tcPr>
            <w:tcW w:w="1134" w:type="dxa"/>
            <w:tcBorders>
              <w:left w:val="single" w:sz="4" w:space="0" w:color="auto"/>
            </w:tcBorders>
          </w:tcPr>
          <w:p w14:paraId="370FC7D0" w14:textId="169541BF" w:rsidR="002509F9" w:rsidRPr="00E33AE2" w:rsidRDefault="002509F9" w:rsidP="002509F9">
            <w:pPr>
              <w:pStyle w:val="Tablecontent"/>
              <w:jc w:val="center"/>
            </w:pPr>
            <w:r w:rsidRPr="0040503B">
              <w:t>1.97</w:t>
            </w:r>
          </w:p>
        </w:tc>
        <w:tc>
          <w:tcPr>
            <w:tcW w:w="1276" w:type="dxa"/>
          </w:tcPr>
          <w:p w14:paraId="7FAF53A7" w14:textId="77080870" w:rsidR="002509F9" w:rsidRPr="00E33AE2" w:rsidRDefault="002509F9" w:rsidP="002509F9">
            <w:pPr>
              <w:pStyle w:val="Tablecontent"/>
              <w:jc w:val="center"/>
            </w:pPr>
            <w:r w:rsidRPr="0040503B">
              <w:t>3.48</w:t>
            </w:r>
          </w:p>
        </w:tc>
        <w:tc>
          <w:tcPr>
            <w:tcW w:w="1134" w:type="dxa"/>
          </w:tcPr>
          <w:p w14:paraId="1D1382E3" w14:textId="0A38988B" w:rsidR="002509F9" w:rsidRPr="00E33AE2" w:rsidRDefault="002509F9" w:rsidP="002509F9">
            <w:pPr>
              <w:pStyle w:val="Tablecontent"/>
              <w:jc w:val="center"/>
            </w:pPr>
            <w:r w:rsidRPr="0040503B">
              <w:t>4.53</w:t>
            </w:r>
          </w:p>
        </w:tc>
        <w:tc>
          <w:tcPr>
            <w:tcW w:w="1134" w:type="dxa"/>
          </w:tcPr>
          <w:p w14:paraId="2B17B0E7" w14:textId="7BEB27C5" w:rsidR="002509F9" w:rsidRPr="0040503B" w:rsidRDefault="002509F9" w:rsidP="002509F9">
            <w:pPr>
              <w:pStyle w:val="Tablecontent"/>
              <w:jc w:val="center"/>
            </w:pPr>
            <w:r w:rsidRPr="00067E9D">
              <w:t>56.51</w:t>
            </w:r>
          </w:p>
        </w:tc>
      </w:tr>
      <w:tr w:rsidR="002509F9" w14:paraId="3A16359F" w14:textId="46EA57A6" w:rsidTr="00781F38">
        <w:trPr>
          <w:jc w:val="center"/>
        </w:trPr>
        <w:tc>
          <w:tcPr>
            <w:tcW w:w="2694" w:type="dxa"/>
          </w:tcPr>
          <w:p w14:paraId="185486DB" w14:textId="3840B6AE" w:rsidR="002509F9" w:rsidRPr="00FB4FD3" w:rsidRDefault="002509F9" w:rsidP="002509F9">
            <w:pPr>
              <w:pStyle w:val="Tablecontent"/>
              <w:rPr>
                <w:i/>
              </w:rPr>
            </w:pPr>
            <w:r w:rsidRPr="00FB4FD3">
              <w:rPr>
                <w:i/>
              </w:rPr>
              <w:t>Cuculus canorus</w:t>
            </w:r>
          </w:p>
        </w:tc>
        <w:tc>
          <w:tcPr>
            <w:tcW w:w="992" w:type="dxa"/>
            <w:tcBorders>
              <w:right w:val="single" w:sz="4" w:space="0" w:color="auto"/>
            </w:tcBorders>
          </w:tcPr>
          <w:p w14:paraId="7DC64371" w14:textId="25AD152B" w:rsidR="002509F9" w:rsidRPr="00E33AE2" w:rsidRDefault="002509F9" w:rsidP="002509F9">
            <w:pPr>
              <w:pStyle w:val="Tablecontent"/>
              <w:jc w:val="center"/>
            </w:pPr>
            <w:r w:rsidRPr="0040503B">
              <w:t>ccan</w:t>
            </w:r>
          </w:p>
        </w:tc>
        <w:tc>
          <w:tcPr>
            <w:tcW w:w="1134" w:type="dxa"/>
            <w:tcBorders>
              <w:left w:val="single" w:sz="4" w:space="0" w:color="auto"/>
            </w:tcBorders>
          </w:tcPr>
          <w:p w14:paraId="5CFE12E6" w14:textId="7C11D1EF" w:rsidR="002509F9" w:rsidRPr="00E33AE2" w:rsidRDefault="002509F9" w:rsidP="002509F9">
            <w:pPr>
              <w:pStyle w:val="Tablecontent"/>
              <w:jc w:val="center"/>
            </w:pPr>
            <w:r w:rsidRPr="0040503B">
              <w:t>0.52</w:t>
            </w:r>
          </w:p>
        </w:tc>
        <w:tc>
          <w:tcPr>
            <w:tcW w:w="1276" w:type="dxa"/>
          </w:tcPr>
          <w:p w14:paraId="3C97C153" w14:textId="52AFAA52" w:rsidR="002509F9" w:rsidRPr="00E33AE2" w:rsidRDefault="002509F9" w:rsidP="002509F9">
            <w:pPr>
              <w:pStyle w:val="Tablecontent"/>
              <w:jc w:val="center"/>
            </w:pPr>
            <w:r w:rsidRPr="0040503B">
              <w:t>3.94</w:t>
            </w:r>
          </w:p>
        </w:tc>
        <w:tc>
          <w:tcPr>
            <w:tcW w:w="1134" w:type="dxa"/>
          </w:tcPr>
          <w:p w14:paraId="2658FCCC" w14:textId="16BE32BE" w:rsidR="002509F9" w:rsidRPr="00E33AE2" w:rsidRDefault="002509F9" w:rsidP="002509F9">
            <w:pPr>
              <w:pStyle w:val="Tablecontent"/>
              <w:jc w:val="center"/>
            </w:pPr>
            <w:r w:rsidRPr="0040503B">
              <w:t>4.1</w:t>
            </w:r>
            <w:r>
              <w:t>0</w:t>
            </w:r>
          </w:p>
        </w:tc>
        <w:tc>
          <w:tcPr>
            <w:tcW w:w="1134" w:type="dxa"/>
          </w:tcPr>
          <w:p w14:paraId="27314AF5" w14:textId="0761B86A" w:rsidR="002509F9" w:rsidRPr="0040503B" w:rsidRDefault="002509F9" w:rsidP="002509F9">
            <w:pPr>
              <w:pStyle w:val="Tablecontent"/>
              <w:jc w:val="center"/>
            </w:pPr>
            <w:r w:rsidRPr="00067E9D">
              <w:t>87.32</w:t>
            </w:r>
          </w:p>
        </w:tc>
      </w:tr>
      <w:tr w:rsidR="002509F9" w14:paraId="652B3FBF" w14:textId="29154FB4" w:rsidTr="00781F38">
        <w:trPr>
          <w:jc w:val="center"/>
        </w:trPr>
        <w:tc>
          <w:tcPr>
            <w:tcW w:w="2694" w:type="dxa"/>
          </w:tcPr>
          <w:p w14:paraId="0113DA13" w14:textId="20FE2221" w:rsidR="002509F9" w:rsidRPr="00FB4FD3" w:rsidRDefault="002509F9" w:rsidP="002509F9">
            <w:pPr>
              <w:pStyle w:val="Tablecontent"/>
              <w:rPr>
                <w:i/>
              </w:rPr>
            </w:pPr>
            <w:r w:rsidRPr="00FB4FD3">
              <w:rPr>
                <w:i/>
              </w:rPr>
              <w:t>Falco peregrinus</w:t>
            </w:r>
          </w:p>
        </w:tc>
        <w:tc>
          <w:tcPr>
            <w:tcW w:w="992" w:type="dxa"/>
            <w:tcBorders>
              <w:right w:val="single" w:sz="4" w:space="0" w:color="auto"/>
            </w:tcBorders>
          </w:tcPr>
          <w:p w14:paraId="71A1BF0D" w14:textId="50700469" w:rsidR="002509F9" w:rsidRPr="00E33AE2" w:rsidRDefault="002509F9" w:rsidP="002509F9">
            <w:pPr>
              <w:pStyle w:val="Tablecontent"/>
              <w:jc w:val="center"/>
            </w:pPr>
            <w:r w:rsidRPr="0040503B">
              <w:t>fper</w:t>
            </w:r>
          </w:p>
        </w:tc>
        <w:tc>
          <w:tcPr>
            <w:tcW w:w="1134" w:type="dxa"/>
            <w:tcBorders>
              <w:left w:val="single" w:sz="4" w:space="0" w:color="auto"/>
            </w:tcBorders>
          </w:tcPr>
          <w:p w14:paraId="08ECE2C7" w14:textId="7466015D" w:rsidR="002509F9" w:rsidRPr="00E33AE2" w:rsidRDefault="002509F9" w:rsidP="002509F9">
            <w:pPr>
              <w:pStyle w:val="Tablecontent"/>
              <w:jc w:val="center"/>
            </w:pPr>
            <w:r w:rsidRPr="0040503B">
              <w:t>1.15</w:t>
            </w:r>
          </w:p>
        </w:tc>
        <w:tc>
          <w:tcPr>
            <w:tcW w:w="1276" w:type="dxa"/>
          </w:tcPr>
          <w:p w14:paraId="50FE42E2" w14:textId="084F4918" w:rsidR="002509F9" w:rsidRPr="00E33AE2" w:rsidRDefault="002509F9" w:rsidP="002509F9">
            <w:pPr>
              <w:pStyle w:val="Tablecontent"/>
              <w:jc w:val="center"/>
            </w:pPr>
            <w:r w:rsidRPr="0040503B">
              <w:t>1.35</w:t>
            </w:r>
          </w:p>
        </w:tc>
        <w:tc>
          <w:tcPr>
            <w:tcW w:w="1134" w:type="dxa"/>
          </w:tcPr>
          <w:p w14:paraId="3D195E94" w14:textId="64B3DE61" w:rsidR="002509F9" w:rsidRPr="00E33AE2" w:rsidRDefault="002509F9" w:rsidP="002509F9">
            <w:pPr>
              <w:pStyle w:val="Tablecontent"/>
              <w:jc w:val="center"/>
            </w:pPr>
            <w:r w:rsidRPr="0040503B">
              <w:t>1.54</w:t>
            </w:r>
          </w:p>
        </w:tc>
        <w:tc>
          <w:tcPr>
            <w:tcW w:w="1134" w:type="dxa"/>
          </w:tcPr>
          <w:p w14:paraId="319F76CC" w14:textId="4AEC7A1F" w:rsidR="002509F9" w:rsidRPr="0040503B" w:rsidRDefault="002509F9" w:rsidP="002509F9">
            <w:pPr>
              <w:pStyle w:val="Tablecontent"/>
              <w:jc w:val="center"/>
            </w:pPr>
            <w:r w:rsidRPr="00067E9D">
              <w:t>25.32</w:t>
            </w:r>
          </w:p>
        </w:tc>
      </w:tr>
      <w:tr w:rsidR="002509F9" w14:paraId="0DE37244" w14:textId="4D9D31BF" w:rsidTr="00781F38">
        <w:trPr>
          <w:jc w:val="center"/>
        </w:trPr>
        <w:tc>
          <w:tcPr>
            <w:tcW w:w="2694" w:type="dxa"/>
          </w:tcPr>
          <w:p w14:paraId="473968AA" w14:textId="3D09BC70" w:rsidR="002509F9" w:rsidRPr="00FB4FD3" w:rsidRDefault="002509F9" w:rsidP="002509F9">
            <w:pPr>
              <w:pStyle w:val="Tablecontent"/>
              <w:rPr>
                <w:i/>
              </w:rPr>
            </w:pPr>
            <w:r w:rsidRPr="00FB4FD3">
              <w:rPr>
                <w:i/>
              </w:rPr>
              <w:t>Gallus gallus</w:t>
            </w:r>
          </w:p>
        </w:tc>
        <w:tc>
          <w:tcPr>
            <w:tcW w:w="992" w:type="dxa"/>
            <w:tcBorders>
              <w:right w:val="single" w:sz="4" w:space="0" w:color="auto"/>
            </w:tcBorders>
          </w:tcPr>
          <w:p w14:paraId="00711947" w14:textId="072C83E4" w:rsidR="002509F9" w:rsidRPr="00E33AE2" w:rsidRDefault="002509F9" w:rsidP="002509F9">
            <w:pPr>
              <w:pStyle w:val="Tablecontent"/>
              <w:jc w:val="center"/>
            </w:pPr>
            <w:r w:rsidRPr="0040503B">
              <w:t>ggal</w:t>
            </w:r>
          </w:p>
        </w:tc>
        <w:tc>
          <w:tcPr>
            <w:tcW w:w="1134" w:type="dxa"/>
            <w:tcBorders>
              <w:left w:val="single" w:sz="4" w:space="0" w:color="auto"/>
            </w:tcBorders>
          </w:tcPr>
          <w:p w14:paraId="4BB95FAB" w14:textId="51CC8543" w:rsidR="002509F9" w:rsidRPr="00E33AE2" w:rsidRDefault="002509F9" w:rsidP="002509F9">
            <w:pPr>
              <w:pStyle w:val="Tablecontent"/>
              <w:jc w:val="center"/>
            </w:pPr>
            <w:r w:rsidRPr="0040503B">
              <w:t>1.67</w:t>
            </w:r>
          </w:p>
        </w:tc>
        <w:tc>
          <w:tcPr>
            <w:tcW w:w="1276" w:type="dxa"/>
          </w:tcPr>
          <w:p w14:paraId="777B530A" w14:textId="2E214776" w:rsidR="002509F9" w:rsidRPr="00E33AE2" w:rsidRDefault="002509F9" w:rsidP="002509F9">
            <w:pPr>
              <w:pStyle w:val="Tablecontent"/>
              <w:jc w:val="center"/>
            </w:pPr>
            <w:r w:rsidRPr="0040503B">
              <w:t>3.01</w:t>
            </w:r>
          </w:p>
        </w:tc>
        <w:tc>
          <w:tcPr>
            <w:tcW w:w="1134" w:type="dxa"/>
          </w:tcPr>
          <w:p w14:paraId="01186F63" w14:textId="4DBF57D4" w:rsidR="002509F9" w:rsidRPr="00E33AE2" w:rsidRDefault="002509F9" w:rsidP="002509F9">
            <w:pPr>
              <w:pStyle w:val="Tablecontent"/>
              <w:jc w:val="center"/>
            </w:pPr>
            <w:r w:rsidRPr="0040503B">
              <w:t>3.01</w:t>
            </w:r>
          </w:p>
        </w:tc>
        <w:tc>
          <w:tcPr>
            <w:tcW w:w="1134" w:type="dxa"/>
          </w:tcPr>
          <w:p w14:paraId="228A4AB9" w14:textId="6D15D944" w:rsidR="002509F9" w:rsidRPr="0040503B" w:rsidRDefault="002509F9" w:rsidP="002509F9">
            <w:pPr>
              <w:pStyle w:val="Tablecontent"/>
              <w:jc w:val="center"/>
            </w:pPr>
            <w:r w:rsidRPr="00067E9D">
              <w:t>44.52</w:t>
            </w:r>
          </w:p>
        </w:tc>
      </w:tr>
      <w:tr w:rsidR="002509F9" w14:paraId="4AA58D5B" w14:textId="2E6168FC" w:rsidTr="00781F38">
        <w:trPr>
          <w:jc w:val="center"/>
        </w:trPr>
        <w:tc>
          <w:tcPr>
            <w:tcW w:w="2694" w:type="dxa"/>
          </w:tcPr>
          <w:p w14:paraId="69A35A64" w14:textId="40993150" w:rsidR="002509F9" w:rsidRPr="00FB4FD3" w:rsidRDefault="002509F9" w:rsidP="002509F9">
            <w:pPr>
              <w:pStyle w:val="Tablecontent"/>
              <w:rPr>
                <w:i/>
              </w:rPr>
            </w:pPr>
            <w:r w:rsidRPr="00FB4FD3">
              <w:rPr>
                <w:i/>
              </w:rPr>
              <w:t>Haliaeetus leucocephalus</w:t>
            </w:r>
          </w:p>
        </w:tc>
        <w:tc>
          <w:tcPr>
            <w:tcW w:w="992" w:type="dxa"/>
            <w:tcBorders>
              <w:right w:val="single" w:sz="4" w:space="0" w:color="auto"/>
            </w:tcBorders>
          </w:tcPr>
          <w:p w14:paraId="3ACFA2CE" w14:textId="5005A6F9" w:rsidR="002509F9" w:rsidRPr="00E33AE2" w:rsidRDefault="002509F9" w:rsidP="002509F9">
            <w:pPr>
              <w:pStyle w:val="Tablecontent"/>
              <w:jc w:val="center"/>
            </w:pPr>
            <w:r w:rsidRPr="0040503B">
              <w:t>hleu</w:t>
            </w:r>
          </w:p>
        </w:tc>
        <w:tc>
          <w:tcPr>
            <w:tcW w:w="1134" w:type="dxa"/>
            <w:tcBorders>
              <w:left w:val="single" w:sz="4" w:space="0" w:color="auto"/>
            </w:tcBorders>
          </w:tcPr>
          <w:p w14:paraId="61B030EF" w14:textId="03E3814B" w:rsidR="002509F9" w:rsidRPr="00E33AE2" w:rsidRDefault="002509F9" w:rsidP="002509F9">
            <w:pPr>
              <w:pStyle w:val="Tablecontent"/>
              <w:jc w:val="center"/>
            </w:pPr>
            <w:r w:rsidRPr="0040503B">
              <w:t>1.83</w:t>
            </w:r>
          </w:p>
        </w:tc>
        <w:tc>
          <w:tcPr>
            <w:tcW w:w="1276" w:type="dxa"/>
          </w:tcPr>
          <w:p w14:paraId="5BBA3BB4" w14:textId="49E3BDC3" w:rsidR="002509F9" w:rsidRPr="00E33AE2" w:rsidRDefault="002509F9" w:rsidP="002509F9">
            <w:pPr>
              <w:pStyle w:val="Tablecontent"/>
              <w:jc w:val="center"/>
            </w:pPr>
            <w:r w:rsidRPr="0040503B">
              <w:t>2.46</w:t>
            </w:r>
          </w:p>
        </w:tc>
        <w:tc>
          <w:tcPr>
            <w:tcW w:w="1134" w:type="dxa"/>
          </w:tcPr>
          <w:p w14:paraId="41DE897E" w14:textId="40F3BF6D" w:rsidR="002509F9" w:rsidRPr="00E33AE2" w:rsidRDefault="002509F9" w:rsidP="002509F9">
            <w:pPr>
              <w:pStyle w:val="Tablecontent"/>
              <w:jc w:val="center"/>
            </w:pPr>
            <w:r w:rsidRPr="0040503B">
              <w:t>2.67</w:t>
            </w:r>
          </w:p>
        </w:tc>
        <w:tc>
          <w:tcPr>
            <w:tcW w:w="1134" w:type="dxa"/>
          </w:tcPr>
          <w:p w14:paraId="6A0553DA" w14:textId="7A3CF604" w:rsidR="002509F9" w:rsidRPr="0040503B" w:rsidRDefault="002509F9" w:rsidP="002509F9">
            <w:pPr>
              <w:pStyle w:val="Tablecontent"/>
              <w:jc w:val="center"/>
            </w:pPr>
            <w:r w:rsidRPr="00067E9D">
              <w:t>31.46</w:t>
            </w:r>
          </w:p>
        </w:tc>
      </w:tr>
      <w:tr w:rsidR="002509F9" w14:paraId="3C6D0295" w14:textId="696EB6E6" w:rsidTr="00781F38">
        <w:trPr>
          <w:jc w:val="center"/>
        </w:trPr>
        <w:tc>
          <w:tcPr>
            <w:tcW w:w="2694" w:type="dxa"/>
          </w:tcPr>
          <w:p w14:paraId="4C2CB1B4" w14:textId="62038D6A" w:rsidR="002509F9" w:rsidRPr="00FB4FD3" w:rsidRDefault="002509F9" w:rsidP="002509F9">
            <w:pPr>
              <w:pStyle w:val="Tablecontent"/>
              <w:rPr>
                <w:i/>
              </w:rPr>
            </w:pPr>
            <w:r w:rsidRPr="00FB4FD3">
              <w:rPr>
                <w:i/>
              </w:rPr>
              <w:t>Meleagris gallopavo</w:t>
            </w:r>
          </w:p>
        </w:tc>
        <w:tc>
          <w:tcPr>
            <w:tcW w:w="992" w:type="dxa"/>
            <w:tcBorders>
              <w:right w:val="single" w:sz="4" w:space="0" w:color="auto"/>
            </w:tcBorders>
          </w:tcPr>
          <w:p w14:paraId="69AA1177" w14:textId="3D550D06" w:rsidR="002509F9" w:rsidRPr="00E33AE2" w:rsidRDefault="002509F9" w:rsidP="002509F9">
            <w:pPr>
              <w:pStyle w:val="Tablecontent"/>
              <w:jc w:val="center"/>
            </w:pPr>
            <w:r w:rsidRPr="0040503B">
              <w:t>mgal</w:t>
            </w:r>
          </w:p>
        </w:tc>
        <w:tc>
          <w:tcPr>
            <w:tcW w:w="1134" w:type="dxa"/>
            <w:tcBorders>
              <w:left w:val="single" w:sz="4" w:space="0" w:color="auto"/>
            </w:tcBorders>
          </w:tcPr>
          <w:p w14:paraId="4D488CBF" w14:textId="02E18024" w:rsidR="002509F9" w:rsidRPr="00E33AE2" w:rsidRDefault="002509F9" w:rsidP="002509F9">
            <w:pPr>
              <w:pStyle w:val="Tablecontent"/>
              <w:jc w:val="center"/>
            </w:pPr>
            <w:r w:rsidRPr="0040503B">
              <w:t>1.06</w:t>
            </w:r>
          </w:p>
        </w:tc>
        <w:tc>
          <w:tcPr>
            <w:tcW w:w="1276" w:type="dxa"/>
          </w:tcPr>
          <w:p w14:paraId="6A503B79" w14:textId="1FFD9A34" w:rsidR="002509F9" w:rsidRPr="00E33AE2" w:rsidRDefault="002509F9" w:rsidP="002509F9">
            <w:pPr>
              <w:pStyle w:val="Tablecontent"/>
              <w:jc w:val="center"/>
            </w:pPr>
            <w:r w:rsidRPr="0040503B">
              <w:t>1.62</w:t>
            </w:r>
          </w:p>
        </w:tc>
        <w:tc>
          <w:tcPr>
            <w:tcW w:w="1134" w:type="dxa"/>
          </w:tcPr>
          <w:p w14:paraId="6302E2FC" w14:textId="5F118E6A" w:rsidR="002509F9" w:rsidRPr="00E33AE2" w:rsidRDefault="002509F9" w:rsidP="002509F9">
            <w:pPr>
              <w:pStyle w:val="Tablecontent"/>
              <w:jc w:val="center"/>
            </w:pPr>
            <w:r w:rsidRPr="0040503B">
              <w:t>1.76</w:t>
            </w:r>
          </w:p>
        </w:tc>
        <w:tc>
          <w:tcPr>
            <w:tcW w:w="1134" w:type="dxa"/>
          </w:tcPr>
          <w:p w14:paraId="576B7430" w14:textId="0FB70273" w:rsidR="002509F9" w:rsidRPr="0040503B" w:rsidRDefault="002509F9" w:rsidP="002509F9">
            <w:pPr>
              <w:pStyle w:val="Tablecontent"/>
              <w:jc w:val="center"/>
            </w:pPr>
            <w:r w:rsidRPr="00067E9D">
              <w:t>39.77</w:t>
            </w:r>
          </w:p>
        </w:tc>
      </w:tr>
      <w:tr w:rsidR="002509F9" w14:paraId="6A4AA02C" w14:textId="50553F16" w:rsidTr="00781F38">
        <w:trPr>
          <w:jc w:val="center"/>
        </w:trPr>
        <w:tc>
          <w:tcPr>
            <w:tcW w:w="2694" w:type="dxa"/>
          </w:tcPr>
          <w:p w14:paraId="3D08EDBD" w14:textId="3F915AF7" w:rsidR="002509F9" w:rsidRPr="00FB4FD3" w:rsidRDefault="002509F9" w:rsidP="002509F9">
            <w:pPr>
              <w:pStyle w:val="Tablecontent"/>
              <w:rPr>
                <w:i/>
              </w:rPr>
            </w:pPr>
            <w:r w:rsidRPr="00FB4FD3">
              <w:rPr>
                <w:i/>
              </w:rPr>
              <w:t>Melopsittacus undulates</w:t>
            </w:r>
          </w:p>
        </w:tc>
        <w:tc>
          <w:tcPr>
            <w:tcW w:w="992" w:type="dxa"/>
            <w:tcBorders>
              <w:right w:val="single" w:sz="4" w:space="0" w:color="auto"/>
            </w:tcBorders>
          </w:tcPr>
          <w:p w14:paraId="1A953CCF" w14:textId="465B8322" w:rsidR="002509F9" w:rsidRPr="00E33AE2" w:rsidRDefault="002509F9" w:rsidP="002509F9">
            <w:pPr>
              <w:pStyle w:val="Tablecontent"/>
              <w:jc w:val="center"/>
            </w:pPr>
            <w:r w:rsidRPr="0040503B">
              <w:t>mund</w:t>
            </w:r>
          </w:p>
        </w:tc>
        <w:tc>
          <w:tcPr>
            <w:tcW w:w="1134" w:type="dxa"/>
            <w:tcBorders>
              <w:left w:val="single" w:sz="4" w:space="0" w:color="auto"/>
            </w:tcBorders>
          </w:tcPr>
          <w:p w14:paraId="532EFB14" w14:textId="3FC27B2E" w:rsidR="002509F9" w:rsidRPr="00E33AE2" w:rsidRDefault="002509F9" w:rsidP="002509F9">
            <w:pPr>
              <w:pStyle w:val="Tablecontent"/>
              <w:jc w:val="center"/>
            </w:pPr>
            <w:r w:rsidRPr="0040503B">
              <w:t>1.52</w:t>
            </w:r>
          </w:p>
        </w:tc>
        <w:tc>
          <w:tcPr>
            <w:tcW w:w="1276" w:type="dxa"/>
          </w:tcPr>
          <w:p w14:paraId="4BF91AB7" w14:textId="22FC66A9" w:rsidR="002509F9" w:rsidRPr="00E33AE2" w:rsidRDefault="002509F9" w:rsidP="002509F9">
            <w:pPr>
              <w:pStyle w:val="Tablecontent"/>
              <w:jc w:val="center"/>
            </w:pPr>
            <w:r w:rsidRPr="0040503B">
              <w:t>1.59</w:t>
            </w:r>
          </w:p>
        </w:tc>
        <w:tc>
          <w:tcPr>
            <w:tcW w:w="1134" w:type="dxa"/>
          </w:tcPr>
          <w:p w14:paraId="00457076" w14:textId="47FB17CB" w:rsidR="002509F9" w:rsidRPr="00E33AE2" w:rsidRDefault="002509F9" w:rsidP="002509F9">
            <w:pPr>
              <w:pStyle w:val="Tablecontent"/>
              <w:jc w:val="center"/>
            </w:pPr>
            <w:r w:rsidRPr="0040503B">
              <w:t>2.03</w:t>
            </w:r>
          </w:p>
        </w:tc>
        <w:tc>
          <w:tcPr>
            <w:tcW w:w="1134" w:type="dxa"/>
          </w:tcPr>
          <w:p w14:paraId="71620D2D" w14:textId="7AE5A727" w:rsidR="002509F9" w:rsidRPr="0040503B" w:rsidRDefault="002509F9" w:rsidP="002509F9">
            <w:pPr>
              <w:pStyle w:val="Tablecontent"/>
              <w:jc w:val="center"/>
            </w:pPr>
            <w:r w:rsidRPr="00067E9D">
              <w:t>25.12</w:t>
            </w:r>
          </w:p>
        </w:tc>
      </w:tr>
      <w:tr w:rsidR="002509F9" w14:paraId="5246F565" w14:textId="59A05D8C" w:rsidTr="00781F38">
        <w:trPr>
          <w:jc w:val="center"/>
        </w:trPr>
        <w:tc>
          <w:tcPr>
            <w:tcW w:w="2694" w:type="dxa"/>
          </w:tcPr>
          <w:p w14:paraId="4BEFA30E" w14:textId="06CC9BA5" w:rsidR="002509F9" w:rsidRPr="00FB4FD3" w:rsidRDefault="002509F9" w:rsidP="002509F9">
            <w:pPr>
              <w:pStyle w:val="Tablecontent"/>
              <w:rPr>
                <w:i/>
              </w:rPr>
            </w:pPr>
            <w:r w:rsidRPr="00FB4FD3">
              <w:rPr>
                <w:i/>
              </w:rPr>
              <w:t>Pelecanus crispus</w:t>
            </w:r>
          </w:p>
        </w:tc>
        <w:tc>
          <w:tcPr>
            <w:tcW w:w="992" w:type="dxa"/>
            <w:tcBorders>
              <w:right w:val="single" w:sz="4" w:space="0" w:color="auto"/>
            </w:tcBorders>
          </w:tcPr>
          <w:p w14:paraId="434F3F94" w14:textId="727BB4B2" w:rsidR="002509F9" w:rsidRPr="00E33AE2" w:rsidRDefault="002509F9" w:rsidP="002509F9">
            <w:pPr>
              <w:pStyle w:val="Tablecontent"/>
              <w:jc w:val="center"/>
            </w:pPr>
            <w:r w:rsidRPr="0040503B">
              <w:t>pcri</w:t>
            </w:r>
          </w:p>
        </w:tc>
        <w:tc>
          <w:tcPr>
            <w:tcW w:w="1134" w:type="dxa"/>
            <w:tcBorders>
              <w:left w:val="single" w:sz="4" w:space="0" w:color="auto"/>
            </w:tcBorders>
          </w:tcPr>
          <w:p w14:paraId="0D0A1331" w14:textId="0ED013DE" w:rsidR="002509F9" w:rsidRPr="00E33AE2" w:rsidRDefault="002509F9" w:rsidP="002509F9">
            <w:pPr>
              <w:pStyle w:val="Tablecontent"/>
              <w:jc w:val="center"/>
            </w:pPr>
            <w:r w:rsidRPr="0040503B">
              <w:t>1.73</w:t>
            </w:r>
          </w:p>
        </w:tc>
        <w:tc>
          <w:tcPr>
            <w:tcW w:w="1276" w:type="dxa"/>
          </w:tcPr>
          <w:p w14:paraId="6925051B" w14:textId="5F96E138" w:rsidR="002509F9" w:rsidRPr="00E33AE2" w:rsidRDefault="002509F9" w:rsidP="002509F9">
            <w:pPr>
              <w:pStyle w:val="Tablecontent"/>
              <w:jc w:val="center"/>
            </w:pPr>
            <w:r w:rsidRPr="0040503B">
              <w:t>3.38</w:t>
            </w:r>
          </w:p>
        </w:tc>
        <w:tc>
          <w:tcPr>
            <w:tcW w:w="1134" w:type="dxa"/>
          </w:tcPr>
          <w:p w14:paraId="03AAC2B6" w14:textId="3A4B1CAD" w:rsidR="002509F9" w:rsidRPr="00E33AE2" w:rsidRDefault="002509F9" w:rsidP="002509F9">
            <w:pPr>
              <w:pStyle w:val="Tablecontent"/>
              <w:jc w:val="center"/>
            </w:pPr>
            <w:r w:rsidRPr="0040503B">
              <w:t>3.53</w:t>
            </w:r>
          </w:p>
        </w:tc>
        <w:tc>
          <w:tcPr>
            <w:tcW w:w="1134" w:type="dxa"/>
          </w:tcPr>
          <w:p w14:paraId="7831BAC4" w14:textId="574A77E8" w:rsidR="002509F9" w:rsidRPr="0040503B" w:rsidRDefault="002509F9" w:rsidP="002509F9">
            <w:pPr>
              <w:pStyle w:val="Tablecontent"/>
              <w:jc w:val="center"/>
            </w:pPr>
            <w:r w:rsidRPr="00067E9D">
              <w:t>50.99</w:t>
            </w:r>
          </w:p>
        </w:tc>
      </w:tr>
      <w:tr w:rsidR="002509F9" w14:paraId="558705D3" w14:textId="26D6FB86" w:rsidTr="00781F38">
        <w:trPr>
          <w:jc w:val="center"/>
        </w:trPr>
        <w:tc>
          <w:tcPr>
            <w:tcW w:w="2694" w:type="dxa"/>
          </w:tcPr>
          <w:p w14:paraId="0740FB5C" w14:textId="6E97F1EF" w:rsidR="002509F9" w:rsidRPr="00FB4FD3" w:rsidRDefault="002509F9" w:rsidP="002509F9">
            <w:pPr>
              <w:pStyle w:val="Tablecontent"/>
              <w:rPr>
                <w:i/>
              </w:rPr>
            </w:pPr>
            <w:r w:rsidRPr="00FB4FD3">
              <w:rPr>
                <w:i/>
              </w:rPr>
              <w:t>Picoides pubescens</w:t>
            </w:r>
          </w:p>
        </w:tc>
        <w:tc>
          <w:tcPr>
            <w:tcW w:w="992" w:type="dxa"/>
            <w:tcBorders>
              <w:right w:val="single" w:sz="4" w:space="0" w:color="auto"/>
            </w:tcBorders>
          </w:tcPr>
          <w:p w14:paraId="62F7BFD4" w14:textId="56295CE7" w:rsidR="002509F9" w:rsidRPr="00E33AE2" w:rsidRDefault="002509F9" w:rsidP="002509F9">
            <w:pPr>
              <w:pStyle w:val="Tablecontent"/>
              <w:jc w:val="center"/>
            </w:pPr>
            <w:r w:rsidRPr="0040503B">
              <w:t>ppub</w:t>
            </w:r>
          </w:p>
        </w:tc>
        <w:tc>
          <w:tcPr>
            <w:tcW w:w="1134" w:type="dxa"/>
            <w:tcBorders>
              <w:left w:val="single" w:sz="4" w:space="0" w:color="auto"/>
            </w:tcBorders>
          </w:tcPr>
          <w:p w14:paraId="471946A2" w14:textId="0BDDE629" w:rsidR="002509F9" w:rsidRPr="00E33AE2" w:rsidRDefault="002509F9" w:rsidP="002509F9">
            <w:pPr>
              <w:pStyle w:val="Tablecontent"/>
              <w:jc w:val="center"/>
            </w:pPr>
            <w:r w:rsidRPr="0040503B">
              <w:t>0.59</w:t>
            </w:r>
          </w:p>
        </w:tc>
        <w:tc>
          <w:tcPr>
            <w:tcW w:w="1276" w:type="dxa"/>
          </w:tcPr>
          <w:p w14:paraId="1067ABB6" w14:textId="5AD35702" w:rsidR="002509F9" w:rsidRPr="00E33AE2" w:rsidRDefault="002509F9" w:rsidP="002509F9">
            <w:pPr>
              <w:pStyle w:val="Tablecontent"/>
              <w:jc w:val="center"/>
            </w:pPr>
            <w:r w:rsidRPr="0040503B">
              <w:t>1.13</w:t>
            </w:r>
          </w:p>
        </w:tc>
        <w:tc>
          <w:tcPr>
            <w:tcW w:w="1134" w:type="dxa"/>
          </w:tcPr>
          <w:p w14:paraId="1730884D" w14:textId="78BDD6B1" w:rsidR="002509F9" w:rsidRPr="00E33AE2" w:rsidRDefault="002509F9" w:rsidP="002509F9">
            <w:pPr>
              <w:pStyle w:val="Tablecontent"/>
              <w:jc w:val="center"/>
            </w:pPr>
            <w:r w:rsidRPr="0040503B">
              <w:t>1.37</w:t>
            </w:r>
          </w:p>
        </w:tc>
        <w:tc>
          <w:tcPr>
            <w:tcW w:w="1134" w:type="dxa"/>
          </w:tcPr>
          <w:p w14:paraId="207C0325" w14:textId="5EE6D91E" w:rsidR="002509F9" w:rsidRPr="0040503B" w:rsidRDefault="002509F9" w:rsidP="002509F9">
            <w:pPr>
              <w:pStyle w:val="Tablecontent"/>
              <w:jc w:val="center"/>
            </w:pPr>
            <w:r w:rsidRPr="00067E9D">
              <w:t>56.93</w:t>
            </w:r>
          </w:p>
        </w:tc>
      </w:tr>
      <w:tr w:rsidR="002509F9" w14:paraId="1030DEFA" w14:textId="50917683" w:rsidTr="00781F38">
        <w:trPr>
          <w:jc w:val="center"/>
        </w:trPr>
        <w:tc>
          <w:tcPr>
            <w:tcW w:w="2694" w:type="dxa"/>
          </w:tcPr>
          <w:p w14:paraId="56E300AD" w14:textId="25E244E1" w:rsidR="002509F9" w:rsidRPr="00FB4FD3" w:rsidRDefault="002509F9" w:rsidP="002509F9">
            <w:pPr>
              <w:pStyle w:val="Tablecontent"/>
              <w:rPr>
                <w:i/>
              </w:rPr>
            </w:pPr>
            <w:r w:rsidRPr="00FB4FD3">
              <w:rPr>
                <w:i/>
              </w:rPr>
              <w:t>Pterocles gutturalis</w:t>
            </w:r>
          </w:p>
        </w:tc>
        <w:tc>
          <w:tcPr>
            <w:tcW w:w="992" w:type="dxa"/>
            <w:tcBorders>
              <w:right w:val="single" w:sz="4" w:space="0" w:color="auto"/>
            </w:tcBorders>
          </w:tcPr>
          <w:p w14:paraId="5D9DCEED" w14:textId="747939E3" w:rsidR="002509F9" w:rsidRPr="00E33AE2" w:rsidRDefault="002509F9" w:rsidP="002509F9">
            <w:pPr>
              <w:pStyle w:val="Tablecontent"/>
              <w:jc w:val="center"/>
            </w:pPr>
            <w:r w:rsidRPr="0040503B">
              <w:t>pgut</w:t>
            </w:r>
          </w:p>
        </w:tc>
        <w:tc>
          <w:tcPr>
            <w:tcW w:w="1134" w:type="dxa"/>
            <w:tcBorders>
              <w:left w:val="single" w:sz="4" w:space="0" w:color="auto"/>
            </w:tcBorders>
          </w:tcPr>
          <w:p w14:paraId="0A185163" w14:textId="69AEA49C" w:rsidR="002509F9" w:rsidRPr="00E33AE2" w:rsidRDefault="002509F9" w:rsidP="002509F9">
            <w:pPr>
              <w:pStyle w:val="Tablecontent"/>
              <w:jc w:val="center"/>
            </w:pPr>
            <w:r w:rsidRPr="0040503B">
              <w:t>1.11</w:t>
            </w:r>
          </w:p>
        </w:tc>
        <w:tc>
          <w:tcPr>
            <w:tcW w:w="1276" w:type="dxa"/>
          </w:tcPr>
          <w:p w14:paraId="61F6FD08" w14:textId="6BEDEB48" w:rsidR="002509F9" w:rsidRPr="00E33AE2" w:rsidRDefault="002509F9" w:rsidP="002509F9">
            <w:pPr>
              <w:pStyle w:val="Tablecontent"/>
              <w:jc w:val="center"/>
            </w:pPr>
            <w:r w:rsidRPr="0040503B">
              <w:t>3.97</w:t>
            </w:r>
          </w:p>
        </w:tc>
        <w:tc>
          <w:tcPr>
            <w:tcW w:w="1134" w:type="dxa"/>
          </w:tcPr>
          <w:p w14:paraId="5B561357" w14:textId="2168179A" w:rsidR="002509F9" w:rsidRPr="00E33AE2" w:rsidRDefault="002509F9" w:rsidP="002509F9">
            <w:pPr>
              <w:pStyle w:val="Tablecontent"/>
              <w:jc w:val="center"/>
            </w:pPr>
            <w:r w:rsidRPr="0040503B">
              <w:t>4.27</w:t>
            </w:r>
          </w:p>
        </w:tc>
        <w:tc>
          <w:tcPr>
            <w:tcW w:w="1134" w:type="dxa"/>
          </w:tcPr>
          <w:p w14:paraId="777C51C8" w14:textId="59244BEF" w:rsidR="002509F9" w:rsidRPr="0040503B" w:rsidRDefault="002509F9" w:rsidP="002509F9">
            <w:pPr>
              <w:pStyle w:val="Tablecontent"/>
              <w:jc w:val="center"/>
            </w:pPr>
            <w:r w:rsidRPr="00067E9D">
              <w:t>74.00</w:t>
            </w:r>
          </w:p>
        </w:tc>
      </w:tr>
      <w:tr w:rsidR="002509F9" w14:paraId="0DA15C4A" w14:textId="775A6FD2" w:rsidTr="00781F38">
        <w:trPr>
          <w:jc w:val="center"/>
        </w:trPr>
        <w:tc>
          <w:tcPr>
            <w:tcW w:w="2694" w:type="dxa"/>
          </w:tcPr>
          <w:p w14:paraId="6D6044BA" w14:textId="315E3EE5" w:rsidR="002509F9" w:rsidRPr="00FB4FD3" w:rsidRDefault="002509F9" w:rsidP="002509F9">
            <w:pPr>
              <w:pStyle w:val="Tablecontent"/>
              <w:rPr>
                <w:i/>
              </w:rPr>
            </w:pPr>
            <w:r w:rsidRPr="00FB4FD3">
              <w:rPr>
                <w:i/>
              </w:rPr>
              <w:t>Pygoscelis adeliae</w:t>
            </w:r>
          </w:p>
        </w:tc>
        <w:tc>
          <w:tcPr>
            <w:tcW w:w="992" w:type="dxa"/>
            <w:tcBorders>
              <w:right w:val="single" w:sz="4" w:space="0" w:color="auto"/>
            </w:tcBorders>
          </w:tcPr>
          <w:p w14:paraId="213992F3" w14:textId="079FA9C4" w:rsidR="002509F9" w:rsidRPr="00E33AE2" w:rsidRDefault="002509F9" w:rsidP="002509F9">
            <w:pPr>
              <w:pStyle w:val="Tablecontent"/>
              <w:jc w:val="center"/>
            </w:pPr>
            <w:r w:rsidRPr="0040503B">
              <w:t>pade</w:t>
            </w:r>
          </w:p>
        </w:tc>
        <w:tc>
          <w:tcPr>
            <w:tcW w:w="1134" w:type="dxa"/>
            <w:tcBorders>
              <w:left w:val="single" w:sz="4" w:space="0" w:color="auto"/>
            </w:tcBorders>
          </w:tcPr>
          <w:p w14:paraId="38C74606" w14:textId="13407E20" w:rsidR="002509F9" w:rsidRPr="00E33AE2" w:rsidRDefault="002509F9" w:rsidP="002509F9">
            <w:pPr>
              <w:pStyle w:val="Tablecontent"/>
              <w:jc w:val="center"/>
            </w:pPr>
            <w:r w:rsidRPr="0040503B">
              <w:t>1.28</w:t>
            </w:r>
          </w:p>
        </w:tc>
        <w:tc>
          <w:tcPr>
            <w:tcW w:w="1276" w:type="dxa"/>
          </w:tcPr>
          <w:p w14:paraId="4FD63489" w14:textId="2C3354C3" w:rsidR="002509F9" w:rsidRPr="00E33AE2" w:rsidRDefault="002509F9" w:rsidP="002509F9">
            <w:pPr>
              <w:pStyle w:val="Tablecontent"/>
              <w:jc w:val="center"/>
            </w:pPr>
            <w:r w:rsidRPr="0040503B">
              <w:t>2.56</w:t>
            </w:r>
          </w:p>
        </w:tc>
        <w:tc>
          <w:tcPr>
            <w:tcW w:w="1134" w:type="dxa"/>
          </w:tcPr>
          <w:p w14:paraId="67AA5C3C" w14:textId="48478D16" w:rsidR="002509F9" w:rsidRPr="00E33AE2" w:rsidRDefault="002509F9" w:rsidP="002509F9">
            <w:pPr>
              <w:pStyle w:val="Tablecontent"/>
              <w:jc w:val="center"/>
            </w:pPr>
            <w:r w:rsidRPr="0040503B">
              <w:t>2.69</w:t>
            </w:r>
          </w:p>
        </w:tc>
        <w:tc>
          <w:tcPr>
            <w:tcW w:w="1134" w:type="dxa"/>
          </w:tcPr>
          <w:p w14:paraId="6380C964" w14:textId="6081E936" w:rsidR="002509F9" w:rsidRPr="0040503B" w:rsidRDefault="002509F9" w:rsidP="002509F9">
            <w:pPr>
              <w:pStyle w:val="Tablecontent"/>
              <w:jc w:val="center"/>
            </w:pPr>
            <w:r w:rsidRPr="00067E9D">
              <w:t>52.42</w:t>
            </w:r>
          </w:p>
        </w:tc>
      </w:tr>
      <w:tr w:rsidR="002509F9" w14:paraId="1AB122B7" w14:textId="5EBAF624" w:rsidTr="00781F38">
        <w:trPr>
          <w:jc w:val="center"/>
        </w:trPr>
        <w:tc>
          <w:tcPr>
            <w:tcW w:w="2694" w:type="dxa"/>
          </w:tcPr>
          <w:p w14:paraId="63E87731" w14:textId="7BFC736F" w:rsidR="002509F9" w:rsidRPr="00FB4FD3" w:rsidRDefault="002509F9" w:rsidP="002509F9">
            <w:pPr>
              <w:pStyle w:val="Tablecontent"/>
              <w:rPr>
                <w:i/>
              </w:rPr>
            </w:pPr>
            <w:r w:rsidRPr="00FB4FD3">
              <w:rPr>
                <w:i/>
              </w:rPr>
              <w:t>Struthio camelus australis</w:t>
            </w:r>
          </w:p>
        </w:tc>
        <w:tc>
          <w:tcPr>
            <w:tcW w:w="992" w:type="dxa"/>
            <w:tcBorders>
              <w:right w:val="single" w:sz="4" w:space="0" w:color="auto"/>
            </w:tcBorders>
          </w:tcPr>
          <w:p w14:paraId="68318A4F" w14:textId="1EE55F7D" w:rsidR="002509F9" w:rsidRPr="00E33AE2" w:rsidRDefault="002509F9" w:rsidP="002509F9">
            <w:pPr>
              <w:pStyle w:val="Tablecontent"/>
              <w:jc w:val="center"/>
            </w:pPr>
            <w:r w:rsidRPr="0040503B">
              <w:t>scam</w:t>
            </w:r>
          </w:p>
        </w:tc>
        <w:tc>
          <w:tcPr>
            <w:tcW w:w="1134" w:type="dxa"/>
            <w:tcBorders>
              <w:left w:val="single" w:sz="4" w:space="0" w:color="auto"/>
            </w:tcBorders>
          </w:tcPr>
          <w:p w14:paraId="4F93EE09" w14:textId="608D031E" w:rsidR="002509F9" w:rsidRPr="00E33AE2" w:rsidRDefault="002509F9" w:rsidP="002509F9">
            <w:pPr>
              <w:pStyle w:val="Tablecontent"/>
              <w:jc w:val="center"/>
            </w:pPr>
            <w:r w:rsidRPr="0040503B">
              <w:t>0.17</w:t>
            </w:r>
          </w:p>
        </w:tc>
        <w:tc>
          <w:tcPr>
            <w:tcW w:w="1276" w:type="dxa"/>
          </w:tcPr>
          <w:p w14:paraId="791FBA57" w14:textId="1CBD8565" w:rsidR="002509F9" w:rsidRPr="00E33AE2" w:rsidRDefault="002509F9" w:rsidP="002509F9">
            <w:pPr>
              <w:pStyle w:val="Tablecontent"/>
              <w:jc w:val="center"/>
            </w:pPr>
            <w:r w:rsidRPr="0040503B">
              <w:t>0.36</w:t>
            </w:r>
          </w:p>
        </w:tc>
        <w:tc>
          <w:tcPr>
            <w:tcW w:w="1134" w:type="dxa"/>
          </w:tcPr>
          <w:p w14:paraId="513C8B19" w14:textId="2DB331F5" w:rsidR="002509F9" w:rsidRPr="00E33AE2" w:rsidRDefault="002509F9" w:rsidP="002509F9">
            <w:pPr>
              <w:pStyle w:val="Tablecontent"/>
              <w:jc w:val="center"/>
            </w:pPr>
            <w:r w:rsidRPr="0040503B">
              <w:t>0.48</w:t>
            </w:r>
          </w:p>
        </w:tc>
        <w:tc>
          <w:tcPr>
            <w:tcW w:w="1134" w:type="dxa"/>
          </w:tcPr>
          <w:p w14:paraId="4581A3BC" w14:textId="72DCB134" w:rsidR="002509F9" w:rsidRPr="0040503B" w:rsidRDefault="002509F9" w:rsidP="002509F9">
            <w:pPr>
              <w:pStyle w:val="Tablecontent"/>
              <w:jc w:val="center"/>
            </w:pPr>
            <w:r w:rsidRPr="00067E9D">
              <w:t>64.58</w:t>
            </w:r>
          </w:p>
        </w:tc>
      </w:tr>
      <w:tr w:rsidR="002509F9" w14:paraId="7590F79F" w14:textId="19734947" w:rsidTr="00781F38">
        <w:trPr>
          <w:jc w:val="center"/>
        </w:trPr>
        <w:tc>
          <w:tcPr>
            <w:tcW w:w="2694" w:type="dxa"/>
          </w:tcPr>
          <w:p w14:paraId="37F75961" w14:textId="4E905BAB" w:rsidR="002509F9" w:rsidRPr="00FB4FD3" w:rsidRDefault="002509F9" w:rsidP="002509F9">
            <w:pPr>
              <w:pStyle w:val="Tablecontent"/>
              <w:rPr>
                <w:i/>
              </w:rPr>
            </w:pPr>
            <w:r w:rsidRPr="00FB4FD3">
              <w:rPr>
                <w:i/>
              </w:rPr>
              <w:t>Taniopygia guttata</w:t>
            </w:r>
          </w:p>
        </w:tc>
        <w:tc>
          <w:tcPr>
            <w:tcW w:w="992" w:type="dxa"/>
            <w:tcBorders>
              <w:right w:val="single" w:sz="4" w:space="0" w:color="auto"/>
            </w:tcBorders>
          </w:tcPr>
          <w:p w14:paraId="272C9D08" w14:textId="13199CE5" w:rsidR="002509F9" w:rsidRPr="00E33AE2" w:rsidRDefault="002509F9" w:rsidP="002509F9">
            <w:pPr>
              <w:pStyle w:val="Tablecontent"/>
              <w:jc w:val="center"/>
            </w:pPr>
            <w:r w:rsidRPr="0040503B">
              <w:t>tgua</w:t>
            </w:r>
          </w:p>
        </w:tc>
        <w:tc>
          <w:tcPr>
            <w:tcW w:w="1134" w:type="dxa"/>
            <w:tcBorders>
              <w:left w:val="single" w:sz="4" w:space="0" w:color="auto"/>
            </w:tcBorders>
          </w:tcPr>
          <w:p w14:paraId="320095EB" w14:textId="58A4B4A3" w:rsidR="002509F9" w:rsidRPr="00E33AE2" w:rsidRDefault="002509F9" w:rsidP="002509F9">
            <w:pPr>
              <w:pStyle w:val="Tablecontent"/>
              <w:jc w:val="center"/>
            </w:pPr>
            <w:r w:rsidRPr="0040503B">
              <w:t>3.54</w:t>
            </w:r>
          </w:p>
        </w:tc>
        <w:tc>
          <w:tcPr>
            <w:tcW w:w="1276" w:type="dxa"/>
          </w:tcPr>
          <w:p w14:paraId="69CFD388" w14:textId="41B2BAF0" w:rsidR="002509F9" w:rsidRPr="00E33AE2" w:rsidRDefault="002509F9" w:rsidP="002509F9">
            <w:pPr>
              <w:pStyle w:val="Tablecontent"/>
              <w:jc w:val="center"/>
            </w:pPr>
            <w:r w:rsidRPr="0040503B">
              <w:t>2.07</w:t>
            </w:r>
          </w:p>
        </w:tc>
        <w:tc>
          <w:tcPr>
            <w:tcW w:w="1134" w:type="dxa"/>
          </w:tcPr>
          <w:p w14:paraId="0D51E064" w14:textId="00BA6E58" w:rsidR="002509F9" w:rsidRPr="00E33AE2" w:rsidRDefault="002509F9" w:rsidP="002509F9">
            <w:pPr>
              <w:pStyle w:val="Tablecontent"/>
              <w:jc w:val="center"/>
            </w:pPr>
            <w:r w:rsidRPr="0040503B">
              <w:t>4.94</w:t>
            </w:r>
          </w:p>
        </w:tc>
        <w:tc>
          <w:tcPr>
            <w:tcW w:w="1134" w:type="dxa"/>
          </w:tcPr>
          <w:p w14:paraId="76CEE46F" w14:textId="17870A02" w:rsidR="002509F9" w:rsidRPr="0040503B" w:rsidRDefault="002509F9" w:rsidP="002509F9">
            <w:pPr>
              <w:pStyle w:val="Tablecontent"/>
              <w:jc w:val="center"/>
            </w:pPr>
            <w:r w:rsidRPr="00067E9D">
              <w:t>28.34</w:t>
            </w:r>
          </w:p>
        </w:tc>
      </w:tr>
      <w:tr w:rsidR="000C4E0D" w14:paraId="25F167E8" w14:textId="77777777" w:rsidTr="00781F38">
        <w:trPr>
          <w:jc w:val="center"/>
        </w:trPr>
        <w:tc>
          <w:tcPr>
            <w:tcW w:w="2694" w:type="dxa"/>
          </w:tcPr>
          <w:p w14:paraId="39AC2F81" w14:textId="38D33D0D" w:rsidR="000C4E0D" w:rsidRPr="00FB4FD3" w:rsidRDefault="000C4E0D" w:rsidP="000C4E0D">
            <w:pPr>
              <w:pStyle w:val="Tablecontent"/>
              <w:rPr>
                <w:i/>
              </w:rPr>
            </w:pPr>
            <w:r w:rsidRPr="00FB4FD3">
              <w:rPr>
                <w:i/>
              </w:rPr>
              <w:t>Tinamus guttatus</w:t>
            </w:r>
          </w:p>
        </w:tc>
        <w:tc>
          <w:tcPr>
            <w:tcW w:w="992" w:type="dxa"/>
            <w:tcBorders>
              <w:right w:val="single" w:sz="4" w:space="0" w:color="auto"/>
            </w:tcBorders>
          </w:tcPr>
          <w:p w14:paraId="1DA72D79" w14:textId="1AD9F1F8" w:rsidR="000C4E0D" w:rsidRPr="0040503B" w:rsidRDefault="000C4E0D" w:rsidP="000C4E0D">
            <w:pPr>
              <w:pStyle w:val="Tablecontent"/>
              <w:jc w:val="center"/>
            </w:pPr>
            <w:r w:rsidRPr="0040503B">
              <w:t>tgus</w:t>
            </w:r>
          </w:p>
        </w:tc>
        <w:tc>
          <w:tcPr>
            <w:tcW w:w="1134" w:type="dxa"/>
            <w:tcBorders>
              <w:left w:val="single" w:sz="4" w:space="0" w:color="auto"/>
            </w:tcBorders>
          </w:tcPr>
          <w:p w14:paraId="31884AFB" w14:textId="36246D31" w:rsidR="000C4E0D" w:rsidRPr="0040503B" w:rsidRDefault="000C4E0D" w:rsidP="000C4E0D">
            <w:pPr>
              <w:pStyle w:val="Tablecontent"/>
              <w:jc w:val="center"/>
            </w:pPr>
            <w:r w:rsidRPr="0040503B">
              <w:t>0.21</w:t>
            </w:r>
          </w:p>
        </w:tc>
        <w:tc>
          <w:tcPr>
            <w:tcW w:w="1276" w:type="dxa"/>
          </w:tcPr>
          <w:p w14:paraId="54B158B9" w14:textId="2E7DD030" w:rsidR="000C4E0D" w:rsidRPr="0040503B" w:rsidRDefault="000C4E0D" w:rsidP="000C4E0D">
            <w:pPr>
              <w:pStyle w:val="Tablecontent"/>
              <w:jc w:val="center"/>
            </w:pPr>
            <w:r w:rsidRPr="0040503B">
              <w:t>0.49</w:t>
            </w:r>
          </w:p>
        </w:tc>
        <w:tc>
          <w:tcPr>
            <w:tcW w:w="1134" w:type="dxa"/>
          </w:tcPr>
          <w:p w14:paraId="32A58D5F" w14:textId="2BA87DAE" w:rsidR="000C4E0D" w:rsidRPr="0040503B" w:rsidRDefault="000C4E0D" w:rsidP="000C4E0D">
            <w:pPr>
              <w:pStyle w:val="Tablecontent"/>
              <w:jc w:val="center"/>
            </w:pPr>
            <w:r w:rsidRPr="0040503B">
              <w:t>0.61</w:t>
            </w:r>
          </w:p>
        </w:tc>
        <w:tc>
          <w:tcPr>
            <w:tcW w:w="1134" w:type="dxa"/>
          </w:tcPr>
          <w:p w14:paraId="142D3906" w14:textId="79EA578C" w:rsidR="000C4E0D" w:rsidRPr="00067E9D" w:rsidRDefault="000C4E0D" w:rsidP="000C4E0D">
            <w:pPr>
              <w:pStyle w:val="Tablecontent"/>
              <w:jc w:val="center"/>
            </w:pPr>
            <w:r w:rsidRPr="00067E9D">
              <w:t>65.57</w:t>
            </w:r>
          </w:p>
        </w:tc>
      </w:tr>
      <w:tr w:rsidR="002509F9" w14:paraId="2D96EED2" w14:textId="7A1E66A3" w:rsidTr="00781F38">
        <w:trPr>
          <w:jc w:val="center"/>
        </w:trPr>
        <w:tc>
          <w:tcPr>
            <w:tcW w:w="2694" w:type="dxa"/>
            <w:tcBorders>
              <w:bottom w:val="single" w:sz="4" w:space="0" w:color="auto"/>
            </w:tcBorders>
          </w:tcPr>
          <w:p w14:paraId="5578860C" w14:textId="0C17ADA5" w:rsidR="002509F9" w:rsidRPr="00FB4FD3" w:rsidRDefault="000C4E0D" w:rsidP="002509F9">
            <w:pPr>
              <w:pStyle w:val="Tablecontent"/>
              <w:rPr>
                <w:i/>
              </w:rPr>
            </w:pPr>
            <w:r>
              <w:rPr>
                <w:i/>
              </w:rPr>
              <w:t>Tyto alba</w:t>
            </w:r>
          </w:p>
        </w:tc>
        <w:tc>
          <w:tcPr>
            <w:tcW w:w="992" w:type="dxa"/>
            <w:tcBorders>
              <w:bottom w:val="single" w:sz="4" w:space="0" w:color="auto"/>
              <w:right w:val="single" w:sz="4" w:space="0" w:color="auto"/>
            </w:tcBorders>
          </w:tcPr>
          <w:p w14:paraId="0BBB5ACC" w14:textId="3A1F3153" w:rsidR="002509F9" w:rsidRPr="00E33AE2" w:rsidRDefault="000C4E0D" w:rsidP="002509F9">
            <w:pPr>
              <w:pStyle w:val="Tablecontent"/>
              <w:jc w:val="center"/>
            </w:pPr>
            <w:r>
              <w:t>talb</w:t>
            </w:r>
          </w:p>
        </w:tc>
        <w:tc>
          <w:tcPr>
            <w:tcW w:w="1134" w:type="dxa"/>
            <w:tcBorders>
              <w:left w:val="single" w:sz="4" w:space="0" w:color="auto"/>
              <w:bottom w:val="single" w:sz="4" w:space="0" w:color="auto"/>
            </w:tcBorders>
          </w:tcPr>
          <w:p w14:paraId="799292C5" w14:textId="2825DA7A" w:rsidR="002509F9" w:rsidRPr="00E33AE2" w:rsidRDefault="000C4E0D" w:rsidP="002509F9">
            <w:pPr>
              <w:pStyle w:val="Tablecontent"/>
              <w:jc w:val="center"/>
            </w:pPr>
            <w:r>
              <w:t>1.51</w:t>
            </w:r>
          </w:p>
        </w:tc>
        <w:tc>
          <w:tcPr>
            <w:tcW w:w="1276" w:type="dxa"/>
            <w:tcBorders>
              <w:bottom w:val="single" w:sz="4" w:space="0" w:color="auto"/>
            </w:tcBorders>
          </w:tcPr>
          <w:p w14:paraId="58597477" w14:textId="4D8E3CCB" w:rsidR="002509F9" w:rsidRPr="00E33AE2" w:rsidRDefault="000C4E0D" w:rsidP="002509F9">
            <w:pPr>
              <w:pStyle w:val="Tablecontent"/>
              <w:jc w:val="center"/>
            </w:pPr>
            <w:r>
              <w:t>2.09</w:t>
            </w:r>
          </w:p>
        </w:tc>
        <w:tc>
          <w:tcPr>
            <w:tcW w:w="1134" w:type="dxa"/>
            <w:tcBorders>
              <w:bottom w:val="single" w:sz="4" w:space="0" w:color="auto"/>
            </w:tcBorders>
          </w:tcPr>
          <w:p w14:paraId="1B4F9BCF" w14:textId="4E7DE9F9" w:rsidR="002509F9" w:rsidRPr="00E33AE2" w:rsidRDefault="000C4E0D" w:rsidP="002509F9">
            <w:pPr>
              <w:pStyle w:val="Tablecontent"/>
              <w:jc w:val="center"/>
            </w:pPr>
            <w:r>
              <w:t>2.67</w:t>
            </w:r>
          </w:p>
        </w:tc>
        <w:tc>
          <w:tcPr>
            <w:tcW w:w="1134" w:type="dxa"/>
            <w:tcBorders>
              <w:bottom w:val="single" w:sz="4" w:space="0" w:color="auto"/>
            </w:tcBorders>
          </w:tcPr>
          <w:p w14:paraId="7B548634" w14:textId="12358DF5" w:rsidR="002509F9" w:rsidRPr="0040503B" w:rsidRDefault="000C4E0D" w:rsidP="002509F9">
            <w:pPr>
              <w:pStyle w:val="Tablecontent"/>
              <w:jc w:val="center"/>
            </w:pPr>
            <w:r>
              <w:t>43.45</w:t>
            </w:r>
          </w:p>
        </w:tc>
      </w:tr>
    </w:tbl>
    <w:p w14:paraId="1AB86852" w14:textId="33FC63B7" w:rsidR="009703FC" w:rsidRPr="00316AF4" w:rsidRDefault="009703FC" w:rsidP="00391005">
      <w:pPr>
        <w:pStyle w:val="ListParagraph"/>
      </w:pPr>
    </w:p>
    <w:p w14:paraId="6D35EF7C" w14:textId="60C8D60B" w:rsidR="009703FC" w:rsidRDefault="004D53AB" w:rsidP="00781F38">
      <w:pPr>
        <w:pStyle w:val="ListParagraph"/>
        <w:jc w:val="center"/>
      </w:pPr>
      <w:r>
        <w:rPr>
          <w:noProof/>
          <w:lang w:eastAsia="en-GB"/>
        </w:rPr>
        <w:lastRenderedPageBreak/>
        <w:drawing>
          <wp:inline distT="0" distB="0" distL="0" distR="0" wp14:anchorId="60780C38" wp14:editId="4AC635D0">
            <wp:extent cx="5162303" cy="6176010"/>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11755"/>
                    <a:stretch/>
                  </pic:blipFill>
                  <pic:spPr bwMode="auto">
                    <a:xfrm>
                      <a:off x="0" y="0"/>
                      <a:ext cx="5164307" cy="6178407"/>
                    </a:xfrm>
                    <a:prstGeom prst="rect">
                      <a:avLst/>
                    </a:prstGeom>
                    <a:noFill/>
                    <a:ln>
                      <a:noFill/>
                    </a:ln>
                    <a:extLst>
                      <a:ext uri="{53640926-AAD7-44D8-BBD7-CCE9431645EC}">
                        <a14:shadowObscured xmlns:a14="http://schemas.microsoft.com/office/drawing/2010/main"/>
                      </a:ext>
                    </a:extLst>
                  </pic:spPr>
                </pic:pic>
              </a:graphicData>
            </a:graphic>
          </wp:inline>
        </w:drawing>
      </w:r>
    </w:p>
    <w:p w14:paraId="0251F102" w14:textId="3FAFD45F" w:rsidR="009703FC" w:rsidRDefault="009703FC" w:rsidP="009703FC">
      <w:pPr>
        <w:pStyle w:val="Figure"/>
      </w:pPr>
      <w:bookmarkStart w:id="285" w:name="_Ref482106745"/>
      <w:bookmarkStart w:id="286" w:name="_Ref482118197"/>
      <w:bookmarkStart w:id="287" w:name="_Toc486785438"/>
      <w:r>
        <w:t xml:space="preserve">Figure </w:t>
      </w:r>
      <w:fldSimple w:instr=" STYLEREF 1 \s " w:fldLock="1">
        <w:r w:rsidR="002C549C">
          <w:rPr>
            <w:noProof/>
          </w:rPr>
          <w:t>4</w:t>
        </w:r>
      </w:fldSimple>
      <w:r w:rsidR="001167C6">
        <w:t>.</w:t>
      </w:r>
      <w:fldSimple w:instr=" SEQ Figure \* ARABIC \s 1 " w:fldLock="1">
        <w:r w:rsidR="002C549C">
          <w:rPr>
            <w:noProof/>
          </w:rPr>
          <w:t>3</w:t>
        </w:r>
      </w:fldSimple>
      <w:bookmarkEnd w:id="285"/>
      <w:r>
        <w:t xml:space="preserve"> </w:t>
      </w:r>
      <w:r w:rsidRPr="009703FC">
        <w:t>LTR retrotransposon genome content across the Avian lineage. This cladogram shows twenty species from the three major lineages of birds and two outgroup species: the Carolina anole and the Western painted turtle. The LTR (%) column shows the relative proportion of the genome annotated as LTR retrotransposon by the combined RepeatMasker protocol. The third column gives the genome size in gigabase pairs (Gbp). The fourth and fifth columns are indicative measures for assembly quality: the scaffold N50 in megabase pairs, and the contig N50 in kilobase pairs. The cladogram was constructed based on published avian phylogenie</w:t>
      </w:r>
      <w:r>
        <w:t xml:space="preserve">s </w:t>
      </w:r>
      <w:r>
        <w:fldChar w:fldCharType="begin" w:fldLock="1"/>
      </w:r>
      <w:r w:rsidR="00F710ED">
        <w:instrText>ADDIN CSL_CITATION { "citationItems" : [ { "id" : "ITEM-1", "itemData" : { "DOI" : "10.1186/s13742-014-0038-1", "ISSN" : "2047-217X", "PMID" : "25741440", "abstract" : "BACKGROUND: Determining the evolutionary relationships among the major lineages of extant birds has been one of the biggest challenges in systematic biology. To address this challenge, we assembled or collected the genomes of 48 avian species spanning most orders of birds, including all Neognathae and two of the five Palaeognathae orders. We used these genomes to construct a genome-scale avian phylogenetic tree and perform comparative genomic analyses.\n\nFINDINGS: Here we present the datasets associated with the phylogenomic analyses, which include sequence alignment files consisting of nucleotides, amino acids, indels, and transposable elements, as well as tree files containing gene trees and species trees. Inferring an accurate phylogeny required generating: 1) A well annotated data set across species based on genome synteny; 2) Alignments with unaligned or incorrectly overaligned sequences filtered out; and 3) Diverse data sets, including genes and their inferred trees, indels, and transposable elements. Our total evidence nucleotide tree (TENT) data set (consisting of exons, introns, and UCEs) gave what we consider our most reliable species tree when using the concatenation-based ExaML algorithm or when using statistical binning with the coalescence-based MP-EST algorithm (which we refer to as MP-EST*). Other data sets, such as the coding sequence of some exons, revealed other properties of genome evolution, namely convergence.\n\nCONCLUSIONS: The Avian Phylogenomics Project is the largest vertebrate phylogenomics project to date that we are aware of. The sequence, alignment, and tree data are expected to accelerate analyses in phylogenomics and other related areas.", "author" : [ { "dropping-particle" : "", "family" : "Jarvis", "given" : "Erich D", "non-dropping-particle" : "", "parse-names" : false, "suffix" : "" }, { "dropping-particle" : "", "family" : "Mirarab", "given" : "Siavash", "non-dropping-particle" : "", "parse-names" : false, "suffix" : "" }, { "dropping-particle" : "", "family" : "Aberer", "given" : "Andre J", "non-dropping-particle" : "", "parse-names" : false, "suffix" : "" }, { "dropping-particle" : "", "family" : "Li", "given" : "Bo", "non-dropping-particle" : "", "parse-names" : false, "suffix" : "" }, { "dropping-particle" : "", "family" : "Houde", "given" : "Peter", "non-dropping-particle" : "", "parse-names" : false, "suffix" : "" }, { "dropping-particle" : "", "family" : "Li", "given" : "Cai", "non-dropping-particle" : "", "parse-names" : false, "suffix" : "" }, { "dropping-particle" : "", "family" : "Ho", "given" : "Simon Y W", "non-dropping-particle" : "", "parse-names" : false, "suffix" : "" }, { "dropping-particle" : "", "family" : "Faircloth", "given" : "Brant C", "non-dropping-particle" : "", "parse-names" : false, "suffix" : "" }, { "dropping-particle" : "", "family" : "Nabholz", "given" : "Benoit", "non-dropping-particle" : "", "parse-names" : false, "suffix" : "" }, { "dropping-particle" : "", "family" : "Howard", "given" : "Jason T", "non-dropping-particle" : "", "parse-names" : false, "suffix" : "" }, { "dropping-particle" : "", "family" : "Suh", "given" : "Alexander", "non-dropping-particle" : "", "parse-names" : false, "suffix" : "" }, { "dropping-particle" : "", "family" : "Weber", "given" : "Claudia C", "non-dropping-particle" : "", "parse-names" : false, "suffix" : "" }, { "dropping-particle" : "", "family" : "Fonseca", "given" : "Rute R", "non-dropping-particle" : "da", "parse-names" : false, "suffix" : "" }, { "dropping-particle" : "", "family" : "Alfaro-N\u00fa\u00f1ez", "given" : "Alonzo", "non-dropping-particle" : "", "parse-names" : false, "suffix" : "" }, { "dropping-particle" : "", "family" : "Narula", "given" : "Nitish", "non-dropping-particle" : "", "parse-names" : false, "suffix" : "" }, { "dropping-particle" : "", "family" : "Liu", "given" : "Liang", "non-dropping-particle" : "", "parse-names" : false, "suffix" : "" }, { "dropping-particle" : "", "family" : "Burt", "given" : "Dave", "non-dropping-particle" : "", "parse-names" : false, "suffix" : "" }, { "dropping-particle" : "", "family" : "Ellegren", "given" : "Hans", "non-dropping-particle" : "", "parse-names" : false, "suffix" : "" }, { "dropping-particle" : "V", "family" : "Edwards", "given" : "Scott", "non-dropping-particle" : "", "parse-names" : false, "suffix" : "" }, { "dropping-particle" : "", "family" : "Stamatakis", "given" : "Alexandros", "non-dropping-particle" : "", "parse-names" : false, "suffix" : "" }, { "dropping-particle" : "", "family" : "Mindell", "given" : "David P", "non-dropping-particle" : "", "parse-names" : false, "suffix" : "" }, { "dropping-particle" : "", "family" : "Cracraft", "given" : "Joel", "non-dropping-particle" : "", "parse-names" : false, "suffix" : "" }, { "dropping-particle" : "", "family" : "Braun", "given" : "Edward L", "non-dropping-particle" : "", "parse-names" : false, "suffix" : "" }, { "dropping-particle" : "", "family" : "Warnow", "given" : "Tandy", "non-dropping-particle" : "", "parse-names" : false, "suffix" : "" }, { "dropping-particle" : "", "family" : "Jun", "given" : "Wang", "non-dropping-particle" : "", "parse-names" : false, "suffix" : "" }, { "dropping-particle" : "", "family" : "Gilbert", "given" : "M Thomas Pius", "non-dropping-particle" : "", "parse-names" : false, "suffix" : "" }, { "dropping-particle" : "", "family" : "Zhang", "given" : "Guojie", "non-dropping-particle" : "", "parse-names" : false, "suffix" : "" } ], "container-title" : "GigaScience", "id" : "ITEM-1", "issued" : { "date-parts" : [ [ "2015", "1" ] ] }, "page" : "4", "title" : "Phylogenomic analyses data of the avian phylogenomics project.", "type" : "article-journal", "volume" : "4" }, "uris" : [ "http://www.mendeley.com/documents/?uuid=33220b9a-56fc-4d42-b581-e4eb2b63ca4b" ] }, { "id" : "ITEM-2", "itemData" : { "DOI" : "10.1111/zsc.12213", "ISSN" : "14636409", "author" : [ { "dropping-particle" : "", "family" : "Suh", "given" : "Alexander", "non-dropping-particle" : "", "parse-names" : false, "suffix" : "" } ], "container-title" : "Zoologica Scripta", "id" : "ITEM-2", "issue" : "October", "issued" : { "date-parts" : [ [ "2016" ] ] }, "page" : "50-62", "title" : "The phylogenomic forest of bird trees contains a hard polytomy at the root of Neoaves", "type" : "article-journal", "volume" : "45" }, "uris" : [ "http://www.mendeley.com/documents/?uuid=c693cb77-1f94-43e1-94bd-65908eba3671" ] } ], "mendeley" : { "formattedCitation" : "(Jarvis et al. 2015; Suh 2016)", "plainTextFormattedCitation" : "(Jarvis et al. 2015; Suh 2016)", "previouslyFormattedCitation" : "(Jarvis et al. 2015; Suh 2016)" }, "properties" : { "noteIndex" : 0 }, "schema" : "https://github.com/citation-style-language/schema/raw/master/csl-citation.json" }</w:instrText>
      </w:r>
      <w:r>
        <w:fldChar w:fldCharType="separate"/>
      </w:r>
      <w:r w:rsidRPr="009703FC">
        <w:rPr>
          <w:noProof/>
        </w:rPr>
        <w:t>(Jarvis et al. 2015; Suh 2016)</w:t>
      </w:r>
      <w:r>
        <w:fldChar w:fldCharType="end"/>
      </w:r>
      <w:r w:rsidRPr="009703FC">
        <w:t>. Species names are</w:t>
      </w:r>
      <w:r w:rsidR="002509F9">
        <w:t xml:space="preserve"> given as four letter codes which were defined above in </w:t>
      </w:r>
      <w:r w:rsidR="002509F9">
        <w:fldChar w:fldCharType="begin" w:fldLock="1"/>
      </w:r>
      <w:r w:rsidR="002509F9">
        <w:instrText xml:space="preserve"> REF _Ref482106131 \h </w:instrText>
      </w:r>
      <w:r w:rsidR="002509F9">
        <w:fldChar w:fldCharType="separate"/>
      </w:r>
      <w:r w:rsidR="002C549C">
        <w:t xml:space="preserve">Table </w:t>
      </w:r>
      <w:r w:rsidR="002C549C">
        <w:rPr>
          <w:noProof/>
        </w:rPr>
        <w:t>4</w:t>
      </w:r>
      <w:r w:rsidR="002C549C">
        <w:t>.</w:t>
      </w:r>
      <w:r w:rsidR="002C549C">
        <w:rPr>
          <w:noProof/>
        </w:rPr>
        <w:t>6</w:t>
      </w:r>
      <w:r w:rsidR="002509F9">
        <w:fldChar w:fldCharType="end"/>
      </w:r>
      <w:r w:rsidR="002509F9">
        <w:t>.</w:t>
      </w:r>
      <w:bookmarkEnd w:id="286"/>
      <w:bookmarkEnd w:id="287"/>
      <w:r w:rsidRPr="009703FC">
        <w:t xml:space="preserve"> </w:t>
      </w:r>
    </w:p>
    <w:p w14:paraId="536D6A57" w14:textId="7C793339" w:rsidR="001E3274" w:rsidRDefault="00D02934" w:rsidP="00781F38">
      <w:pPr>
        <w:pStyle w:val="ListParagraph"/>
        <w:jc w:val="center"/>
      </w:pPr>
      <w:r>
        <w:rPr>
          <w:noProof/>
          <w:lang w:eastAsia="en-GB"/>
        </w:rPr>
        <w:lastRenderedPageBreak/>
        <w:drawing>
          <wp:inline distT="0" distB="0" distL="0" distR="0" wp14:anchorId="60492780" wp14:editId="0130EA03">
            <wp:extent cx="5196487" cy="435634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1164" t="1203" r="1064"/>
                    <a:stretch/>
                  </pic:blipFill>
                  <pic:spPr bwMode="auto">
                    <a:xfrm>
                      <a:off x="0" y="0"/>
                      <a:ext cx="5200945" cy="4360077"/>
                    </a:xfrm>
                    <a:prstGeom prst="rect">
                      <a:avLst/>
                    </a:prstGeom>
                    <a:noFill/>
                    <a:ln>
                      <a:noFill/>
                    </a:ln>
                    <a:extLst>
                      <a:ext uri="{53640926-AAD7-44D8-BBD7-CCE9431645EC}">
                        <a14:shadowObscured xmlns:a14="http://schemas.microsoft.com/office/drawing/2010/main"/>
                      </a:ext>
                    </a:extLst>
                  </pic:spPr>
                </pic:pic>
              </a:graphicData>
            </a:graphic>
          </wp:inline>
        </w:drawing>
      </w:r>
    </w:p>
    <w:p w14:paraId="067BD8C5" w14:textId="3B686935" w:rsidR="00BB5A5C" w:rsidRDefault="001E3274" w:rsidP="00D35DF8">
      <w:pPr>
        <w:pStyle w:val="Figure"/>
      </w:pPr>
      <w:bookmarkStart w:id="288" w:name="_Ref482118933"/>
      <w:bookmarkStart w:id="289" w:name="_Ref482118928"/>
      <w:bookmarkStart w:id="290" w:name="_Toc486785439"/>
      <w:r>
        <w:t xml:space="preserve">Figure </w:t>
      </w:r>
      <w:fldSimple w:instr=" STYLEREF 1 \s " w:fldLock="1">
        <w:r w:rsidR="002C549C">
          <w:rPr>
            <w:noProof/>
          </w:rPr>
          <w:t>4</w:t>
        </w:r>
      </w:fldSimple>
      <w:r w:rsidR="001167C6">
        <w:t>.</w:t>
      </w:r>
      <w:fldSimple w:instr=" SEQ Figure \* ARABIC \s 1 " w:fldLock="1">
        <w:r w:rsidR="002C549C">
          <w:rPr>
            <w:noProof/>
          </w:rPr>
          <w:t>4</w:t>
        </w:r>
      </w:fldSimple>
      <w:bookmarkEnd w:id="288"/>
      <w:r>
        <w:t xml:space="preserve"> Scatter plots showing the absence of correlations between identified LTR retrotransposon content (%), genome size and genome quality. A) LTR</w:t>
      </w:r>
      <w:r w:rsidR="001043DB">
        <w:t xml:space="preserve"> content against</w:t>
      </w:r>
      <w:r>
        <w:t xml:space="preserve"> genome size </w:t>
      </w:r>
      <w:r w:rsidR="001043DB">
        <w:t xml:space="preserve">including the </w:t>
      </w:r>
      <w:r w:rsidR="006140BF">
        <w:t xml:space="preserve">outlier </w:t>
      </w:r>
      <w:r w:rsidR="001043DB">
        <w:t xml:space="preserve">larger reptile genomes </w:t>
      </w:r>
      <w:r>
        <w:t xml:space="preserve">(r = </w:t>
      </w:r>
      <w:r w:rsidR="00C7660B">
        <w:t>0.31</w:t>
      </w:r>
      <w:r>
        <w:t>; P = 0.160). B) LTR</w:t>
      </w:r>
      <w:r w:rsidR="001043DB">
        <w:t xml:space="preserve"> content against avian</w:t>
      </w:r>
      <w:r>
        <w:t xml:space="preserve"> genome size (r = -</w:t>
      </w:r>
      <w:r w:rsidR="00C7660B">
        <w:t>0.05</w:t>
      </w:r>
      <w:r>
        <w:t>; P = 0.821). C) LTR</w:t>
      </w:r>
      <w:r w:rsidR="001043DB">
        <w:t xml:space="preserve"> content against</w:t>
      </w:r>
      <w:r>
        <w:t xml:space="preserve"> scaffold N50 length (r = </w:t>
      </w:r>
      <w:r w:rsidR="00C7660B">
        <w:t>0.12</w:t>
      </w:r>
      <w:r>
        <w:t>; P = 0.584). D) LTR</w:t>
      </w:r>
      <w:r w:rsidR="001043DB">
        <w:t xml:space="preserve"> content against</w:t>
      </w:r>
      <w:r>
        <w:t xml:space="preserve"> contig N50</w:t>
      </w:r>
      <w:r w:rsidR="001043DB">
        <w:t xml:space="preserve"> (r = 0.16; P = 0.482). The chicken value was excluded from this last correlation as its</w:t>
      </w:r>
      <w:r>
        <w:t xml:space="preserve"> contig N50 </w:t>
      </w:r>
      <w:r w:rsidR="001043DB">
        <w:t xml:space="preserve">was </w:t>
      </w:r>
      <w:r>
        <w:t>eighty-fold</w:t>
      </w:r>
      <w:r w:rsidR="00781F38">
        <w:t xml:space="preserve"> greater than the average N50 value</w:t>
      </w:r>
      <w:r w:rsidR="000D072F">
        <w:t xml:space="preserve"> of the</w:t>
      </w:r>
      <w:r>
        <w:t xml:space="preserve"> other genomes.</w:t>
      </w:r>
      <w:bookmarkEnd w:id="289"/>
      <w:bookmarkEnd w:id="290"/>
    </w:p>
    <w:p w14:paraId="477F480F" w14:textId="77777777" w:rsidR="00781F38" w:rsidRPr="00781F38" w:rsidRDefault="00781F38" w:rsidP="00781F38">
      <w:pPr>
        <w:pStyle w:val="ListParagraph"/>
        <w:rPr>
          <w:sz w:val="2"/>
        </w:rPr>
      </w:pPr>
    </w:p>
    <w:p w14:paraId="3BEC50D8" w14:textId="72A4D87C" w:rsidR="00BB5A5C" w:rsidRDefault="00BB5A5C" w:rsidP="00BB5A5C">
      <w:pPr>
        <w:pStyle w:val="Heading3"/>
      </w:pPr>
      <w:bookmarkStart w:id="291" w:name="_Toc485721613"/>
      <w:bookmarkStart w:id="292" w:name="_Toc486787193"/>
      <w:bookmarkStart w:id="293" w:name="_Toc486787341"/>
      <w:r>
        <w:t>LocaTR analysis of the avian lineage</w:t>
      </w:r>
      <w:bookmarkEnd w:id="291"/>
      <w:bookmarkEnd w:id="292"/>
      <w:bookmarkEnd w:id="293"/>
    </w:p>
    <w:p w14:paraId="03C5E0DD" w14:textId="21E0EF9F" w:rsidR="0052660B" w:rsidRDefault="001A3AAB" w:rsidP="00391005">
      <w:pPr>
        <w:pStyle w:val="ListParagraph"/>
      </w:pPr>
      <w:r>
        <w:t xml:space="preserve">LTR retrotransposons were identified in sixty-seven avian genomes and six reptilian outgroups. Total LTR retrotransposon content ranged from 0.48 – 9.03 %, with a mean value of 2.68 % and a median of 2.09 %. </w:t>
      </w:r>
      <w:r w:rsidR="0052660B">
        <w:t xml:space="preserve">Five of </w:t>
      </w:r>
      <w:r w:rsidR="00164905">
        <w:t xml:space="preserve">the </w:t>
      </w:r>
      <w:r w:rsidR="0052660B">
        <w:t>repti</w:t>
      </w:r>
      <w:r w:rsidR="00781F38">
        <w:t>les exhibited</w:t>
      </w:r>
      <w:r>
        <w:t xml:space="preserve"> the five largest contents, with </w:t>
      </w:r>
      <w:r>
        <w:rPr>
          <w:i/>
        </w:rPr>
        <w:t>Python bivittatus</w:t>
      </w:r>
      <w:r>
        <w:t xml:space="preserve"> (pbiv) the thirteenth </w:t>
      </w:r>
      <w:r w:rsidR="0052660B">
        <w:t>largest</w:t>
      </w:r>
      <w:r>
        <w:t xml:space="preserve"> (4.29 %). Among the avian genomes, the maximum annotated content was 4.77 % in </w:t>
      </w:r>
      <w:r>
        <w:rPr>
          <w:i/>
        </w:rPr>
        <w:t>Colius striatus</w:t>
      </w:r>
      <w:r w:rsidR="0052660B">
        <w:rPr>
          <w:i/>
        </w:rPr>
        <w:t xml:space="preserve"> </w:t>
      </w:r>
      <w:r w:rsidR="0052660B">
        <w:t>(cstr)</w:t>
      </w:r>
      <w:r>
        <w:t>, the mean value was 2.3</w:t>
      </w:r>
      <w:r w:rsidR="0052660B">
        <w:t>1 %, and the median was 2.03 %.</w:t>
      </w:r>
      <w:r w:rsidR="007C3C71">
        <w:t xml:space="preserve"> </w:t>
      </w:r>
      <w:r w:rsidR="0052660B">
        <w:t xml:space="preserve">The number of identified SIEs varied </w:t>
      </w:r>
      <w:r w:rsidR="0052660B">
        <w:lastRenderedPageBreak/>
        <w:t xml:space="preserve">over three orders of magnitude, with 11 in </w:t>
      </w:r>
      <w:r w:rsidR="0052660B">
        <w:rPr>
          <w:i/>
        </w:rPr>
        <w:t>Ara macao</w:t>
      </w:r>
      <w:r w:rsidR="0052660B">
        <w:t xml:space="preserve"> (amac) and 6,760 in </w:t>
      </w:r>
      <w:r w:rsidR="0052660B">
        <w:rPr>
          <w:i/>
        </w:rPr>
        <w:t>Anolis carolinensis</w:t>
      </w:r>
      <w:r w:rsidR="0052660B">
        <w:t xml:space="preserve"> (acar) (mean = 506.14, median = 238). Predictably, the larger reptilian genomes had more SIEs than were observed in any bird (again, except pbiv). When the number of SIEs were scaled by genome size</w:t>
      </w:r>
      <w:r w:rsidR="001A662D">
        <w:t>,</w:t>
      </w:r>
      <w:r w:rsidR="0052660B">
        <w:t xml:space="preserve"> five of the top ten densities were in bird genomes, the most being in chicken (ggal; fourth highest value</w:t>
      </w:r>
      <w:r w:rsidR="001A662D">
        <w:t xml:space="preserve"> overall</w:t>
      </w:r>
      <w:r w:rsidR="0052660B">
        <w:t xml:space="preserve">). </w:t>
      </w:r>
    </w:p>
    <w:p w14:paraId="5470EDC0" w14:textId="53ACB376" w:rsidR="0052660B" w:rsidRDefault="007C3C71" w:rsidP="00391005">
      <w:pPr>
        <w:pStyle w:val="ListParagraph"/>
      </w:pPr>
      <w:r>
        <w:t xml:space="preserve">The LocaTR pipeline identified more LTR retrotransposon-derived sequence in all species than was observed with a RepeatMasker analysis alone. However, the additive effect of LocaTR ranged from just 3.26 % in </w:t>
      </w:r>
      <w:r>
        <w:rPr>
          <w:i/>
        </w:rPr>
        <w:t>Cathartes aura</w:t>
      </w:r>
      <w:r>
        <w:t xml:space="preserve"> (caur) to 1,000.00 % in pbiv. The mean additive effect was 144.97 %, but this was very skewed, as the median effect was 63.89 %. Those species with limited additive effect also had some of the lowest numbers of identified SIEs. In three species, the secondary BLAST protocol identified no additional sequence: </w:t>
      </w:r>
      <w:r w:rsidRPr="007C3C71">
        <w:rPr>
          <w:i/>
        </w:rPr>
        <w:t>Eurypyga helias</w:t>
      </w:r>
      <w:r w:rsidRPr="007C3C71">
        <w:t xml:space="preserve"> </w:t>
      </w:r>
      <w:r>
        <w:t xml:space="preserve">(ehel; 81 SIEs), </w:t>
      </w:r>
      <w:r w:rsidRPr="00B54820">
        <w:rPr>
          <w:i/>
        </w:rPr>
        <w:t>Haliaeetus albicilla</w:t>
      </w:r>
      <w:r>
        <w:t xml:space="preserve"> (halb; 122 SIEs), and </w:t>
      </w:r>
      <w:r>
        <w:rPr>
          <w:i/>
        </w:rPr>
        <w:t xml:space="preserve">Tyto alba </w:t>
      </w:r>
      <w:r>
        <w:t>(talb; 115 SIEs).</w:t>
      </w:r>
    </w:p>
    <w:p w14:paraId="236D9CBF" w14:textId="13BD2597" w:rsidR="00541832" w:rsidRDefault="00C4330D" w:rsidP="00391005">
      <w:pPr>
        <w:pStyle w:val="ListParagraph"/>
      </w:pPr>
      <w:r>
        <w:t>There wa</w:t>
      </w:r>
      <w:r w:rsidR="009329C8">
        <w:t xml:space="preserve">s no observable correlation between total LTR retrotransposon content and genome size (r = </w:t>
      </w:r>
      <w:r>
        <w:t>-0.13; P = 0.297), but content wa</w:t>
      </w:r>
      <w:r w:rsidR="009329C8">
        <w:t>s positively correlated with the number of identified SIE</w:t>
      </w:r>
      <w:r>
        <w:t>s (r = 0.38; P = 0.002). There we</w:t>
      </w:r>
      <w:r w:rsidR="009329C8">
        <w:t xml:space="preserve">re positive correlations between the number of SIEs (when scaled for genome size) and contig N50 (r = 0.48; P &lt; 0.001), and with scaffold N50 (r </w:t>
      </w:r>
      <w:r>
        <w:t>= 0.75; P &lt; 0.001). Contig N50 wa</w:t>
      </w:r>
      <w:r w:rsidR="009329C8">
        <w:t>s not correlated with total content (r</w:t>
      </w:r>
      <w:r>
        <w:t xml:space="preserve"> = 0.10; P = 0.388), but there wa</w:t>
      </w:r>
      <w:r w:rsidR="009329C8">
        <w:t>s a slight positive correlation between scaffold N50 and total content (r = 0.29; P = 0.018). Correlations with scaffold N50 must be treated carefully as the species used in this analysis have very different scaffold statistics. Over 50 % of species have a scaffold N50 over 2 Mbp, but in 40 % it is less than 65 kb</w:t>
      </w:r>
      <w:r w:rsidR="00290E63">
        <w:t>p</w:t>
      </w:r>
      <w:r w:rsidR="009329C8">
        <w:t xml:space="preserve">. </w:t>
      </w:r>
    </w:p>
    <w:p w14:paraId="38577FFB" w14:textId="33EAD864" w:rsidR="007C3C71" w:rsidRPr="007C3C71" w:rsidRDefault="007C3C71" w:rsidP="00391005">
      <w:pPr>
        <w:pStyle w:val="ListParagraph"/>
      </w:pPr>
      <w:r>
        <w:t>A comprehensive analysis of the contribution of different LTR retrotransposon groups to the overall annotated content was not co</w:t>
      </w:r>
      <w:r w:rsidR="00164905">
        <w:t xml:space="preserve">mpleted in this study. However, DIRS elements were not identified in any bird genome, or in the genomes of </w:t>
      </w:r>
      <w:r w:rsidR="00164905" w:rsidRPr="00164905">
        <w:rPr>
          <w:i/>
        </w:rPr>
        <w:t>Alligator mississipp</w:t>
      </w:r>
      <w:r w:rsidR="00164905">
        <w:rPr>
          <w:i/>
        </w:rPr>
        <w:t>i</w:t>
      </w:r>
      <w:r w:rsidR="00164905" w:rsidRPr="00164905">
        <w:rPr>
          <w:i/>
        </w:rPr>
        <w:t>ensis</w:t>
      </w:r>
      <w:r w:rsidR="00164905">
        <w:t xml:space="preserve"> (amis), </w:t>
      </w:r>
      <w:r w:rsidR="00164905" w:rsidRPr="00164905">
        <w:rPr>
          <w:i/>
        </w:rPr>
        <w:t>Crocodylus porosus</w:t>
      </w:r>
      <w:r w:rsidR="00164905">
        <w:t xml:space="preserve"> (cpo</w:t>
      </w:r>
      <w:r w:rsidR="00C4330D">
        <w:t>r) or pbiv. These findings are corroborated</w:t>
      </w:r>
      <w:r w:rsidR="00164905">
        <w:t xml:space="preserve"> by the literature </w:t>
      </w:r>
      <w:r w:rsidR="00164905">
        <w:fldChar w:fldCharType="begin" w:fldLock="1"/>
      </w:r>
      <w:r w:rsidR="00925474">
        <w:instrText>ADDIN CSL_CITATION { "citationItems" : [ { "id" : "ITEM-1", "itemData" : { "DOI" : "10.1186/1471-2164-12-621", "ISSN" : "1471-2164", "PMID" : "22185659", "abstract" : "BACKGROUND: DIRS1-like elements compose one superfamily of tyrosine recombinase-encoding retrotransposons. They have been previously reported in only a few diverse eukaryote species, describing a patchy distribution, and little is known about their origin and dynamics. Recently, we have shown that these retrotransposons are common among decapods, which calls into question the distribution of DIRS1-like retrotransposons among eukaryotes.\n\nRESULTS: To determine the distribution of DIRS1-like retrotransposons, we developed a new computational tool, ReDoSt, which allows us to identify well-conserved DIRS1-like elements. By screening 274 completely sequenced genomes, we identified more than 4000 DIRS1-like copies distributed among 30 diverse species which can be clustered into roughly 300 families. While the diversity in most species appears restricted to a low copy number, a few bursts of transposition are strongly suggested in certain species, such as Danio rerio and Saccoglossus kowalevskii.\n\nCONCLUSION: In this study, we report 14 new species and 8 new higher taxa that were not previously known to harbor DIRS1-like retrotransposons. Now reported in 61 species, these elements appear widely distributed among eukaryotes, even if they remain undetected in streptophytes and mammals. Especially in unikonts, a broad range of taxa from Cnidaria to Sauropsida harbors such elements. Both the distribution and the similarities between the DIRS1-like element phylogeny and conventional phylogenies of the host species suggest that DIRS1-like retrotransposons emerged early during the radiation of eukaryotes.", "author" : [ { "dropping-particle" : "", "family" : "Piedno\u00ebl", "given" : "Mathieu", "non-dropping-particle" : "", "parse-names" : false, "suffix" : "" }, { "dropping-particle" : "", "family" : "Gon\u00e7alves", "given" : "Isabelle R", "non-dropping-particle" : "", "parse-names" : false, "suffix" : "" }, { "dropping-particle" : "", "family" : "Higuet", "given" : "Dominique", "non-dropping-particle" : "", "parse-names" : false, "suffix" : "" }, { "dropping-particle" : "", "family" : "Bonnivard", "given" : "Eric", "non-dropping-particle" : "", "parse-names" : false, "suffix" : "" } ], "container-title" : "BMC genomics", "id" : "ITEM-1", "issue" : "1", "issued" : { "date-parts" : [ [ "2011", "1" ] ] }, "page" : "621", "publisher" : "BioMed Central Ltd", "title" : "Eukaryote DIRS1-like retrotransposons: an overview.", "type" : "article-journal", "volume" : "12" }, "uris" : [ "http://www.mendeley.com/documents/?uuid=eb273253-14b9-48d7-aca5-e76e38f87da6" ] } ], "mendeley" : { "formattedCitation" : "(Piedno\u00ebl et al. 2011)", "plainTextFormattedCitation" : "(Piedno\u00ebl et al. 2011)", "previouslyFormattedCitation" : "(Piedno\u00ebl et al. 2011)" }, "properties" : { "noteIndex" : 0 }, "schema" : "https://github.com/citation-style-language/schema/raw/master/csl-citation.json" }</w:instrText>
      </w:r>
      <w:r w:rsidR="00164905">
        <w:fldChar w:fldCharType="separate"/>
      </w:r>
      <w:r w:rsidR="00164905" w:rsidRPr="00164905">
        <w:rPr>
          <w:noProof/>
        </w:rPr>
        <w:t>(Piednoël et al. 2011)</w:t>
      </w:r>
      <w:r w:rsidR="00164905">
        <w:fldChar w:fldCharType="end"/>
      </w:r>
      <w:r w:rsidR="00C4330D">
        <w:t>, and support</w:t>
      </w:r>
      <w:r w:rsidR="00164905">
        <w:t xml:space="preserve"> the loss of DIRS elements in the Archosauriformes, and an independent loss within the pbiv lineage. </w:t>
      </w:r>
    </w:p>
    <w:p w14:paraId="6FC05A8C" w14:textId="712114A5" w:rsidR="001A3AAB" w:rsidRDefault="007C3C71" w:rsidP="00391005">
      <w:pPr>
        <w:pStyle w:val="ListParagraph"/>
      </w:pPr>
      <w:r>
        <w:t xml:space="preserve">The annotated LTR retrotransposon content is summarised below in </w:t>
      </w:r>
      <w:r>
        <w:fldChar w:fldCharType="begin" w:fldLock="1"/>
      </w:r>
      <w:r>
        <w:instrText xml:space="preserve"> REF _Ref482628072 \h </w:instrText>
      </w:r>
      <w:r>
        <w:fldChar w:fldCharType="separate"/>
      </w:r>
      <w:r w:rsidR="002C549C">
        <w:t xml:space="preserve">Table </w:t>
      </w:r>
      <w:r w:rsidR="002C549C">
        <w:rPr>
          <w:noProof/>
        </w:rPr>
        <w:t>4</w:t>
      </w:r>
      <w:r w:rsidR="002C549C">
        <w:t>.</w:t>
      </w:r>
      <w:r w:rsidR="002C549C">
        <w:rPr>
          <w:noProof/>
        </w:rPr>
        <w:t>7</w:t>
      </w:r>
      <w:r>
        <w:fldChar w:fldCharType="end"/>
      </w:r>
      <w:r w:rsidR="005B6FA8">
        <w:t xml:space="preserve">, and mapped to the Sauropsida phylogeny in </w:t>
      </w:r>
      <w:r w:rsidR="005B6FA8">
        <w:fldChar w:fldCharType="begin" w:fldLock="1"/>
      </w:r>
      <w:r w:rsidR="005B6FA8">
        <w:instrText xml:space="preserve"> REF _Ref482549943 \h </w:instrText>
      </w:r>
      <w:r w:rsidR="005B6FA8">
        <w:fldChar w:fldCharType="separate"/>
      </w:r>
      <w:r w:rsidR="002C549C">
        <w:t xml:space="preserve">Figure </w:t>
      </w:r>
      <w:r w:rsidR="002C549C">
        <w:rPr>
          <w:noProof/>
        </w:rPr>
        <w:t>4</w:t>
      </w:r>
      <w:r w:rsidR="002C549C">
        <w:t>.</w:t>
      </w:r>
      <w:r w:rsidR="002C549C">
        <w:rPr>
          <w:noProof/>
        </w:rPr>
        <w:t>5</w:t>
      </w:r>
      <w:r w:rsidR="005B6FA8">
        <w:fldChar w:fldCharType="end"/>
      </w:r>
      <w:r w:rsidR="005B6FA8">
        <w:t>.</w:t>
      </w:r>
    </w:p>
    <w:p w14:paraId="4D41D1AD" w14:textId="70B3F0DE" w:rsidR="00914311" w:rsidRPr="00914311" w:rsidRDefault="00914311" w:rsidP="00914311">
      <w:pPr>
        <w:pStyle w:val="Caption"/>
      </w:pPr>
      <w:bookmarkStart w:id="294" w:name="_Ref482628072"/>
      <w:bookmarkStart w:id="295" w:name="_Ref484529988"/>
      <w:bookmarkStart w:id="296" w:name="_Toc486786318"/>
      <w:r>
        <w:lastRenderedPageBreak/>
        <w:t xml:space="preserve">Table </w:t>
      </w:r>
      <w:fldSimple w:instr=" STYLEREF 1 \s " w:fldLock="1">
        <w:r w:rsidR="002C549C">
          <w:rPr>
            <w:noProof/>
          </w:rPr>
          <w:t>4</w:t>
        </w:r>
      </w:fldSimple>
      <w:r w:rsidR="001167C6">
        <w:t>.</w:t>
      </w:r>
      <w:fldSimple w:instr=" SEQ Table \* ARABIC \s 1 " w:fldLock="1">
        <w:r w:rsidR="002C549C">
          <w:rPr>
            <w:noProof/>
          </w:rPr>
          <w:t>7</w:t>
        </w:r>
      </w:fldSimple>
      <w:bookmarkEnd w:id="294"/>
      <w:r>
        <w:t xml:space="preserve"> </w:t>
      </w:r>
      <w:r w:rsidRPr="00914311">
        <w:t xml:space="preserve">The identified LTR retrotransposon content in each analysed species showing the </w:t>
      </w:r>
      <w:r>
        <w:t>annotated content from a standar</w:t>
      </w:r>
      <w:r w:rsidR="001A662D">
        <w:t xml:space="preserve">d RepeatMasker analysis (RM-v), </w:t>
      </w:r>
      <w:r>
        <w:t>the annotated content from the LocaTR analysis</w:t>
      </w:r>
      <w:r w:rsidR="001A662D">
        <w:t>, and the number of identified structurally intact elements (SIEs)</w:t>
      </w:r>
      <w:r>
        <w:t xml:space="preserve">. </w:t>
      </w:r>
      <w:r w:rsidRPr="00914311">
        <w:t>Species are shown in alphabetical order with unique four letter codes</w:t>
      </w:r>
      <w:r>
        <w:t xml:space="preserve"> used below in </w:t>
      </w:r>
      <w:r>
        <w:fldChar w:fldCharType="begin" w:fldLock="1"/>
      </w:r>
      <w:r>
        <w:instrText xml:space="preserve"> REF _Ref482549943 \h </w:instrText>
      </w:r>
      <w:r>
        <w:fldChar w:fldCharType="separate"/>
      </w:r>
      <w:r w:rsidR="002C549C">
        <w:t xml:space="preserve">Figure </w:t>
      </w:r>
      <w:r w:rsidR="002C549C">
        <w:rPr>
          <w:noProof/>
        </w:rPr>
        <w:t>4</w:t>
      </w:r>
      <w:r w:rsidR="002C549C">
        <w:t>.</w:t>
      </w:r>
      <w:r w:rsidR="002C549C">
        <w:rPr>
          <w:noProof/>
        </w:rPr>
        <w:t>5</w:t>
      </w:r>
      <w:r>
        <w:fldChar w:fldCharType="end"/>
      </w:r>
      <w:r w:rsidR="001A662D">
        <w:t>,</w:t>
      </w:r>
      <w:r w:rsidR="00711DE5">
        <w:t xml:space="preserve"> and the reptilian outgroups have been </w:t>
      </w:r>
      <w:r w:rsidR="006140BF">
        <w:t xml:space="preserve">indicated by an </w:t>
      </w:r>
      <w:r w:rsidR="00711DE5">
        <w:t>asterisk</w:t>
      </w:r>
      <w:r w:rsidRPr="00914311">
        <w:t>.</w:t>
      </w:r>
      <w:r w:rsidR="00711DE5">
        <w:t xml:space="preserve"> Any c</w:t>
      </w:r>
      <w:r>
        <w:t xml:space="preserve">odes used above in </w:t>
      </w:r>
      <w:r w:rsidR="00711DE5">
        <w:fldChar w:fldCharType="begin" w:fldLock="1"/>
      </w:r>
      <w:r w:rsidR="00711DE5">
        <w:instrText xml:space="preserve"> REF _Ref482106745 \h </w:instrText>
      </w:r>
      <w:r w:rsidR="00711DE5">
        <w:fldChar w:fldCharType="separate"/>
      </w:r>
      <w:r w:rsidR="002C549C">
        <w:t xml:space="preserve">Figure </w:t>
      </w:r>
      <w:r w:rsidR="002C549C">
        <w:rPr>
          <w:noProof/>
        </w:rPr>
        <w:t>4</w:t>
      </w:r>
      <w:r w:rsidR="002C549C">
        <w:t>.</w:t>
      </w:r>
      <w:r w:rsidR="002C549C">
        <w:rPr>
          <w:noProof/>
        </w:rPr>
        <w:t>3</w:t>
      </w:r>
      <w:r w:rsidR="00711DE5">
        <w:fldChar w:fldCharType="end"/>
      </w:r>
      <w:r w:rsidR="00711DE5">
        <w:t xml:space="preserve"> and </w:t>
      </w:r>
      <w:r w:rsidR="00711DE5">
        <w:fldChar w:fldCharType="begin" w:fldLock="1"/>
      </w:r>
      <w:r w:rsidR="00711DE5">
        <w:instrText xml:space="preserve"> REF _Ref482106131 \h </w:instrText>
      </w:r>
      <w:r w:rsidR="00711DE5">
        <w:fldChar w:fldCharType="separate"/>
      </w:r>
      <w:r w:rsidR="002C549C">
        <w:t xml:space="preserve">Table </w:t>
      </w:r>
      <w:r w:rsidR="002C549C">
        <w:rPr>
          <w:noProof/>
        </w:rPr>
        <w:t>4</w:t>
      </w:r>
      <w:r w:rsidR="002C549C">
        <w:t>.</w:t>
      </w:r>
      <w:r w:rsidR="002C549C">
        <w:rPr>
          <w:noProof/>
        </w:rPr>
        <w:t>6</w:t>
      </w:r>
      <w:r w:rsidR="00711DE5">
        <w:fldChar w:fldCharType="end"/>
      </w:r>
      <w:r w:rsidR="00711DE5">
        <w:t xml:space="preserve"> were used again here.</w:t>
      </w:r>
      <w:r w:rsidRPr="00914311">
        <w:t xml:space="preserve"> The LTR retrotransposon content is shown as percentages of the genome in all cases.</w:t>
      </w:r>
      <w:bookmarkEnd w:id="295"/>
      <w:bookmarkEnd w:id="296"/>
      <w:r w:rsidR="00B54820">
        <w:t xml:space="preserve"> </w:t>
      </w:r>
    </w:p>
    <w:tbl>
      <w:tblPr>
        <w:tblStyle w:val="TableGrid"/>
        <w:tblW w:w="7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850"/>
        <w:gridCol w:w="1134"/>
        <w:gridCol w:w="1276"/>
        <w:gridCol w:w="1134"/>
      </w:tblGrid>
      <w:tr w:rsidR="00711DE5" w14:paraId="6FFDE480" w14:textId="77777777" w:rsidTr="001A662D">
        <w:trPr>
          <w:jc w:val="center"/>
        </w:trPr>
        <w:tc>
          <w:tcPr>
            <w:tcW w:w="3261" w:type="dxa"/>
            <w:tcBorders>
              <w:top w:val="single" w:sz="4" w:space="0" w:color="auto"/>
              <w:bottom w:val="single" w:sz="4" w:space="0" w:color="auto"/>
            </w:tcBorders>
            <w:vAlign w:val="center"/>
          </w:tcPr>
          <w:p w14:paraId="0BDD5844" w14:textId="2194856D" w:rsidR="00711DE5" w:rsidRDefault="00781F38" w:rsidP="00A13EE1">
            <w:pPr>
              <w:pStyle w:val="Tablecontent"/>
            </w:pPr>
            <w:r>
              <w:t>Species n</w:t>
            </w:r>
            <w:r w:rsidR="00711DE5">
              <w:t>ame</w:t>
            </w:r>
          </w:p>
        </w:tc>
        <w:tc>
          <w:tcPr>
            <w:tcW w:w="850" w:type="dxa"/>
            <w:tcBorders>
              <w:top w:val="single" w:sz="4" w:space="0" w:color="auto"/>
              <w:bottom w:val="single" w:sz="4" w:space="0" w:color="auto"/>
              <w:right w:val="single" w:sz="4" w:space="0" w:color="auto"/>
            </w:tcBorders>
            <w:vAlign w:val="center"/>
          </w:tcPr>
          <w:p w14:paraId="458FEB77" w14:textId="77777777" w:rsidR="00711DE5" w:rsidRDefault="00711DE5" w:rsidP="00A13EE1">
            <w:pPr>
              <w:pStyle w:val="Tablecontent"/>
              <w:jc w:val="center"/>
            </w:pPr>
            <w:r>
              <w:t>Code</w:t>
            </w:r>
          </w:p>
        </w:tc>
        <w:tc>
          <w:tcPr>
            <w:tcW w:w="1134" w:type="dxa"/>
            <w:tcBorders>
              <w:top w:val="single" w:sz="4" w:space="0" w:color="auto"/>
              <w:left w:val="single" w:sz="4" w:space="0" w:color="auto"/>
              <w:bottom w:val="single" w:sz="4" w:space="0" w:color="auto"/>
            </w:tcBorders>
          </w:tcPr>
          <w:p w14:paraId="3D490800" w14:textId="77777777" w:rsidR="00711DE5" w:rsidRDefault="00711DE5" w:rsidP="00A13EE1">
            <w:pPr>
              <w:pStyle w:val="Tablecontent"/>
              <w:jc w:val="center"/>
            </w:pPr>
            <w:r>
              <w:t>RM-v (%)</w:t>
            </w:r>
          </w:p>
        </w:tc>
        <w:tc>
          <w:tcPr>
            <w:tcW w:w="1276" w:type="dxa"/>
            <w:tcBorders>
              <w:top w:val="single" w:sz="4" w:space="0" w:color="auto"/>
              <w:bottom w:val="single" w:sz="4" w:space="0" w:color="auto"/>
            </w:tcBorders>
          </w:tcPr>
          <w:p w14:paraId="35C4C4B0" w14:textId="3447BFF8" w:rsidR="00711DE5" w:rsidRDefault="001A662D" w:rsidP="00A13EE1">
            <w:pPr>
              <w:pStyle w:val="Tablecontent"/>
              <w:jc w:val="center"/>
            </w:pPr>
            <w:r>
              <w:t>LocaTR</w:t>
            </w:r>
            <w:r w:rsidR="00711DE5">
              <w:t xml:space="preserve"> (%)</w:t>
            </w:r>
          </w:p>
        </w:tc>
        <w:tc>
          <w:tcPr>
            <w:tcW w:w="1134" w:type="dxa"/>
            <w:tcBorders>
              <w:top w:val="single" w:sz="4" w:space="0" w:color="auto"/>
              <w:bottom w:val="single" w:sz="4" w:space="0" w:color="auto"/>
            </w:tcBorders>
          </w:tcPr>
          <w:p w14:paraId="01493188" w14:textId="23A3250F" w:rsidR="00711DE5" w:rsidRDefault="001A662D" w:rsidP="00A13EE1">
            <w:pPr>
              <w:pStyle w:val="Tablecontent"/>
              <w:jc w:val="center"/>
            </w:pPr>
            <w:r>
              <w:t>No. SIEs</w:t>
            </w:r>
          </w:p>
        </w:tc>
      </w:tr>
      <w:tr w:rsidR="001A662D" w14:paraId="2528711F" w14:textId="77777777" w:rsidTr="001A662D">
        <w:trPr>
          <w:jc w:val="center"/>
        </w:trPr>
        <w:tc>
          <w:tcPr>
            <w:tcW w:w="3261" w:type="dxa"/>
            <w:tcBorders>
              <w:top w:val="single" w:sz="4" w:space="0" w:color="auto"/>
            </w:tcBorders>
          </w:tcPr>
          <w:p w14:paraId="7A34083F" w14:textId="3C7EF5FA" w:rsidR="001A662D" w:rsidRPr="00B54820" w:rsidRDefault="001A662D" w:rsidP="001A662D">
            <w:pPr>
              <w:pStyle w:val="Tablecontent"/>
              <w:rPr>
                <w:i/>
              </w:rPr>
            </w:pPr>
            <w:r w:rsidRPr="00B54820">
              <w:rPr>
                <w:i/>
              </w:rPr>
              <w:t>Acanthisitta chloris</w:t>
            </w:r>
          </w:p>
        </w:tc>
        <w:tc>
          <w:tcPr>
            <w:tcW w:w="850" w:type="dxa"/>
            <w:tcBorders>
              <w:top w:val="single" w:sz="4" w:space="0" w:color="auto"/>
              <w:right w:val="single" w:sz="4" w:space="0" w:color="auto"/>
            </w:tcBorders>
          </w:tcPr>
          <w:p w14:paraId="392D471B" w14:textId="6DAF3CAD" w:rsidR="001A662D" w:rsidRPr="00E33AE2" w:rsidRDefault="001A662D" w:rsidP="001A662D">
            <w:pPr>
              <w:pStyle w:val="Tablecontent"/>
              <w:jc w:val="center"/>
            </w:pPr>
            <w:r w:rsidRPr="00CE29E7">
              <w:t>achl</w:t>
            </w:r>
          </w:p>
        </w:tc>
        <w:tc>
          <w:tcPr>
            <w:tcW w:w="1134" w:type="dxa"/>
            <w:tcBorders>
              <w:top w:val="single" w:sz="4" w:space="0" w:color="auto"/>
              <w:left w:val="single" w:sz="4" w:space="0" w:color="auto"/>
            </w:tcBorders>
          </w:tcPr>
          <w:p w14:paraId="190DB825" w14:textId="76B7B646" w:rsidR="001A662D" w:rsidRPr="00E33AE2" w:rsidRDefault="001A662D" w:rsidP="001A662D">
            <w:pPr>
              <w:pStyle w:val="Tablecontent"/>
              <w:jc w:val="center"/>
            </w:pPr>
            <w:r w:rsidRPr="00CE29E7">
              <w:t>1.26</w:t>
            </w:r>
          </w:p>
        </w:tc>
        <w:tc>
          <w:tcPr>
            <w:tcW w:w="1276" w:type="dxa"/>
            <w:tcBorders>
              <w:top w:val="single" w:sz="4" w:space="0" w:color="auto"/>
            </w:tcBorders>
          </w:tcPr>
          <w:p w14:paraId="3E5E150B" w14:textId="21EC7DD9" w:rsidR="001A662D" w:rsidRPr="00E33AE2" w:rsidRDefault="001A662D" w:rsidP="001A662D">
            <w:pPr>
              <w:pStyle w:val="Tablecontent"/>
              <w:jc w:val="center"/>
            </w:pPr>
            <w:r w:rsidRPr="005F1E77">
              <w:t>4.57</w:t>
            </w:r>
          </w:p>
        </w:tc>
        <w:tc>
          <w:tcPr>
            <w:tcW w:w="1134" w:type="dxa"/>
            <w:tcBorders>
              <w:top w:val="single" w:sz="4" w:space="0" w:color="auto"/>
            </w:tcBorders>
          </w:tcPr>
          <w:p w14:paraId="3014B31F" w14:textId="2CFB517F" w:rsidR="001A662D" w:rsidRPr="0040503B" w:rsidRDefault="001A662D" w:rsidP="001A662D">
            <w:pPr>
              <w:pStyle w:val="Tablecontent"/>
              <w:ind w:right="-110"/>
              <w:jc w:val="center"/>
            </w:pPr>
            <w:r w:rsidRPr="00C871BA">
              <w:t>88</w:t>
            </w:r>
          </w:p>
        </w:tc>
      </w:tr>
      <w:tr w:rsidR="001A662D" w14:paraId="05801113" w14:textId="77777777" w:rsidTr="001A662D">
        <w:trPr>
          <w:jc w:val="center"/>
        </w:trPr>
        <w:tc>
          <w:tcPr>
            <w:tcW w:w="3261" w:type="dxa"/>
          </w:tcPr>
          <w:p w14:paraId="1B888955" w14:textId="113EE2F2" w:rsidR="001A662D" w:rsidRPr="00B54820" w:rsidRDefault="001A662D" w:rsidP="001A662D">
            <w:pPr>
              <w:pStyle w:val="Tablecontent"/>
              <w:rPr>
                <w:i/>
              </w:rPr>
            </w:pPr>
            <w:r w:rsidRPr="00B54820">
              <w:rPr>
                <w:i/>
              </w:rPr>
              <w:t>Alligator mississippiensis *</w:t>
            </w:r>
          </w:p>
        </w:tc>
        <w:tc>
          <w:tcPr>
            <w:tcW w:w="850" w:type="dxa"/>
            <w:tcBorders>
              <w:right w:val="single" w:sz="4" w:space="0" w:color="auto"/>
            </w:tcBorders>
          </w:tcPr>
          <w:p w14:paraId="600937E7" w14:textId="34951D02" w:rsidR="001A662D" w:rsidRPr="00E33AE2" w:rsidRDefault="001A662D" w:rsidP="001A662D">
            <w:pPr>
              <w:pStyle w:val="Tablecontent"/>
              <w:jc w:val="center"/>
            </w:pPr>
            <w:r w:rsidRPr="00CE29E7">
              <w:t>amis</w:t>
            </w:r>
          </w:p>
        </w:tc>
        <w:tc>
          <w:tcPr>
            <w:tcW w:w="1134" w:type="dxa"/>
            <w:tcBorders>
              <w:left w:val="single" w:sz="4" w:space="0" w:color="auto"/>
            </w:tcBorders>
          </w:tcPr>
          <w:p w14:paraId="5CB27155" w14:textId="57869274" w:rsidR="001A662D" w:rsidRPr="00E33AE2" w:rsidRDefault="001A662D" w:rsidP="001A662D">
            <w:pPr>
              <w:pStyle w:val="Tablecontent"/>
              <w:jc w:val="center"/>
            </w:pPr>
            <w:r w:rsidRPr="00CE29E7">
              <w:t>4.80</w:t>
            </w:r>
          </w:p>
        </w:tc>
        <w:tc>
          <w:tcPr>
            <w:tcW w:w="1276" w:type="dxa"/>
          </w:tcPr>
          <w:p w14:paraId="44B2B09B" w14:textId="33425208" w:rsidR="001A662D" w:rsidRPr="00E33AE2" w:rsidRDefault="001A662D" w:rsidP="001A662D">
            <w:pPr>
              <w:pStyle w:val="Tablecontent"/>
              <w:jc w:val="center"/>
            </w:pPr>
            <w:r w:rsidRPr="005F1E77">
              <w:t>6.10</w:t>
            </w:r>
          </w:p>
        </w:tc>
        <w:tc>
          <w:tcPr>
            <w:tcW w:w="1134" w:type="dxa"/>
          </w:tcPr>
          <w:p w14:paraId="7E8D1588" w14:textId="7994FDC9" w:rsidR="001A662D" w:rsidRPr="0040503B" w:rsidRDefault="001A662D" w:rsidP="001A662D">
            <w:pPr>
              <w:pStyle w:val="Tablecontent"/>
              <w:ind w:right="-110"/>
              <w:jc w:val="center"/>
            </w:pPr>
            <w:r w:rsidRPr="00C871BA">
              <w:t>2,014</w:t>
            </w:r>
          </w:p>
        </w:tc>
      </w:tr>
      <w:tr w:rsidR="001A662D" w14:paraId="2F0FE683" w14:textId="77777777" w:rsidTr="001A662D">
        <w:trPr>
          <w:jc w:val="center"/>
        </w:trPr>
        <w:tc>
          <w:tcPr>
            <w:tcW w:w="3261" w:type="dxa"/>
          </w:tcPr>
          <w:p w14:paraId="1D1BB363" w14:textId="7685C029" w:rsidR="001A662D" w:rsidRPr="00B54820" w:rsidRDefault="001A662D" w:rsidP="001A662D">
            <w:pPr>
              <w:pStyle w:val="Tablecontent"/>
              <w:rPr>
                <w:i/>
              </w:rPr>
            </w:pPr>
            <w:r w:rsidRPr="00B54820">
              <w:rPr>
                <w:i/>
              </w:rPr>
              <w:t>Amazona aestiva</w:t>
            </w:r>
          </w:p>
        </w:tc>
        <w:tc>
          <w:tcPr>
            <w:tcW w:w="850" w:type="dxa"/>
            <w:tcBorders>
              <w:right w:val="single" w:sz="4" w:space="0" w:color="auto"/>
            </w:tcBorders>
          </w:tcPr>
          <w:p w14:paraId="4ABD9A42" w14:textId="0429CABA" w:rsidR="001A662D" w:rsidRPr="00E33AE2" w:rsidRDefault="001A662D" w:rsidP="001A662D">
            <w:pPr>
              <w:pStyle w:val="Tablecontent"/>
              <w:jc w:val="center"/>
            </w:pPr>
            <w:r w:rsidRPr="00CE29E7">
              <w:t>aaes</w:t>
            </w:r>
          </w:p>
        </w:tc>
        <w:tc>
          <w:tcPr>
            <w:tcW w:w="1134" w:type="dxa"/>
            <w:tcBorders>
              <w:left w:val="single" w:sz="4" w:space="0" w:color="auto"/>
            </w:tcBorders>
          </w:tcPr>
          <w:p w14:paraId="66D39FC7" w14:textId="5252EF5A" w:rsidR="001A662D" w:rsidRPr="00E33AE2" w:rsidRDefault="001A662D" w:rsidP="001A662D">
            <w:pPr>
              <w:pStyle w:val="Tablecontent"/>
              <w:jc w:val="center"/>
            </w:pPr>
            <w:r w:rsidRPr="00CE29E7">
              <w:t>1.66</w:t>
            </w:r>
          </w:p>
        </w:tc>
        <w:tc>
          <w:tcPr>
            <w:tcW w:w="1276" w:type="dxa"/>
          </w:tcPr>
          <w:p w14:paraId="5FA59246" w14:textId="64DF7AA4" w:rsidR="001A662D" w:rsidRPr="00E33AE2" w:rsidRDefault="001A662D" w:rsidP="001A662D">
            <w:pPr>
              <w:pStyle w:val="Tablecontent"/>
              <w:jc w:val="center"/>
            </w:pPr>
            <w:r w:rsidRPr="005F1E77">
              <w:t>4.28</w:t>
            </w:r>
          </w:p>
        </w:tc>
        <w:tc>
          <w:tcPr>
            <w:tcW w:w="1134" w:type="dxa"/>
          </w:tcPr>
          <w:p w14:paraId="2D22E74B" w14:textId="1806457E" w:rsidR="001A662D" w:rsidRPr="0040503B" w:rsidRDefault="001A662D" w:rsidP="001A662D">
            <w:pPr>
              <w:pStyle w:val="Tablecontent"/>
              <w:ind w:right="-110"/>
              <w:jc w:val="center"/>
            </w:pPr>
            <w:r w:rsidRPr="00C871BA">
              <w:t>714</w:t>
            </w:r>
          </w:p>
        </w:tc>
      </w:tr>
      <w:tr w:rsidR="001A662D" w14:paraId="515C8F82" w14:textId="77777777" w:rsidTr="001A662D">
        <w:trPr>
          <w:jc w:val="center"/>
        </w:trPr>
        <w:tc>
          <w:tcPr>
            <w:tcW w:w="3261" w:type="dxa"/>
          </w:tcPr>
          <w:p w14:paraId="100B0742" w14:textId="0AED5F9C" w:rsidR="001A662D" w:rsidRPr="00B54820" w:rsidRDefault="001A662D" w:rsidP="001A662D">
            <w:pPr>
              <w:pStyle w:val="Tablecontent"/>
              <w:rPr>
                <w:i/>
              </w:rPr>
            </w:pPr>
            <w:r w:rsidRPr="00B54820">
              <w:rPr>
                <w:i/>
              </w:rPr>
              <w:t>Amazona vittata</w:t>
            </w:r>
          </w:p>
        </w:tc>
        <w:tc>
          <w:tcPr>
            <w:tcW w:w="850" w:type="dxa"/>
            <w:tcBorders>
              <w:right w:val="single" w:sz="4" w:space="0" w:color="auto"/>
            </w:tcBorders>
          </w:tcPr>
          <w:p w14:paraId="12223663" w14:textId="4F79956C" w:rsidR="001A662D" w:rsidRPr="00E33AE2" w:rsidRDefault="001A662D" w:rsidP="001A662D">
            <w:pPr>
              <w:pStyle w:val="Tablecontent"/>
              <w:jc w:val="center"/>
            </w:pPr>
            <w:r w:rsidRPr="00CE29E7">
              <w:t>avia</w:t>
            </w:r>
          </w:p>
        </w:tc>
        <w:tc>
          <w:tcPr>
            <w:tcW w:w="1134" w:type="dxa"/>
            <w:tcBorders>
              <w:left w:val="single" w:sz="4" w:space="0" w:color="auto"/>
            </w:tcBorders>
          </w:tcPr>
          <w:p w14:paraId="458D2B69" w14:textId="06664174" w:rsidR="001A662D" w:rsidRPr="00E33AE2" w:rsidRDefault="001A662D" w:rsidP="001A662D">
            <w:pPr>
              <w:pStyle w:val="Tablecontent"/>
              <w:jc w:val="center"/>
            </w:pPr>
            <w:r w:rsidRPr="00CE29E7">
              <w:t>1.06</w:t>
            </w:r>
          </w:p>
        </w:tc>
        <w:tc>
          <w:tcPr>
            <w:tcW w:w="1276" w:type="dxa"/>
          </w:tcPr>
          <w:p w14:paraId="53C744DE" w14:textId="3D831100" w:rsidR="001A662D" w:rsidRPr="00E33AE2" w:rsidRDefault="001A662D" w:rsidP="001A662D">
            <w:pPr>
              <w:pStyle w:val="Tablecontent"/>
              <w:jc w:val="center"/>
            </w:pPr>
            <w:r w:rsidRPr="005F1E77">
              <w:t>1.10</w:t>
            </w:r>
          </w:p>
        </w:tc>
        <w:tc>
          <w:tcPr>
            <w:tcW w:w="1134" w:type="dxa"/>
          </w:tcPr>
          <w:p w14:paraId="75AEE38D" w14:textId="1EB5D4FC" w:rsidR="001A662D" w:rsidRPr="0040503B" w:rsidRDefault="001A662D" w:rsidP="001A662D">
            <w:pPr>
              <w:pStyle w:val="Tablecontent"/>
              <w:ind w:right="-110"/>
              <w:jc w:val="center"/>
            </w:pPr>
            <w:r w:rsidRPr="00C871BA">
              <w:t>25</w:t>
            </w:r>
          </w:p>
        </w:tc>
      </w:tr>
      <w:tr w:rsidR="001A662D" w14:paraId="60C8EF7F" w14:textId="77777777" w:rsidTr="001A662D">
        <w:trPr>
          <w:jc w:val="center"/>
        </w:trPr>
        <w:tc>
          <w:tcPr>
            <w:tcW w:w="3261" w:type="dxa"/>
          </w:tcPr>
          <w:p w14:paraId="66FA4EA8" w14:textId="7219AAAD" w:rsidR="001A662D" w:rsidRPr="00B54820" w:rsidRDefault="001A662D" w:rsidP="001A662D">
            <w:pPr>
              <w:pStyle w:val="Tablecontent"/>
              <w:rPr>
                <w:i/>
              </w:rPr>
            </w:pPr>
            <w:r w:rsidRPr="00B54820">
              <w:rPr>
                <w:i/>
              </w:rPr>
              <w:t>Anas platyrhynchos</w:t>
            </w:r>
          </w:p>
        </w:tc>
        <w:tc>
          <w:tcPr>
            <w:tcW w:w="850" w:type="dxa"/>
            <w:tcBorders>
              <w:right w:val="single" w:sz="4" w:space="0" w:color="auto"/>
            </w:tcBorders>
          </w:tcPr>
          <w:p w14:paraId="2BA87A78" w14:textId="5DB5A53C" w:rsidR="001A662D" w:rsidRPr="00E33AE2" w:rsidRDefault="001A662D" w:rsidP="001A662D">
            <w:pPr>
              <w:pStyle w:val="Tablecontent"/>
              <w:jc w:val="center"/>
            </w:pPr>
            <w:r w:rsidRPr="00CE29E7">
              <w:t>apla</w:t>
            </w:r>
          </w:p>
        </w:tc>
        <w:tc>
          <w:tcPr>
            <w:tcW w:w="1134" w:type="dxa"/>
            <w:tcBorders>
              <w:left w:val="single" w:sz="4" w:space="0" w:color="auto"/>
            </w:tcBorders>
          </w:tcPr>
          <w:p w14:paraId="796F1599" w14:textId="1C90C857" w:rsidR="001A662D" w:rsidRPr="00E33AE2" w:rsidRDefault="001A662D" w:rsidP="001A662D">
            <w:pPr>
              <w:pStyle w:val="Tablecontent"/>
              <w:jc w:val="center"/>
            </w:pPr>
            <w:r w:rsidRPr="00CE29E7">
              <w:t>0.98</w:t>
            </w:r>
          </w:p>
        </w:tc>
        <w:tc>
          <w:tcPr>
            <w:tcW w:w="1276" w:type="dxa"/>
          </w:tcPr>
          <w:p w14:paraId="359C7DC7" w14:textId="130AD43B" w:rsidR="001A662D" w:rsidRPr="00E33AE2" w:rsidRDefault="001A662D" w:rsidP="001A662D">
            <w:pPr>
              <w:pStyle w:val="Tablecontent"/>
              <w:jc w:val="center"/>
            </w:pPr>
            <w:r>
              <w:t>2</w:t>
            </w:r>
            <w:r w:rsidRPr="005F1E77">
              <w:t>.26</w:t>
            </w:r>
          </w:p>
        </w:tc>
        <w:tc>
          <w:tcPr>
            <w:tcW w:w="1134" w:type="dxa"/>
          </w:tcPr>
          <w:p w14:paraId="2FB22883" w14:textId="020D4533" w:rsidR="001A662D" w:rsidRPr="0040503B" w:rsidRDefault="001A662D" w:rsidP="001A662D">
            <w:pPr>
              <w:pStyle w:val="Tablecontent"/>
              <w:jc w:val="center"/>
            </w:pPr>
            <w:r w:rsidRPr="00C871BA">
              <w:t xml:space="preserve"> 479 </w:t>
            </w:r>
          </w:p>
        </w:tc>
      </w:tr>
      <w:tr w:rsidR="001A662D" w14:paraId="2932B9E3" w14:textId="77777777" w:rsidTr="001A662D">
        <w:trPr>
          <w:jc w:val="center"/>
        </w:trPr>
        <w:tc>
          <w:tcPr>
            <w:tcW w:w="3261" w:type="dxa"/>
          </w:tcPr>
          <w:p w14:paraId="1798C709" w14:textId="4F25C44B" w:rsidR="001A662D" w:rsidRPr="00B54820" w:rsidRDefault="001A662D" w:rsidP="001A662D">
            <w:pPr>
              <w:pStyle w:val="Tablecontent"/>
              <w:rPr>
                <w:i/>
              </w:rPr>
            </w:pPr>
            <w:r w:rsidRPr="00B54820">
              <w:rPr>
                <w:i/>
              </w:rPr>
              <w:t>Anolis carolinensis *</w:t>
            </w:r>
          </w:p>
        </w:tc>
        <w:tc>
          <w:tcPr>
            <w:tcW w:w="850" w:type="dxa"/>
            <w:tcBorders>
              <w:right w:val="single" w:sz="4" w:space="0" w:color="auto"/>
            </w:tcBorders>
          </w:tcPr>
          <w:p w14:paraId="5B186D53" w14:textId="76E83E0B" w:rsidR="001A662D" w:rsidRPr="00E33AE2" w:rsidRDefault="001A662D" w:rsidP="001A662D">
            <w:pPr>
              <w:pStyle w:val="Tablecontent"/>
              <w:jc w:val="center"/>
            </w:pPr>
            <w:r w:rsidRPr="00CE29E7">
              <w:t>acar</w:t>
            </w:r>
          </w:p>
        </w:tc>
        <w:tc>
          <w:tcPr>
            <w:tcW w:w="1134" w:type="dxa"/>
            <w:tcBorders>
              <w:left w:val="single" w:sz="4" w:space="0" w:color="auto"/>
            </w:tcBorders>
          </w:tcPr>
          <w:p w14:paraId="5326E6D0" w14:textId="46A1332B" w:rsidR="001A662D" w:rsidRPr="00E33AE2" w:rsidRDefault="001A662D" w:rsidP="001A662D">
            <w:pPr>
              <w:pStyle w:val="Tablecontent"/>
              <w:jc w:val="center"/>
            </w:pPr>
            <w:r w:rsidRPr="00CE29E7">
              <w:t>4.45</w:t>
            </w:r>
          </w:p>
        </w:tc>
        <w:tc>
          <w:tcPr>
            <w:tcW w:w="1276" w:type="dxa"/>
          </w:tcPr>
          <w:p w14:paraId="1671955A" w14:textId="46156931" w:rsidR="001A662D" w:rsidRPr="00E33AE2" w:rsidRDefault="001A662D" w:rsidP="001A662D">
            <w:pPr>
              <w:pStyle w:val="Tablecontent"/>
              <w:jc w:val="center"/>
            </w:pPr>
            <w:r w:rsidRPr="005F1E77">
              <w:t>9.03</w:t>
            </w:r>
          </w:p>
        </w:tc>
        <w:tc>
          <w:tcPr>
            <w:tcW w:w="1134" w:type="dxa"/>
          </w:tcPr>
          <w:p w14:paraId="7ED414E6" w14:textId="5A335928" w:rsidR="001A662D" w:rsidRPr="0040503B" w:rsidRDefault="001A662D" w:rsidP="001A662D">
            <w:pPr>
              <w:pStyle w:val="Tablecontent"/>
              <w:jc w:val="center"/>
            </w:pPr>
            <w:r w:rsidRPr="00C871BA">
              <w:t xml:space="preserve"> 6,760 </w:t>
            </w:r>
          </w:p>
        </w:tc>
      </w:tr>
      <w:tr w:rsidR="001A662D" w14:paraId="77AC0F8C" w14:textId="77777777" w:rsidTr="001A662D">
        <w:trPr>
          <w:jc w:val="center"/>
        </w:trPr>
        <w:tc>
          <w:tcPr>
            <w:tcW w:w="3261" w:type="dxa"/>
          </w:tcPr>
          <w:p w14:paraId="1A11F689" w14:textId="50A35FBF" w:rsidR="001A662D" w:rsidRPr="00B54820" w:rsidRDefault="001A662D" w:rsidP="001A662D">
            <w:pPr>
              <w:pStyle w:val="Tablecontent"/>
              <w:rPr>
                <w:i/>
              </w:rPr>
            </w:pPr>
            <w:r w:rsidRPr="00B54820">
              <w:rPr>
                <w:i/>
              </w:rPr>
              <w:t>Anser cygnoides domesticus</w:t>
            </w:r>
          </w:p>
        </w:tc>
        <w:tc>
          <w:tcPr>
            <w:tcW w:w="850" w:type="dxa"/>
            <w:tcBorders>
              <w:right w:val="single" w:sz="4" w:space="0" w:color="auto"/>
            </w:tcBorders>
          </w:tcPr>
          <w:p w14:paraId="3E2B9AAB" w14:textId="269D1375" w:rsidR="001A662D" w:rsidRPr="00E33AE2" w:rsidRDefault="001A662D" w:rsidP="001A662D">
            <w:pPr>
              <w:pStyle w:val="Tablecontent"/>
              <w:jc w:val="center"/>
            </w:pPr>
            <w:r w:rsidRPr="00CE29E7">
              <w:t>acyg</w:t>
            </w:r>
          </w:p>
        </w:tc>
        <w:tc>
          <w:tcPr>
            <w:tcW w:w="1134" w:type="dxa"/>
            <w:tcBorders>
              <w:left w:val="single" w:sz="4" w:space="0" w:color="auto"/>
            </w:tcBorders>
          </w:tcPr>
          <w:p w14:paraId="29D9751A" w14:textId="730026A6" w:rsidR="001A662D" w:rsidRPr="00E33AE2" w:rsidRDefault="001A662D" w:rsidP="001A662D">
            <w:pPr>
              <w:pStyle w:val="Tablecontent"/>
              <w:jc w:val="center"/>
            </w:pPr>
            <w:r w:rsidRPr="00CE29E7">
              <w:t>0.97</w:t>
            </w:r>
          </w:p>
        </w:tc>
        <w:tc>
          <w:tcPr>
            <w:tcW w:w="1276" w:type="dxa"/>
          </w:tcPr>
          <w:p w14:paraId="166E3E44" w14:textId="1C18AEA2" w:rsidR="001A662D" w:rsidRPr="00E33AE2" w:rsidRDefault="001A662D" w:rsidP="001A662D">
            <w:pPr>
              <w:pStyle w:val="Tablecontent"/>
              <w:jc w:val="center"/>
            </w:pPr>
            <w:r w:rsidRPr="005F1E77">
              <w:t>2.02</w:t>
            </w:r>
          </w:p>
        </w:tc>
        <w:tc>
          <w:tcPr>
            <w:tcW w:w="1134" w:type="dxa"/>
          </w:tcPr>
          <w:p w14:paraId="19E4C025" w14:textId="6122EEFF" w:rsidR="001A662D" w:rsidRPr="0040503B" w:rsidRDefault="001A662D" w:rsidP="001A662D">
            <w:pPr>
              <w:pStyle w:val="Tablecontent"/>
              <w:jc w:val="center"/>
            </w:pPr>
            <w:r w:rsidRPr="00C871BA">
              <w:t xml:space="preserve"> 182 </w:t>
            </w:r>
          </w:p>
        </w:tc>
      </w:tr>
      <w:tr w:rsidR="001A662D" w14:paraId="6ECE909C" w14:textId="77777777" w:rsidTr="001A662D">
        <w:trPr>
          <w:jc w:val="center"/>
        </w:trPr>
        <w:tc>
          <w:tcPr>
            <w:tcW w:w="3261" w:type="dxa"/>
          </w:tcPr>
          <w:p w14:paraId="1EDD7256" w14:textId="568297AA" w:rsidR="001A662D" w:rsidRPr="00B54820" w:rsidRDefault="001A662D" w:rsidP="001A662D">
            <w:pPr>
              <w:pStyle w:val="Tablecontent"/>
              <w:rPr>
                <w:i/>
              </w:rPr>
            </w:pPr>
            <w:r w:rsidRPr="00B54820">
              <w:rPr>
                <w:i/>
              </w:rPr>
              <w:t>Antrostomus carolinensis</w:t>
            </w:r>
          </w:p>
        </w:tc>
        <w:tc>
          <w:tcPr>
            <w:tcW w:w="850" w:type="dxa"/>
            <w:tcBorders>
              <w:right w:val="single" w:sz="4" w:space="0" w:color="auto"/>
            </w:tcBorders>
          </w:tcPr>
          <w:p w14:paraId="3078061D" w14:textId="6B013C4E" w:rsidR="001A662D" w:rsidRPr="00E33AE2" w:rsidRDefault="001A662D" w:rsidP="001A662D">
            <w:pPr>
              <w:pStyle w:val="Tablecontent"/>
              <w:jc w:val="center"/>
            </w:pPr>
            <w:r w:rsidRPr="00CE29E7">
              <w:t>acol</w:t>
            </w:r>
          </w:p>
        </w:tc>
        <w:tc>
          <w:tcPr>
            <w:tcW w:w="1134" w:type="dxa"/>
            <w:tcBorders>
              <w:left w:val="single" w:sz="4" w:space="0" w:color="auto"/>
            </w:tcBorders>
          </w:tcPr>
          <w:p w14:paraId="078F5B35" w14:textId="29737D97" w:rsidR="001A662D" w:rsidRPr="00E33AE2" w:rsidRDefault="001A662D" w:rsidP="001A662D">
            <w:pPr>
              <w:pStyle w:val="Tablecontent"/>
              <w:jc w:val="center"/>
            </w:pPr>
            <w:r w:rsidRPr="00CE29E7">
              <w:t>1.38</w:t>
            </w:r>
          </w:p>
        </w:tc>
        <w:tc>
          <w:tcPr>
            <w:tcW w:w="1276" w:type="dxa"/>
          </w:tcPr>
          <w:p w14:paraId="21AABD79" w14:textId="11047AF7" w:rsidR="001A662D" w:rsidRPr="00E33AE2" w:rsidRDefault="001A662D" w:rsidP="001A662D">
            <w:pPr>
              <w:pStyle w:val="Tablecontent"/>
              <w:jc w:val="center"/>
            </w:pPr>
            <w:r w:rsidRPr="005F1E77">
              <w:t>4.50</w:t>
            </w:r>
          </w:p>
        </w:tc>
        <w:tc>
          <w:tcPr>
            <w:tcW w:w="1134" w:type="dxa"/>
          </w:tcPr>
          <w:p w14:paraId="0AD37F7D" w14:textId="365ECC3F" w:rsidR="001A662D" w:rsidRPr="0040503B" w:rsidRDefault="001A662D" w:rsidP="001A662D">
            <w:pPr>
              <w:pStyle w:val="Tablecontent"/>
              <w:jc w:val="center"/>
            </w:pPr>
            <w:r w:rsidRPr="00C871BA">
              <w:t xml:space="preserve"> 78 </w:t>
            </w:r>
          </w:p>
        </w:tc>
      </w:tr>
      <w:tr w:rsidR="001A662D" w14:paraId="48C2F93E" w14:textId="77777777" w:rsidTr="001A662D">
        <w:trPr>
          <w:jc w:val="center"/>
        </w:trPr>
        <w:tc>
          <w:tcPr>
            <w:tcW w:w="3261" w:type="dxa"/>
          </w:tcPr>
          <w:p w14:paraId="058EA557" w14:textId="4945E191" w:rsidR="001A662D" w:rsidRPr="00B54820" w:rsidRDefault="001A662D" w:rsidP="001A662D">
            <w:pPr>
              <w:pStyle w:val="Tablecontent"/>
              <w:rPr>
                <w:i/>
              </w:rPr>
            </w:pPr>
            <w:r w:rsidRPr="00B54820">
              <w:rPr>
                <w:i/>
              </w:rPr>
              <w:t>Apaloderma vittatum</w:t>
            </w:r>
          </w:p>
        </w:tc>
        <w:tc>
          <w:tcPr>
            <w:tcW w:w="850" w:type="dxa"/>
            <w:tcBorders>
              <w:right w:val="single" w:sz="4" w:space="0" w:color="auto"/>
            </w:tcBorders>
          </w:tcPr>
          <w:p w14:paraId="4C69A70A" w14:textId="18EB4707" w:rsidR="001A662D" w:rsidRPr="00E33AE2" w:rsidRDefault="001A662D" w:rsidP="001A662D">
            <w:pPr>
              <w:pStyle w:val="Tablecontent"/>
              <w:jc w:val="center"/>
            </w:pPr>
            <w:r w:rsidRPr="00CE29E7">
              <w:t>avit</w:t>
            </w:r>
          </w:p>
        </w:tc>
        <w:tc>
          <w:tcPr>
            <w:tcW w:w="1134" w:type="dxa"/>
            <w:tcBorders>
              <w:left w:val="single" w:sz="4" w:space="0" w:color="auto"/>
            </w:tcBorders>
          </w:tcPr>
          <w:p w14:paraId="0C39F976" w14:textId="151098BC" w:rsidR="001A662D" w:rsidRPr="00E33AE2" w:rsidRDefault="001A662D" w:rsidP="001A662D">
            <w:pPr>
              <w:pStyle w:val="Tablecontent"/>
              <w:jc w:val="center"/>
            </w:pPr>
            <w:r w:rsidRPr="00CE29E7">
              <w:t>0.86</w:t>
            </w:r>
          </w:p>
        </w:tc>
        <w:tc>
          <w:tcPr>
            <w:tcW w:w="1276" w:type="dxa"/>
          </w:tcPr>
          <w:p w14:paraId="2723DAA4" w14:textId="0C3A9B12" w:rsidR="001A662D" w:rsidRPr="00E33AE2" w:rsidRDefault="001A662D" w:rsidP="001A662D">
            <w:pPr>
              <w:pStyle w:val="Tablecontent"/>
              <w:jc w:val="center"/>
            </w:pPr>
            <w:r w:rsidRPr="005F1E77">
              <w:t>0.95</w:t>
            </w:r>
          </w:p>
        </w:tc>
        <w:tc>
          <w:tcPr>
            <w:tcW w:w="1134" w:type="dxa"/>
          </w:tcPr>
          <w:p w14:paraId="5DB6CC28" w14:textId="1E98E9AA" w:rsidR="001A662D" w:rsidRPr="0040503B" w:rsidRDefault="001A662D" w:rsidP="001A662D">
            <w:pPr>
              <w:pStyle w:val="Tablecontent"/>
              <w:jc w:val="center"/>
            </w:pPr>
            <w:r w:rsidRPr="00C871BA">
              <w:t xml:space="preserve"> 83 </w:t>
            </w:r>
          </w:p>
        </w:tc>
      </w:tr>
      <w:tr w:rsidR="001A662D" w14:paraId="7E1420EF" w14:textId="77777777" w:rsidTr="001A662D">
        <w:trPr>
          <w:jc w:val="center"/>
        </w:trPr>
        <w:tc>
          <w:tcPr>
            <w:tcW w:w="3261" w:type="dxa"/>
          </w:tcPr>
          <w:p w14:paraId="7AE089C6" w14:textId="3C8516CB" w:rsidR="001A662D" w:rsidRPr="00B54820" w:rsidRDefault="001A662D" w:rsidP="001A662D">
            <w:pPr>
              <w:pStyle w:val="Tablecontent"/>
              <w:rPr>
                <w:i/>
              </w:rPr>
            </w:pPr>
            <w:r w:rsidRPr="00B54820">
              <w:rPr>
                <w:i/>
              </w:rPr>
              <w:t>Aptenodytes forsteri</w:t>
            </w:r>
          </w:p>
        </w:tc>
        <w:tc>
          <w:tcPr>
            <w:tcW w:w="850" w:type="dxa"/>
            <w:tcBorders>
              <w:right w:val="single" w:sz="4" w:space="0" w:color="auto"/>
            </w:tcBorders>
          </w:tcPr>
          <w:p w14:paraId="1312715C" w14:textId="58C82FCE" w:rsidR="001A662D" w:rsidRPr="00E33AE2" w:rsidRDefault="001A662D" w:rsidP="001A662D">
            <w:pPr>
              <w:pStyle w:val="Tablecontent"/>
              <w:jc w:val="center"/>
            </w:pPr>
            <w:r w:rsidRPr="00CE29E7">
              <w:t>afor</w:t>
            </w:r>
          </w:p>
        </w:tc>
        <w:tc>
          <w:tcPr>
            <w:tcW w:w="1134" w:type="dxa"/>
            <w:tcBorders>
              <w:left w:val="single" w:sz="4" w:space="0" w:color="auto"/>
            </w:tcBorders>
          </w:tcPr>
          <w:p w14:paraId="459396C9" w14:textId="12DEC54F" w:rsidR="001A662D" w:rsidRPr="00E33AE2" w:rsidRDefault="001A662D" w:rsidP="001A662D">
            <w:pPr>
              <w:pStyle w:val="Tablecontent"/>
              <w:jc w:val="center"/>
            </w:pPr>
            <w:r w:rsidRPr="00CE29E7">
              <w:t>1.08</w:t>
            </w:r>
          </w:p>
        </w:tc>
        <w:tc>
          <w:tcPr>
            <w:tcW w:w="1276" w:type="dxa"/>
          </w:tcPr>
          <w:p w14:paraId="4A0C77FB" w14:textId="3B9B335E" w:rsidR="001A662D" w:rsidRPr="00E33AE2" w:rsidRDefault="001A662D" w:rsidP="001A662D">
            <w:pPr>
              <w:pStyle w:val="Tablecontent"/>
              <w:jc w:val="center"/>
            </w:pPr>
            <w:r w:rsidRPr="005F1E77">
              <w:t>1.77</w:t>
            </w:r>
          </w:p>
        </w:tc>
        <w:tc>
          <w:tcPr>
            <w:tcW w:w="1134" w:type="dxa"/>
          </w:tcPr>
          <w:p w14:paraId="1DA27FF8" w14:textId="65038A77" w:rsidR="001A662D" w:rsidRPr="0040503B" w:rsidRDefault="001A662D" w:rsidP="001A662D">
            <w:pPr>
              <w:pStyle w:val="Tablecontent"/>
              <w:jc w:val="center"/>
            </w:pPr>
            <w:r w:rsidRPr="00C871BA">
              <w:t xml:space="preserve"> 155 </w:t>
            </w:r>
          </w:p>
        </w:tc>
      </w:tr>
      <w:tr w:rsidR="001A662D" w14:paraId="4A9A3C75" w14:textId="77777777" w:rsidTr="001A662D">
        <w:trPr>
          <w:jc w:val="center"/>
        </w:trPr>
        <w:tc>
          <w:tcPr>
            <w:tcW w:w="3261" w:type="dxa"/>
          </w:tcPr>
          <w:p w14:paraId="65407AD7" w14:textId="5CD30800" w:rsidR="001A662D" w:rsidRPr="00B54820" w:rsidRDefault="001A662D" w:rsidP="001A662D">
            <w:pPr>
              <w:pStyle w:val="Tablecontent"/>
              <w:rPr>
                <w:i/>
              </w:rPr>
            </w:pPr>
            <w:r w:rsidRPr="00B54820">
              <w:rPr>
                <w:i/>
              </w:rPr>
              <w:t>Apteryx australis mantelli</w:t>
            </w:r>
          </w:p>
        </w:tc>
        <w:tc>
          <w:tcPr>
            <w:tcW w:w="850" w:type="dxa"/>
            <w:tcBorders>
              <w:right w:val="single" w:sz="4" w:space="0" w:color="auto"/>
            </w:tcBorders>
          </w:tcPr>
          <w:p w14:paraId="75B57A6C" w14:textId="26E6BCBF" w:rsidR="001A662D" w:rsidRPr="00E33AE2" w:rsidRDefault="001A662D" w:rsidP="001A662D">
            <w:pPr>
              <w:pStyle w:val="Tablecontent"/>
              <w:jc w:val="center"/>
            </w:pPr>
            <w:r w:rsidRPr="00CE29E7">
              <w:t>aaus</w:t>
            </w:r>
          </w:p>
        </w:tc>
        <w:tc>
          <w:tcPr>
            <w:tcW w:w="1134" w:type="dxa"/>
            <w:tcBorders>
              <w:left w:val="single" w:sz="4" w:space="0" w:color="auto"/>
            </w:tcBorders>
          </w:tcPr>
          <w:p w14:paraId="4E2665CA" w14:textId="7CE3AF91" w:rsidR="001A662D" w:rsidRPr="00E33AE2" w:rsidRDefault="001A662D" w:rsidP="001A662D">
            <w:pPr>
              <w:pStyle w:val="Tablecontent"/>
              <w:jc w:val="center"/>
            </w:pPr>
            <w:r w:rsidRPr="00CE29E7">
              <w:t>0.15</w:t>
            </w:r>
          </w:p>
        </w:tc>
        <w:tc>
          <w:tcPr>
            <w:tcW w:w="1276" w:type="dxa"/>
          </w:tcPr>
          <w:p w14:paraId="321BC73B" w14:textId="61FD5952" w:rsidR="001A662D" w:rsidRPr="00E33AE2" w:rsidRDefault="001A662D" w:rsidP="001A662D">
            <w:pPr>
              <w:pStyle w:val="Tablecontent"/>
              <w:jc w:val="center"/>
            </w:pPr>
            <w:r w:rsidRPr="005F1E77">
              <w:t>0.48</w:t>
            </w:r>
          </w:p>
        </w:tc>
        <w:tc>
          <w:tcPr>
            <w:tcW w:w="1134" w:type="dxa"/>
          </w:tcPr>
          <w:p w14:paraId="7CEA7BBF" w14:textId="68E64E08" w:rsidR="001A662D" w:rsidRPr="0040503B" w:rsidRDefault="001A662D" w:rsidP="001A662D">
            <w:pPr>
              <w:pStyle w:val="Tablecontent"/>
              <w:jc w:val="center"/>
            </w:pPr>
            <w:r w:rsidRPr="00C871BA">
              <w:t xml:space="preserve"> 284 </w:t>
            </w:r>
          </w:p>
        </w:tc>
      </w:tr>
      <w:tr w:rsidR="001A662D" w14:paraId="1B0EF9DB" w14:textId="77777777" w:rsidTr="001A662D">
        <w:trPr>
          <w:jc w:val="center"/>
        </w:trPr>
        <w:tc>
          <w:tcPr>
            <w:tcW w:w="3261" w:type="dxa"/>
          </w:tcPr>
          <w:p w14:paraId="1A0E27E7" w14:textId="580EAF16" w:rsidR="001A662D" w:rsidRPr="00B54820" w:rsidRDefault="001A662D" w:rsidP="001A662D">
            <w:pPr>
              <w:pStyle w:val="Tablecontent"/>
              <w:rPr>
                <w:i/>
              </w:rPr>
            </w:pPr>
            <w:r w:rsidRPr="00B54820">
              <w:rPr>
                <w:i/>
              </w:rPr>
              <w:t>Aquila chrysaetos canadensis</w:t>
            </w:r>
          </w:p>
        </w:tc>
        <w:tc>
          <w:tcPr>
            <w:tcW w:w="850" w:type="dxa"/>
            <w:tcBorders>
              <w:right w:val="single" w:sz="4" w:space="0" w:color="auto"/>
            </w:tcBorders>
          </w:tcPr>
          <w:p w14:paraId="2C1D82C4" w14:textId="465FBB01" w:rsidR="001A662D" w:rsidRPr="00E33AE2" w:rsidRDefault="001A662D" w:rsidP="001A662D">
            <w:pPr>
              <w:pStyle w:val="Tablecontent"/>
              <w:jc w:val="center"/>
            </w:pPr>
            <w:r w:rsidRPr="00CE29E7">
              <w:t>achr</w:t>
            </w:r>
          </w:p>
        </w:tc>
        <w:tc>
          <w:tcPr>
            <w:tcW w:w="1134" w:type="dxa"/>
            <w:tcBorders>
              <w:left w:val="single" w:sz="4" w:space="0" w:color="auto"/>
            </w:tcBorders>
          </w:tcPr>
          <w:p w14:paraId="032E5560" w14:textId="6195F14C" w:rsidR="001A662D" w:rsidRPr="00E33AE2" w:rsidRDefault="001A662D" w:rsidP="001A662D">
            <w:pPr>
              <w:pStyle w:val="Tablecontent"/>
              <w:jc w:val="center"/>
            </w:pPr>
            <w:r w:rsidRPr="00CE29E7">
              <w:t>1.85</w:t>
            </w:r>
          </w:p>
        </w:tc>
        <w:tc>
          <w:tcPr>
            <w:tcW w:w="1276" w:type="dxa"/>
          </w:tcPr>
          <w:p w14:paraId="238DF1E2" w14:textId="148AD6F3" w:rsidR="001A662D" w:rsidRPr="00E33AE2" w:rsidRDefault="001A662D" w:rsidP="001A662D">
            <w:pPr>
              <w:pStyle w:val="Tablecontent"/>
              <w:jc w:val="center"/>
            </w:pPr>
            <w:r w:rsidRPr="005F1E77">
              <w:t>2.03</w:t>
            </w:r>
          </w:p>
        </w:tc>
        <w:tc>
          <w:tcPr>
            <w:tcW w:w="1134" w:type="dxa"/>
          </w:tcPr>
          <w:p w14:paraId="6BFB1985" w14:textId="1FE1981B" w:rsidR="001A662D" w:rsidRPr="0040503B" w:rsidRDefault="001A662D" w:rsidP="001A662D">
            <w:pPr>
              <w:pStyle w:val="Tablecontent"/>
              <w:jc w:val="center"/>
            </w:pPr>
            <w:r w:rsidRPr="00C871BA">
              <w:t xml:space="preserve"> 442 </w:t>
            </w:r>
          </w:p>
        </w:tc>
      </w:tr>
      <w:tr w:rsidR="001A662D" w14:paraId="6704DF8B" w14:textId="77777777" w:rsidTr="001A662D">
        <w:trPr>
          <w:jc w:val="center"/>
        </w:trPr>
        <w:tc>
          <w:tcPr>
            <w:tcW w:w="3261" w:type="dxa"/>
          </w:tcPr>
          <w:p w14:paraId="289407D3" w14:textId="31A655A4" w:rsidR="001A662D" w:rsidRPr="00B54820" w:rsidRDefault="001A662D" w:rsidP="001A662D">
            <w:pPr>
              <w:pStyle w:val="Tablecontent"/>
              <w:rPr>
                <w:i/>
              </w:rPr>
            </w:pPr>
            <w:r w:rsidRPr="00B54820">
              <w:rPr>
                <w:i/>
              </w:rPr>
              <w:t>Ara macao</w:t>
            </w:r>
          </w:p>
        </w:tc>
        <w:tc>
          <w:tcPr>
            <w:tcW w:w="850" w:type="dxa"/>
            <w:tcBorders>
              <w:right w:val="single" w:sz="4" w:space="0" w:color="auto"/>
            </w:tcBorders>
          </w:tcPr>
          <w:p w14:paraId="51FCE525" w14:textId="55304D4B" w:rsidR="001A662D" w:rsidRPr="00E33AE2" w:rsidRDefault="001A662D" w:rsidP="001A662D">
            <w:pPr>
              <w:pStyle w:val="Tablecontent"/>
              <w:jc w:val="center"/>
            </w:pPr>
            <w:r w:rsidRPr="00CE29E7">
              <w:t>amac</w:t>
            </w:r>
          </w:p>
        </w:tc>
        <w:tc>
          <w:tcPr>
            <w:tcW w:w="1134" w:type="dxa"/>
            <w:tcBorders>
              <w:left w:val="single" w:sz="4" w:space="0" w:color="auto"/>
            </w:tcBorders>
          </w:tcPr>
          <w:p w14:paraId="6DEF9ED2" w14:textId="3912127C" w:rsidR="001A662D" w:rsidRPr="00E33AE2" w:rsidRDefault="001A662D" w:rsidP="001A662D">
            <w:pPr>
              <w:pStyle w:val="Tablecontent"/>
              <w:jc w:val="center"/>
            </w:pPr>
            <w:r w:rsidRPr="00CE29E7">
              <w:t>0.84</w:t>
            </w:r>
          </w:p>
        </w:tc>
        <w:tc>
          <w:tcPr>
            <w:tcW w:w="1276" w:type="dxa"/>
          </w:tcPr>
          <w:p w14:paraId="1CACCB16" w14:textId="13E46F0B" w:rsidR="001A662D" w:rsidRPr="00E33AE2" w:rsidRDefault="001A662D" w:rsidP="001A662D">
            <w:pPr>
              <w:pStyle w:val="Tablecontent"/>
              <w:jc w:val="center"/>
            </w:pPr>
            <w:r w:rsidRPr="005F1E77">
              <w:t>0.87</w:t>
            </w:r>
          </w:p>
        </w:tc>
        <w:tc>
          <w:tcPr>
            <w:tcW w:w="1134" w:type="dxa"/>
          </w:tcPr>
          <w:p w14:paraId="5E97221F" w14:textId="6DB0D138" w:rsidR="001A662D" w:rsidRPr="0040503B" w:rsidRDefault="001A662D" w:rsidP="001A662D">
            <w:pPr>
              <w:pStyle w:val="Tablecontent"/>
              <w:jc w:val="center"/>
            </w:pPr>
            <w:r w:rsidRPr="00C871BA">
              <w:t xml:space="preserve"> 11 </w:t>
            </w:r>
          </w:p>
        </w:tc>
      </w:tr>
      <w:tr w:rsidR="001A662D" w14:paraId="3A9919ED" w14:textId="77777777" w:rsidTr="001A662D">
        <w:trPr>
          <w:jc w:val="center"/>
        </w:trPr>
        <w:tc>
          <w:tcPr>
            <w:tcW w:w="3261" w:type="dxa"/>
          </w:tcPr>
          <w:p w14:paraId="4100C0FF" w14:textId="321AA8A6" w:rsidR="001A662D" w:rsidRPr="00B54820" w:rsidRDefault="001A662D" w:rsidP="001A662D">
            <w:pPr>
              <w:pStyle w:val="Tablecontent"/>
              <w:rPr>
                <w:i/>
              </w:rPr>
            </w:pPr>
            <w:r w:rsidRPr="00B54820">
              <w:rPr>
                <w:i/>
              </w:rPr>
              <w:t>Balearica regulorum gibbericeps</w:t>
            </w:r>
          </w:p>
        </w:tc>
        <w:tc>
          <w:tcPr>
            <w:tcW w:w="850" w:type="dxa"/>
            <w:tcBorders>
              <w:right w:val="single" w:sz="4" w:space="0" w:color="auto"/>
            </w:tcBorders>
          </w:tcPr>
          <w:p w14:paraId="54F8C6E2" w14:textId="43C4C285" w:rsidR="001A662D" w:rsidRPr="00E33AE2" w:rsidRDefault="001A662D" w:rsidP="001A662D">
            <w:pPr>
              <w:pStyle w:val="Tablecontent"/>
              <w:jc w:val="center"/>
            </w:pPr>
            <w:r w:rsidRPr="00CE29E7">
              <w:t>breg</w:t>
            </w:r>
          </w:p>
        </w:tc>
        <w:tc>
          <w:tcPr>
            <w:tcW w:w="1134" w:type="dxa"/>
            <w:tcBorders>
              <w:left w:val="single" w:sz="4" w:space="0" w:color="auto"/>
            </w:tcBorders>
          </w:tcPr>
          <w:p w14:paraId="66F2BA8B" w14:textId="6E673677" w:rsidR="001A662D" w:rsidRPr="00E33AE2" w:rsidRDefault="001A662D" w:rsidP="001A662D">
            <w:pPr>
              <w:pStyle w:val="Tablecontent"/>
              <w:jc w:val="center"/>
            </w:pPr>
            <w:r w:rsidRPr="00CE29E7">
              <w:t>1.32</w:t>
            </w:r>
          </w:p>
        </w:tc>
        <w:tc>
          <w:tcPr>
            <w:tcW w:w="1276" w:type="dxa"/>
          </w:tcPr>
          <w:p w14:paraId="08EB5CA9" w14:textId="27775D02" w:rsidR="001A662D" w:rsidRPr="00E33AE2" w:rsidRDefault="001A662D" w:rsidP="001A662D">
            <w:pPr>
              <w:pStyle w:val="Tablecontent"/>
              <w:jc w:val="center"/>
            </w:pPr>
            <w:r w:rsidRPr="005F1E77">
              <w:t>1.39</w:t>
            </w:r>
          </w:p>
        </w:tc>
        <w:tc>
          <w:tcPr>
            <w:tcW w:w="1134" w:type="dxa"/>
          </w:tcPr>
          <w:p w14:paraId="072BE912" w14:textId="34CC9D0B" w:rsidR="001A662D" w:rsidRPr="0040503B" w:rsidRDefault="001A662D" w:rsidP="001A662D">
            <w:pPr>
              <w:pStyle w:val="Tablecontent"/>
              <w:jc w:val="center"/>
            </w:pPr>
            <w:r w:rsidRPr="00C871BA">
              <w:t xml:space="preserve"> 124 </w:t>
            </w:r>
          </w:p>
        </w:tc>
      </w:tr>
      <w:tr w:rsidR="001A662D" w14:paraId="62169C4D" w14:textId="77777777" w:rsidTr="001A662D">
        <w:trPr>
          <w:jc w:val="center"/>
        </w:trPr>
        <w:tc>
          <w:tcPr>
            <w:tcW w:w="3261" w:type="dxa"/>
          </w:tcPr>
          <w:p w14:paraId="1E847064" w14:textId="31AE7F7D" w:rsidR="001A662D" w:rsidRPr="00B54820" w:rsidRDefault="001A662D" w:rsidP="001A662D">
            <w:pPr>
              <w:pStyle w:val="Tablecontent"/>
              <w:rPr>
                <w:i/>
              </w:rPr>
            </w:pPr>
            <w:r w:rsidRPr="00B54820">
              <w:rPr>
                <w:i/>
              </w:rPr>
              <w:t>Buceros rhinoceros silvestris</w:t>
            </w:r>
          </w:p>
        </w:tc>
        <w:tc>
          <w:tcPr>
            <w:tcW w:w="850" w:type="dxa"/>
            <w:tcBorders>
              <w:right w:val="single" w:sz="4" w:space="0" w:color="auto"/>
            </w:tcBorders>
          </w:tcPr>
          <w:p w14:paraId="59D87741" w14:textId="0E5DA67F" w:rsidR="001A662D" w:rsidRPr="00E33AE2" w:rsidRDefault="001A662D" w:rsidP="001A662D">
            <w:pPr>
              <w:pStyle w:val="Tablecontent"/>
              <w:jc w:val="center"/>
            </w:pPr>
            <w:r w:rsidRPr="00CE29E7">
              <w:t>brhi</w:t>
            </w:r>
          </w:p>
        </w:tc>
        <w:tc>
          <w:tcPr>
            <w:tcW w:w="1134" w:type="dxa"/>
            <w:tcBorders>
              <w:left w:val="single" w:sz="4" w:space="0" w:color="auto"/>
            </w:tcBorders>
          </w:tcPr>
          <w:p w14:paraId="6063EB07" w14:textId="39C8FF93" w:rsidR="001A662D" w:rsidRPr="00E33AE2" w:rsidRDefault="001A662D" w:rsidP="001A662D">
            <w:pPr>
              <w:pStyle w:val="Tablecontent"/>
              <w:jc w:val="center"/>
            </w:pPr>
            <w:r w:rsidRPr="00CE29E7">
              <w:t>0.74</w:t>
            </w:r>
          </w:p>
        </w:tc>
        <w:tc>
          <w:tcPr>
            <w:tcW w:w="1276" w:type="dxa"/>
          </w:tcPr>
          <w:p w14:paraId="743C5364" w14:textId="5F2B3F29" w:rsidR="001A662D" w:rsidRPr="00E33AE2" w:rsidRDefault="001A662D" w:rsidP="001A662D">
            <w:pPr>
              <w:pStyle w:val="Tablecontent"/>
              <w:jc w:val="center"/>
            </w:pPr>
            <w:r w:rsidRPr="005F1E77">
              <w:t>1.52</w:t>
            </w:r>
          </w:p>
        </w:tc>
        <w:tc>
          <w:tcPr>
            <w:tcW w:w="1134" w:type="dxa"/>
          </w:tcPr>
          <w:p w14:paraId="53EDBA72" w14:textId="3B93C5AB" w:rsidR="001A662D" w:rsidRPr="0040503B" w:rsidRDefault="001A662D" w:rsidP="001A662D">
            <w:pPr>
              <w:pStyle w:val="Tablecontent"/>
              <w:jc w:val="center"/>
            </w:pPr>
            <w:r w:rsidRPr="00C871BA">
              <w:t xml:space="preserve"> 44 </w:t>
            </w:r>
          </w:p>
        </w:tc>
      </w:tr>
      <w:tr w:rsidR="001A662D" w14:paraId="3A498FD9" w14:textId="77777777" w:rsidTr="001A662D">
        <w:trPr>
          <w:jc w:val="center"/>
        </w:trPr>
        <w:tc>
          <w:tcPr>
            <w:tcW w:w="3261" w:type="dxa"/>
          </w:tcPr>
          <w:p w14:paraId="18771D9A" w14:textId="250D94CC" w:rsidR="001A662D" w:rsidRPr="00B54820" w:rsidRDefault="001A662D" w:rsidP="001A662D">
            <w:pPr>
              <w:pStyle w:val="Tablecontent"/>
              <w:rPr>
                <w:i/>
              </w:rPr>
            </w:pPr>
            <w:r w:rsidRPr="00B54820">
              <w:rPr>
                <w:i/>
              </w:rPr>
              <w:t>Calidris pugnax</w:t>
            </w:r>
          </w:p>
        </w:tc>
        <w:tc>
          <w:tcPr>
            <w:tcW w:w="850" w:type="dxa"/>
            <w:tcBorders>
              <w:right w:val="single" w:sz="4" w:space="0" w:color="auto"/>
            </w:tcBorders>
          </w:tcPr>
          <w:p w14:paraId="2CB75871" w14:textId="15121893" w:rsidR="001A662D" w:rsidRPr="00E33AE2" w:rsidRDefault="001A662D" w:rsidP="001A662D">
            <w:pPr>
              <w:pStyle w:val="Tablecontent"/>
              <w:jc w:val="center"/>
            </w:pPr>
            <w:r w:rsidRPr="00CE29E7">
              <w:t>cpug</w:t>
            </w:r>
          </w:p>
        </w:tc>
        <w:tc>
          <w:tcPr>
            <w:tcW w:w="1134" w:type="dxa"/>
            <w:tcBorders>
              <w:left w:val="single" w:sz="4" w:space="0" w:color="auto"/>
            </w:tcBorders>
          </w:tcPr>
          <w:p w14:paraId="10C8A312" w14:textId="7245774C" w:rsidR="001A662D" w:rsidRPr="00E33AE2" w:rsidRDefault="001A662D" w:rsidP="001A662D">
            <w:pPr>
              <w:pStyle w:val="Tablecontent"/>
              <w:jc w:val="center"/>
            </w:pPr>
            <w:r w:rsidRPr="00CE29E7">
              <w:t>0.57</w:t>
            </w:r>
          </w:p>
        </w:tc>
        <w:tc>
          <w:tcPr>
            <w:tcW w:w="1276" w:type="dxa"/>
          </w:tcPr>
          <w:p w14:paraId="7C24AFF8" w14:textId="6C9C1F8D" w:rsidR="001A662D" w:rsidRPr="00E33AE2" w:rsidRDefault="001A662D" w:rsidP="001A662D">
            <w:pPr>
              <w:pStyle w:val="Tablecontent"/>
              <w:jc w:val="center"/>
            </w:pPr>
            <w:r w:rsidRPr="005F1E77">
              <w:t>3.61</w:t>
            </w:r>
          </w:p>
        </w:tc>
        <w:tc>
          <w:tcPr>
            <w:tcW w:w="1134" w:type="dxa"/>
          </w:tcPr>
          <w:p w14:paraId="0C126F6E" w14:textId="076A7E9F" w:rsidR="001A662D" w:rsidRPr="0040503B" w:rsidRDefault="001A662D" w:rsidP="001A662D">
            <w:pPr>
              <w:pStyle w:val="Tablecontent"/>
              <w:jc w:val="center"/>
            </w:pPr>
            <w:r w:rsidRPr="00C871BA">
              <w:t xml:space="preserve"> 280 </w:t>
            </w:r>
          </w:p>
        </w:tc>
      </w:tr>
      <w:tr w:rsidR="001A662D" w14:paraId="66C3F3CA" w14:textId="77777777" w:rsidTr="001A662D">
        <w:trPr>
          <w:jc w:val="center"/>
        </w:trPr>
        <w:tc>
          <w:tcPr>
            <w:tcW w:w="3261" w:type="dxa"/>
          </w:tcPr>
          <w:p w14:paraId="33205D36" w14:textId="59454428" w:rsidR="001A662D" w:rsidRPr="00B54820" w:rsidRDefault="001A662D" w:rsidP="001A662D">
            <w:pPr>
              <w:pStyle w:val="Tablecontent"/>
              <w:rPr>
                <w:i/>
              </w:rPr>
            </w:pPr>
            <w:r w:rsidRPr="00B54820">
              <w:rPr>
                <w:i/>
              </w:rPr>
              <w:t>Calypte anna</w:t>
            </w:r>
          </w:p>
        </w:tc>
        <w:tc>
          <w:tcPr>
            <w:tcW w:w="850" w:type="dxa"/>
            <w:tcBorders>
              <w:right w:val="single" w:sz="4" w:space="0" w:color="auto"/>
            </w:tcBorders>
          </w:tcPr>
          <w:p w14:paraId="7BA4B13D" w14:textId="51549DE7" w:rsidR="001A662D" w:rsidRPr="00E33AE2" w:rsidRDefault="001A662D" w:rsidP="001A662D">
            <w:pPr>
              <w:pStyle w:val="Tablecontent"/>
              <w:jc w:val="center"/>
            </w:pPr>
            <w:r w:rsidRPr="00CE29E7">
              <w:t>cann</w:t>
            </w:r>
          </w:p>
        </w:tc>
        <w:tc>
          <w:tcPr>
            <w:tcW w:w="1134" w:type="dxa"/>
            <w:tcBorders>
              <w:left w:val="single" w:sz="4" w:space="0" w:color="auto"/>
            </w:tcBorders>
          </w:tcPr>
          <w:p w14:paraId="78305C14" w14:textId="363A8BEC" w:rsidR="001A662D" w:rsidRPr="00E33AE2" w:rsidRDefault="001A662D" w:rsidP="001A662D">
            <w:pPr>
              <w:pStyle w:val="Tablecontent"/>
              <w:jc w:val="center"/>
            </w:pPr>
            <w:r w:rsidRPr="00CE29E7">
              <w:t>0.64</w:t>
            </w:r>
          </w:p>
        </w:tc>
        <w:tc>
          <w:tcPr>
            <w:tcW w:w="1276" w:type="dxa"/>
          </w:tcPr>
          <w:p w14:paraId="72497342" w14:textId="2D5CEF56" w:rsidR="001A662D" w:rsidRPr="00E33AE2" w:rsidRDefault="001A662D" w:rsidP="001A662D">
            <w:pPr>
              <w:pStyle w:val="Tablecontent"/>
              <w:jc w:val="center"/>
            </w:pPr>
            <w:r w:rsidRPr="005F1E77">
              <w:t>3.30</w:t>
            </w:r>
          </w:p>
        </w:tc>
        <w:tc>
          <w:tcPr>
            <w:tcW w:w="1134" w:type="dxa"/>
          </w:tcPr>
          <w:p w14:paraId="18F76AAB" w14:textId="5891BD1D" w:rsidR="001A662D" w:rsidRPr="0040503B" w:rsidRDefault="001A662D" w:rsidP="001A662D">
            <w:pPr>
              <w:pStyle w:val="Tablecontent"/>
              <w:jc w:val="center"/>
            </w:pPr>
            <w:r w:rsidRPr="00C871BA">
              <w:t xml:space="preserve"> 340 </w:t>
            </w:r>
          </w:p>
        </w:tc>
      </w:tr>
      <w:tr w:rsidR="001A662D" w14:paraId="2E1821F8" w14:textId="77777777" w:rsidTr="001A662D">
        <w:trPr>
          <w:jc w:val="center"/>
        </w:trPr>
        <w:tc>
          <w:tcPr>
            <w:tcW w:w="3261" w:type="dxa"/>
          </w:tcPr>
          <w:p w14:paraId="066C8C24" w14:textId="248C80E8" w:rsidR="001A662D" w:rsidRPr="00B54820" w:rsidRDefault="001A662D" w:rsidP="001A662D">
            <w:pPr>
              <w:pStyle w:val="Tablecontent"/>
              <w:rPr>
                <w:i/>
              </w:rPr>
            </w:pPr>
            <w:r w:rsidRPr="00B54820">
              <w:rPr>
                <w:i/>
              </w:rPr>
              <w:t>Cariama cristata</w:t>
            </w:r>
          </w:p>
        </w:tc>
        <w:tc>
          <w:tcPr>
            <w:tcW w:w="850" w:type="dxa"/>
            <w:tcBorders>
              <w:right w:val="single" w:sz="4" w:space="0" w:color="auto"/>
            </w:tcBorders>
          </w:tcPr>
          <w:p w14:paraId="0D48E8F2" w14:textId="3D39FDC0" w:rsidR="001A662D" w:rsidRPr="00E33AE2" w:rsidRDefault="001A662D" w:rsidP="001A662D">
            <w:pPr>
              <w:pStyle w:val="Tablecontent"/>
              <w:jc w:val="center"/>
            </w:pPr>
            <w:r w:rsidRPr="00CE29E7">
              <w:t>ccri</w:t>
            </w:r>
          </w:p>
        </w:tc>
        <w:tc>
          <w:tcPr>
            <w:tcW w:w="1134" w:type="dxa"/>
            <w:tcBorders>
              <w:left w:val="single" w:sz="4" w:space="0" w:color="auto"/>
            </w:tcBorders>
          </w:tcPr>
          <w:p w14:paraId="411D314E" w14:textId="74C894CD" w:rsidR="001A662D" w:rsidRPr="00E33AE2" w:rsidRDefault="001A662D" w:rsidP="001A662D">
            <w:pPr>
              <w:pStyle w:val="Tablecontent"/>
              <w:jc w:val="center"/>
            </w:pPr>
            <w:r w:rsidRPr="00CE29E7">
              <w:t>0.73</w:t>
            </w:r>
          </w:p>
        </w:tc>
        <w:tc>
          <w:tcPr>
            <w:tcW w:w="1276" w:type="dxa"/>
          </w:tcPr>
          <w:p w14:paraId="17F94951" w14:textId="4D2AD21B" w:rsidR="001A662D" w:rsidRPr="00E33AE2" w:rsidRDefault="001A662D" w:rsidP="001A662D">
            <w:pPr>
              <w:pStyle w:val="Tablecontent"/>
              <w:jc w:val="center"/>
            </w:pPr>
            <w:r w:rsidRPr="005F1E77">
              <w:t>1.51</w:t>
            </w:r>
          </w:p>
        </w:tc>
        <w:tc>
          <w:tcPr>
            <w:tcW w:w="1134" w:type="dxa"/>
          </w:tcPr>
          <w:p w14:paraId="78A6B26E" w14:textId="254C5193" w:rsidR="001A662D" w:rsidRPr="0040503B" w:rsidRDefault="001A662D" w:rsidP="001A662D">
            <w:pPr>
              <w:pStyle w:val="Tablecontent"/>
              <w:jc w:val="center"/>
            </w:pPr>
            <w:r w:rsidRPr="00C871BA">
              <w:t xml:space="preserve"> 76 </w:t>
            </w:r>
          </w:p>
        </w:tc>
      </w:tr>
      <w:tr w:rsidR="001A662D" w14:paraId="019AE00E" w14:textId="77777777" w:rsidTr="001A662D">
        <w:trPr>
          <w:jc w:val="center"/>
        </w:trPr>
        <w:tc>
          <w:tcPr>
            <w:tcW w:w="3261" w:type="dxa"/>
          </w:tcPr>
          <w:p w14:paraId="6EDBF23F" w14:textId="269DB2B0" w:rsidR="001A662D" w:rsidRPr="00B54820" w:rsidRDefault="001A662D" w:rsidP="001A662D">
            <w:pPr>
              <w:pStyle w:val="Tablecontent"/>
              <w:rPr>
                <w:i/>
              </w:rPr>
            </w:pPr>
            <w:r w:rsidRPr="00B54820">
              <w:rPr>
                <w:i/>
              </w:rPr>
              <w:t>Cathartes aura</w:t>
            </w:r>
          </w:p>
        </w:tc>
        <w:tc>
          <w:tcPr>
            <w:tcW w:w="850" w:type="dxa"/>
            <w:tcBorders>
              <w:right w:val="single" w:sz="4" w:space="0" w:color="auto"/>
            </w:tcBorders>
          </w:tcPr>
          <w:p w14:paraId="06E93BD9" w14:textId="0ADCCF79" w:rsidR="001A662D" w:rsidRPr="00E33AE2" w:rsidRDefault="001A662D" w:rsidP="001A662D">
            <w:pPr>
              <w:pStyle w:val="Tablecontent"/>
              <w:jc w:val="center"/>
            </w:pPr>
            <w:r w:rsidRPr="00CE29E7">
              <w:t>caur</w:t>
            </w:r>
          </w:p>
        </w:tc>
        <w:tc>
          <w:tcPr>
            <w:tcW w:w="1134" w:type="dxa"/>
            <w:tcBorders>
              <w:left w:val="single" w:sz="4" w:space="0" w:color="auto"/>
            </w:tcBorders>
          </w:tcPr>
          <w:p w14:paraId="3CA9A91B" w14:textId="54101E03" w:rsidR="001A662D" w:rsidRPr="00E33AE2" w:rsidRDefault="001A662D" w:rsidP="001A662D">
            <w:pPr>
              <w:pStyle w:val="Tablecontent"/>
              <w:jc w:val="center"/>
            </w:pPr>
            <w:r w:rsidRPr="00CE29E7">
              <w:t>0.92</w:t>
            </w:r>
          </w:p>
        </w:tc>
        <w:tc>
          <w:tcPr>
            <w:tcW w:w="1276" w:type="dxa"/>
          </w:tcPr>
          <w:p w14:paraId="53C95044" w14:textId="5711C0E5" w:rsidR="001A662D" w:rsidRPr="00E33AE2" w:rsidRDefault="001A662D" w:rsidP="001A662D">
            <w:pPr>
              <w:pStyle w:val="Tablecontent"/>
              <w:jc w:val="center"/>
            </w:pPr>
            <w:r w:rsidRPr="005F1E77">
              <w:t>0.95</w:t>
            </w:r>
          </w:p>
        </w:tc>
        <w:tc>
          <w:tcPr>
            <w:tcW w:w="1134" w:type="dxa"/>
          </w:tcPr>
          <w:p w14:paraId="7977BD02" w14:textId="2E7410A9" w:rsidR="001A662D" w:rsidRPr="0040503B" w:rsidRDefault="001A662D" w:rsidP="001A662D">
            <w:pPr>
              <w:pStyle w:val="Tablecontent"/>
              <w:jc w:val="center"/>
            </w:pPr>
            <w:r w:rsidRPr="00C871BA">
              <w:t xml:space="preserve"> 19 </w:t>
            </w:r>
          </w:p>
        </w:tc>
      </w:tr>
      <w:tr w:rsidR="001A662D" w14:paraId="203A9736" w14:textId="77777777" w:rsidTr="001A662D">
        <w:trPr>
          <w:jc w:val="center"/>
        </w:trPr>
        <w:tc>
          <w:tcPr>
            <w:tcW w:w="3261" w:type="dxa"/>
          </w:tcPr>
          <w:p w14:paraId="28E4E003" w14:textId="31AD3F8A" w:rsidR="001A662D" w:rsidRPr="00B54820" w:rsidRDefault="001A662D" w:rsidP="001A662D">
            <w:pPr>
              <w:pStyle w:val="Tablecontent"/>
              <w:rPr>
                <w:i/>
              </w:rPr>
            </w:pPr>
            <w:r w:rsidRPr="00B54820">
              <w:rPr>
                <w:i/>
              </w:rPr>
              <w:t>Chaetura pelagica</w:t>
            </w:r>
          </w:p>
        </w:tc>
        <w:tc>
          <w:tcPr>
            <w:tcW w:w="850" w:type="dxa"/>
            <w:tcBorders>
              <w:right w:val="single" w:sz="4" w:space="0" w:color="auto"/>
            </w:tcBorders>
          </w:tcPr>
          <w:p w14:paraId="6F729194" w14:textId="5E6B582A" w:rsidR="001A662D" w:rsidRPr="00E33AE2" w:rsidRDefault="001A662D" w:rsidP="001A662D">
            <w:pPr>
              <w:pStyle w:val="Tablecontent"/>
              <w:jc w:val="center"/>
            </w:pPr>
            <w:r w:rsidRPr="00CE29E7">
              <w:t>cpel</w:t>
            </w:r>
          </w:p>
        </w:tc>
        <w:tc>
          <w:tcPr>
            <w:tcW w:w="1134" w:type="dxa"/>
            <w:tcBorders>
              <w:left w:val="single" w:sz="4" w:space="0" w:color="auto"/>
            </w:tcBorders>
          </w:tcPr>
          <w:p w14:paraId="1947C757" w14:textId="57222497" w:rsidR="001A662D" w:rsidRPr="00E33AE2" w:rsidRDefault="001A662D" w:rsidP="001A662D">
            <w:pPr>
              <w:pStyle w:val="Tablecontent"/>
              <w:jc w:val="center"/>
            </w:pPr>
            <w:r w:rsidRPr="00CE29E7">
              <w:t>0.67</w:t>
            </w:r>
          </w:p>
        </w:tc>
        <w:tc>
          <w:tcPr>
            <w:tcW w:w="1276" w:type="dxa"/>
          </w:tcPr>
          <w:p w14:paraId="71B70FB9" w14:textId="335F2249" w:rsidR="001A662D" w:rsidRPr="00E33AE2" w:rsidRDefault="001A662D" w:rsidP="001A662D">
            <w:pPr>
              <w:pStyle w:val="Tablecontent"/>
              <w:jc w:val="center"/>
            </w:pPr>
            <w:r w:rsidRPr="005F1E77">
              <w:t>3.72</w:t>
            </w:r>
          </w:p>
        </w:tc>
        <w:tc>
          <w:tcPr>
            <w:tcW w:w="1134" w:type="dxa"/>
          </w:tcPr>
          <w:p w14:paraId="16E3121D" w14:textId="3ADAC0BF" w:rsidR="001A662D" w:rsidRPr="0040503B" w:rsidRDefault="001A662D" w:rsidP="001A662D">
            <w:pPr>
              <w:pStyle w:val="Tablecontent"/>
              <w:jc w:val="center"/>
            </w:pPr>
            <w:r w:rsidRPr="00C871BA">
              <w:t xml:space="preserve"> 312 </w:t>
            </w:r>
          </w:p>
        </w:tc>
      </w:tr>
      <w:tr w:rsidR="001A662D" w14:paraId="33D1DCB0" w14:textId="77777777" w:rsidTr="001A662D">
        <w:trPr>
          <w:jc w:val="center"/>
        </w:trPr>
        <w:tc>
          <w:tcPr>
            <w:tcW w:w="3261" w:type="dxa"/>
          </w:tcPr>
          <w:p w14:paraId="7E590838" w14:textId="35413792" w:rsidR="001A662D" w:rsidRPr="00B54820" w:rsidRDefault="001A662D" w:rsidP="001A662D">
            <w:pPr>
              <w:pStyle w:val="Tablecontent"/>
              <w:rPr>
                <w:i/>
              </w:rPr>
            </w:pPr>
            <w:r w:rsidRPr="00B54820">
              <w:rPr>
                <w:i/>
              </w:rPr>
              <w:t>Charadrius vociferus</w:t>
            </w:r>
          </w:p>
        </w:tc>
        <w:tc>
          <w:tcPr>
            <w:tcW w:w="850" w:type="dxa"/>
            <w:tcBorders>
              <w:right w:val="single" w:sz="4" w:space="0" w:color="auto"/>
            </w:tcBorders>
          </w:tcPr>
          <w:p w14:paraId="389D5B4F" w14:textId="21FDA95E" w:rsidR="001A662D" w:rsidRPr="00E33AE2" w:rsidRDefault="001A662D" w:rsidP="001A662D">
            <w:pPr>
              <w:pStyle w:val="Tablecontent"/>
              <w:jc w:val="center"/>
            </w:pPr>
            <w:r w:rsidRPr="00CE29E7">
              <w:t>cvoc</w:t>
            </w:r>
          </w:p>
        </w:tc>
        <w:tc>
          <w:tcPr>
            <w:tcW w:w="1134" w:type="dxa"/>
            <w:tcBorders>
              <w:left w:val="single" w:sz="4" w:space="0" w:color="auto"/>
            </w:tcBorders>
          </w:tcPr>
          <w:p w14:paraId="07C4AF0F" w14:textId="1B574003" w:rsidR="001A662D" w:rsidRPr="00E33AE2" w:rsidRDefault="001A662D" w:rsidP="001A662D">
            <w:pPr>
              <w:pStyle w:val="Tablecontent"/>
              <w:jc w:val="center"/>
            </w:pPr>
            <w:r w:rsidRPr="00CE29E7">
              <w:t>0.81</w:t>
            </w:r>
          </w:p>
        </w:tc>
        <w:tc>
          <w:tcPr>
            <w:tcW w:w="1276" w:type="dxa"/>
          </w:tcPr>
          <w:p w14:paraId="1F7C7F42" w14:textId="6A0834C8" w:rsidR="001A662D" w:rsidRPr="00E33AE2" w:rsidRDefault="001A662D" w:rsidP="001A662D">
            <w:pPr>
              <w:pStyle w:val="Tablecontent"/>
              <w:jc w:val="center"/>
            </w:pPr>
            <w:r w:rsidRPr="005F1E77">
              <w:t>3.39</w:t>
            </w:r>
          </w:p>
        </w:tc>
        <w:tc>
          <w:tcPr>
            <w:tcW w:w="1134" w:type="dxa"/>
          </w:tcPr>
          <w:p w14:paraId="062AD249" w14:textId="15D400CC" w:rsidR="001A662D" w:rsidRPr="0040503B" w:rsidRDefault="001A662D" w:rsidP="001A662D">
            <w:pPr>
              <w:pStyle w:val="Tablecontent"/>
              <w:jc w:val="center"/>
            </w:pPr>
            <w:r w:rsidRPr="00C871BA">
              <w:t xml:space="preserve"> 375 </w:t>
            </w:r>
          </w:p>
        </w:tc>
      </w:tr>
      <w:tr w:rsidR="001A662D" w14:paraId="1126DDCE" w14:textId="77777777" w:rsidTr="001A662D">
        <w:trPr>
          <w:jc w:val="center"/>
        </w:trPr>
        <w:tc>
          <w:tcPr>
            <w:tcW w:w="3261" w:type="dxa"/>
          </w:tcPr>
          <w:p w14:paraId="647714F8" w14:textId="03E43F23" w:rsidR="001A662D" w:rsidRPr="00B54820" w:rsidRDefault="001A662D" w:rsidP="001A662D">
            <w:pPr>
              <w:pStyle w:val="Tablecontent"/>
              <w:rPr>
                <w:i/>
              </w:rPr>
            </w:pPr>
            <w:r w:rsidRPr="00B54820">
              <w:rPr>
                <w:i/>
              </w:rPr>
              <w:t>Chlamydotis macqueenii</w:t>
            </w:r>
          </w:p>
        </w:tc>
        <w:tc>
          <w:tcPr>
            <w:tcW w:w="850" w:type="dxa"/>
            <w:tcBorders>
              <w:right w:val="single" w:sz="4" w:space="0" w:color="auto"/>
            </w:tcBorders>
          </w:tcPr>
          <w:p w14:paraId="476C611C" w14:textId="6656D3D7" w:rsidR="001A662D" w:rsidRPr="00E33AE2" w:rsidRDefault="001A662D" w:rsidP="001A662D">
            <w:pPr>
              <w:pStyle w:val="Tablecontent"/>
              <w:jc w:val="center"/>
            </w:pPr>
            <w:r w:rsidRPr="00CE29E7">
              <w:t>cmac</w:t>
            </w:r>
          </w:p>
        </w:tc>
        <w:tc>
          <w:tcPr>
            <w:tcW w:w="1134" w:type="dxa"/>
            <w:tcBorders>
              <w:left w:val="single" w:sz="4" w:space="0" w:color="auto"/>
            </w:tcBorders>
          </w:tcPr>
          <w:p w14:paraId="23D6420B" w14:textId="2C09CCCD" w:rsidR="001A662D" w:rsidRPr="00E33AE2" w:rsidRDefault="001A662D" w:rsidP="001A662D">
            <w:pPr>
              <w:pStyle w:val="Tablecontent"/>
              <w:jc w:val="center"/>
            </w:pPr>
            <w:r w:rsidRPr="00CE29E7">
              <w:t>1.20</w:t>
            </w:r>
          </w:p>
        </w:tc>
        <w:tc>
          <w:tcPr>
            <w:tcW w:w="1276" w:type="dxa"/>
          </w:tcPr>
          <w:p w14:paraId="6DB075C9" w14:textId="73CB0879" w:rsidR="001A662D" w:rsidRPr="00E33AE2" w:rsidRDefault="001A662D" w:rsidP="001A662D">
            <w:pPr>
              <w:pStyle w:val="Tablecontent"/>
              <w:jc w:val="center"/>
            </w:pPr>
            <w:r w:rsidRPr="005F1E77">
              <w:t>2.09</w:t>
            </w:r>
          </w:p>
        </w:tc>
        <w:tc>
          <w:tcPr>
            <w:tcW w:w="1134" w:type="dxa"/>
          </w:tcPr>
          <w:p w14:paraId="25A39F66" w14:textId="1078BB8B" w:rsidR="001A662D" w:rsidRPr="0040503B" w:rsidRDefault="001A662D" w:rsidP="001A662D">
            <w:pPr>
              <w:pStyle w:val="Tablecontent"/>
              <w:jc w:val="center"/>
            </w:pPr>
            <w:r w:rsidRPr="00C871BA">
              <w:t xml:space="preserve"> 68 </w:t>
            </w:r>
          </w:p>
        </w:tc>
      </w:tr>
      <w:tr w:rsidR="001A662D" w14:paraId="2E61BB10" w14:textId="77777777" w:rsidTr="001A662D">
        <w:trPr>
          <w:jc w:val="center"/>
        </w:trPr>
        <w:tc>
          <w:tcPr>
            <w:tcW w:w="3261" w:type="dxa"/>
          </w:tcPr>
          <w:p w14:paraId="76EAF419" w14:textId="747309E8" w:rsidR="001A662D" w:rsidRPr="00B54820" w:rsidRDefault="001A662D" w:rsidP="001A662D">
            <w:pPr>
              <w:pStyle w:val="Tablecontent"/>
              <w:rPr>
                <w:i/>
              </w:rPr>
            </w:pPr>
            <w:r w:rsidRPr="00B54820">
              <w:rPr>
                <w:i/>
              </w:rPr>
              <w:lastRenderedPageBreak/>
              <w:t>Chrysemys picta belii *</w:t>
            </w:r>
          </w:p>
        </w:tc>
        <w:tc>
          <w:tcPr>
            <w:tcW w:w="850" w:type="dxa"/>
            <w:tcBorders>
              <w:right w:val="single" w:sz="4" w:space="0" w:color="auto"/>
            </w:tcBorders>
          </w:tcPr>
          <w:p w14:paraId="2EA34BAF" w14:textId="7C4FEE0E" w:rsidR="001A662D" w:rsidRPr="00E33AE2" w:rsidRDefault="001A662D" w:rsidP="001A662D">
            <w:pPr>
              <w:pStyle w:val="Tablecontent"/>
              <w:jc w:val="center"/>
            </w:pPr>
            <w:r w:rsidRPr="00CE29E7">
              <w:t>cpic</w:t>
            </w:r>
          </w:p>
        </w:tc>
        <w:tc>
          <w:tcPr>
            <w:tcW w:w="1134" w:type="dxa"/>
            <w:tcBorders>
              <w:left w:val="single" w:sz="4" w:space="0" w:color="auto"/>
            </w:tcBorders>
          </w:tcPr>
          <w:p w14:paraId="499B41EE" w14:textId="216C9B21" w:rsidR="001A662D" w:rsidRPr="00E33AE2" w:rsidRDefault="001A662D" w:rsidP="001A662D">
            <w:pPr>
              <w:pStyle w:val="Tablecontent"/>
              <w:jc w:val="center"/>
            </w:pPr>
            <w:r w:rsidRPr="00CE29E7">
              <w:t>1.30</w:t>
            </w:r>
          </w:p>
        </w:tc>
        <w:tc>
          <w:tcPr>
            <w:tcW w:w="1276" w:type="dxa"/>
          </w:tcPr>
          <w:p w14:paraId="643D1AA1" w14:textId="59DCAE5E" w:rsidR="001A662D" w:rsidRPr="00E33AE2" w:rsidRDefault="001A662D" w:rsidP="001A662D">
            <w:pPr>
              <w:pStyle w:val="Tablecontent"/>
              <w:jc w:val="center"/>
            </w:pPr>
            <w:r w:rsidRPr="005F1E77">
              <w:t>8.96</w:t>
            </w:r>
          </w:p>
        </w:tc>
        <w:tc>
          <w:tcPr>
            <w:tcW w:w="1134" w:type="dxa"/>
          </w:tcPr>
          <w:p w14:paraId="17338428" w14:textId="069A47C1" w:rsidR="001A662D" w:rsidRPr="0040503B" w:rsidRDefault="001A662D" w:rsidP="001A662D">
            <w:pPr>
              <w:pStyle w:val="Tablecontent"/>
              <w:jc w:val="center"/>
            </w:pPr>
            <w:r w:rsidRPr="00C871BA">
              <w:t xml:space="preserve"> 3,209 </w:t>
            </w:r>
          </w:p>
        </w:tc>
      </w:tr>
      <w:tr w:rsidR="001A662D" w14:paraId="764F10A1" w14:textId="77777777" w:rsidTr="001A662D">
        <w:trPr>
          <w:jc w:val="center"/>
        </w:trPr>
        <w:tc>
          <w:tcPr>
            <w:tcW w:w="3261" w:type="dxa"/>
          </w:tcPr>
          <w:p w14:paraId="11ECB706" w14:textId="2388EA93" w:rsidR="001A662D" w:rsidRPr="00B54820" w:rsidRDefault="001A662D" w:rsidP="001A662D">
            <w:pPr>
              <w:pStyle w:val="Tablecontent"/>
              <w:rPr>
                <w:i/>
              </w:rPr>
            </w:pPr>
            <w:r w:rsidRPr="00B54820">
              <w:rPr>
                <w:i/>
              </w:rPr>
              <w:t>Colinus virginianus</w:t>
            </w:r>
          </w:p>
        </w:tc>
        <w:tc>
          <w:tcPr>
            <w:tcW w:w="850" w:type="dxa"/>
            <w:tcBorders>
              <w:right w:val="single" w:sz="4" w:space="0" w:color="auto"/>
            </w:tcBorders>
          </w:tcPr>
          <w:p w14:paraId="41360C7D" w14:textId="569BC1F9" w:rsidR="001A662D" w:rsidRPr="00E33AE2" w:rsidRDefault="001A662D" w:rsidP="001A662D">
            <w:pPr>
              <w:pStyle w:val="Tablecontent"/>
              <w:jc w:val="center"/>
            </w:pPr>
            <w:r w:rsidRPr="00CE29E7">
              <w:t>cvir</w:t>
            </w:r>
          </w:p>
        </w:tc>
        <w:tc>
          <w:tcPr>
            <w:tcW w:w="1134" w:type="dxa"/>
            <w:tcBorders>
              <w:left w:val="single" w:sz="4" w:space="0" w:color="auto"/>
            </w:tcBorders>
          </w:tcPr>
          <w:p w14:paraId="5189F0CD" w14:textId="306D4C9E" w:rsidR="001A662D" w:rsidRPr="00E33AE2" w:rsidRDefault="001A662D" w:rsidP="001A662D">
            <w:pPr>
              <w:pStyle w:val="Tablecontent"/>
              <w:jc w:val="center"/>
            </w:pPr>
            <w:r w:rsidRPr="00CE29E7">
              <w:t>1.12</w:t>
            </w:r>
          </w:p>
        </w:tc>
        <w:tc>
          <w:tcPr>
            <w:tcW w:w="1276" w:type="dxa"/>
          </w:tcPr>
          <w:p w14:paraId="33E7B6B3" w14:textId="416F3E3A" w:rsidR="001A662D" w:rsidRPr="00E33AE2" w:rsidRDefault="001A662D" w:rsidP="001A662D">
            <w:pPr>
              <w:pStyle w:val="Tablecontent"/>
              <w:jc w:val="center"/>
            </w:pPr>
            <w:r w:rsidRPr="005F1E77">
              <w:t>1.21</w:t>
            </w:r>
          </w:p>
        </w:tc>
        <w:tc>
          <w:tcPr>
            <w:tcW w:w="1134" w:type="dxa"/>
          </w:tcPr>
          <w:p w14:paraId="5B58BCC7" w14:textId="364211C2" w:rsidR="001A662D" w:rsidRPr="0040503B" w:rsidRDefault="001A662D" w:rsidP="001A662D">
            <w:pPr>
              <w:pStyle w:val="Tablecontent"/>
              <w:jc w:val="center"/>
            </w:pPr>
            <w:r w:rsidRPr="00C871BA">
              <w:t xml:space="preserve"> 22 </w:t>
            </w:r>
          </w:p>
        </w:tc>
      </w:tr>
      <w:tr w:rsidR="001A662D" w14:paraId="60624F72" w14:textId="77777777" w:rsidTr="001A662D">
        <w:trPr>
          <w:jc w:val="center"/>
        </w:trPr>
        <w:tc>
          <w:tcPr>
            <w:tcW w:w="3261" w:type="dxa"/>
          </w:tcPr>
          <w:p w14:paraId="5EAFBB8A" w14:textId="4C8001C8" w:rsidR="001A662D" w:rsidRPr="00B54820" w:rsidRDefault="001A662D" w:rsidP="001A662D">
            <w:pPr>
              <w:pStyle w:val="Tablecontent"/>
              <w:rPr>
                <w:i/>
              </w:rPr>
            </w:pPr>
            <w:r w:rsidRPr="00B54820">
              <w:rPr>
                <w:i/>
              </w:rPr>
              <w:t>Colius striatus</w:t>
            </w:r>
          </w:p>
        </w:tc>
        <w:tc>
          <w:tcPr>
            <w:tcW w:w="850" w:type="dxa"/>
            <w:tcBorders>
              <w:right w:val="single" w:sz="4" w:space="0" w:color="auto"/>
            </w:tcBorders>
          </w:tcPr>
          <w:p w14:paraId="16BA982B" w14:textId="65D13E7B" w:rsidR="001A662D" w:rsidRPr="00E33AE2" w:rsidRDefault="001A662D" w:rsidP="001A662D">
            <w:pPr>
              <w:pStyle w:val="Tablecontent"/>
              <w:jc w:val="center"/>
            </w:pPr>
            <w:r w:rsidRPr="00CE29E7">
              <w:t>cstr</w:t>
            </w:r>
          </w:p>
        </w:tc>
        <w:tc>
          <w:tcPr>
            <w:tcW w:w="1134" w:type="dxa"/>
            <w:tcBorders>
              <w:left w:val="single" w:sz="4" w:space="0" w:color="auto"/>
            </w:tcBorders>
          </w:tcPr>
          <w:p w14:paraId="0F6C66D7" w14:textId="2756D2F2" w:rsidR="001A662D" w:rsidRPr="00E33AE2" w:rsidRDefault="001A662D" w:rsidP="001A662D">
            <w:pPr>
              <w:pStyle w:val="Tablecontent"/>
              <w:jc w:val="center"/>
            </w:pPr>
            <w:r w:rsidRPr="00CE29E7">
              <w:t>1.76</w:t>
            </w:r>
          </w:p>
        </w:tc>
        <w:tc>
          <w:tcPr>
            <w:tcW w:w="1276" w:type="dxa"/>
          </w:tcPr>
          <w:p w14:paraId="4CB208F1" w14:textId="67FB7F0D" w:rsidR="001A662D" w:rsidRPr="00E33AE2" w:rsidRDefault="001A662D" w:rsidP="001A662D">
            <w:pPr>
              <w:pStyle w:val="Tablecontent"/>
              <w:jc w:val="center"/>
            </w:pPr>
            <w:r w:rsidRPr="005F1E77">
              <w:t>4.77</w:t>
            </w:r>
          </w:p>
        </w:tc>
        <w:tc>
          <w:tcPr>
            <w:tcW w:w="1134" w:type="dxa"/>
          </w:tcPr>
          <w:p w14:paraId="650DE049" w14:textId="404F7B0A" w:rsidR="001A662D" w:rsidRPr="0040503B" w:rsidRDefault="001A662D" w:rsidP="001A662D">
            <w:pPr>
              <w:pStyle w:val="Tablecontent"/>
              <w:jc w:val="center"/>
            </w:pPr>
            <w:r w:rsidRPr="00C871BA">
              <w:t xml:space="preserve"> 109 </w:t>
            </w:r>
          </w:p>
        </w:tc>
      </w:tr>
      <w:tr w:rsidR="001A662D" w14:paraId="06DBB525" w14:textId="77777777" w:rsidTr="001A662D">
        <w:trPr>
          <w:jc w:val="center"/>
        </w:trPr>
        <w:tc>
          <w:tcPr>
            <w:tcW w:w="3261" w:type="dxa"/>
          </w:tcPr>
          <w:p w14:paraId="4CC5FBF5" w14:textId="6DAA09A2" w:rsidR="001A662D" w:rsidRPr="00B54820" w:rsidRDefault="001A662D" w:rsidP="001A662D">
            <w:pPr>
              <w:pStyle w:val="Tablecontent"/>
              <w:rPr>
                <w:i/>
              </w:rPr>
            </w:pPr>
            <w:r w:rsidRPr="00B54820">
              <w:rPr>
                <w:i/>
              </w:rPr>
              <w:t>Columba livia</w:t>
            </w:r>
          </w:p>
        </w:tc>
        <w:tc>
          <w:tcPr>
            <w:tcW w:w="850" w:type="dxa"/>
            <w:tcBorders>
              <w:right w:val="single" w:sz="4" w:space="0" w:color="auto"/>
            </w:tcBorders>
          </w:tcPr>
          <w:p w14:paraId="625FB859" w14:textId="2F40702F" w:rsidR="001A662D" w:rsidRPr="00E33AE2" w:rsidRDefault="001A662D" w:rsidP="001A662D">
            <w:pPr>
              <w:pStyle w:val="Tablecontent"/>
              <w:jc w:val="center"/>
            </w:pPr>
            <w:r w:rsidRPr="00CE29E7">
              <w:t>cliv</w:t>
            </w:r>
          </w:p>
        </w:tc>
        <w:tc>
          <w:tcPr>
            <w:tcW w:w="1134" w:type="dxa"/>
            <w:tcBorders>
              <w:left w:val="single" w:sz="4" w:space="0" w:color="auto"/>
            </w:tcBorders>
          </w:tcPr>
          <w:p w14:paraId="0D302014" w14:textId="561C76F1" w:rsidR="001A662D" w:rsidRPr="00E33AE2" w:rsidRDefault="001A662D" w:rsidP="001A662D">
            <w:pPr>
              <w:pStyle w:val="Tablecontent"/>
              <w:jc w:val="center"/>
            </w:pPr>
            <w:r w:rsidRPr="00CE29E7">
              <w:t>0.59</w:t>
            </w:r>
          </w:p>
        </w:tc>
        <w:tc>
          <w:tcPr>
            <w:tcW w:w="1276" w:type="dxa"/>
          </w:tcPr>
          <w:p w14:paraId="0A4B4868" w14:textId="3534EB47" w:rsidR="001A662D" w:rsidRPr="00E33AE2" w:rsidRDefault="001A662D" w:rsidP="001A662D">
            <w:pPr>
              <w:pStyle w:val="Tablecontent"/>
              <w:jc w:val="center"/>
            </w:pPr>
            <w:r w:rsidRPr="005F1E77">
              <w:t>2.54</w:t>
            </w:r>
          </w:p>
        </w:tc>
        <w:tc>
          <w:tcPr>
            <w:tcW w:w="1134" w:type="dxa"/>
          </w:tcPr>
          <w:p w14:paraId="0525668C" w14:textId="021AF7A0" w:rsidR="001A662D" w:rsidRPr="0040503B" w:rsidRDefault="001A662D" w:rsidP="001A662D">
            <w:pPr>
              <w:pStyle w:val="Tablecontent"/>
              <w:jc w:val="center"/>
            </w:pPr>
            <w:r w:rsidRPr="00C871BA">
              <w:t xml:space="preserve"> 264 </w:t>
            </w:r>
          </w:p>
        </w:tc>
      </w:tr>
      <w:tr w:rsidR="001A662D" w14:paraId="6A4F3360" w14:textId="77777777" w:rsidTr="001A662D">
        <w:trPr>
          <w:jc w:val="center"/>
        </w:trPr>
        <w:tc>
          <w:tcPr>
            <w:tcW w:w="3261" w:type="dxa"/>
          </w:tcPr>
          <w:p w14:paraId="0156A3DB" w14:textId="6AC6C655" w:rsidR="001A662D" w:rsidRPr="00B54820" w:rsidRDefault="001A662D" w:rsidP="001A662D">
            <w:pPr>
              <w:pStyle w:val="Tablecontent"/>
              <w:rPr>
                <w:i/>
              </w:rPr>
            </w:pPr>
            <w:r w:rsidRPr="00B54820">
              <w:rPr>
                <w:i/>
              </w:rPr>
              <w:t>Corvus brachyrhynchos</w:t>
            </w:r>
          </w:p>
        </w:tc>
        <w:tc>
          <w:tcPr>
            <w:tcW w:w="850" w:type="dxa"/>
            <w:tcBorders>
              <w:right w:val="single" w:sz="4" w:space="0" w:color="auto"/>
            </w:tcBorders>
          </w:tcPr>
          <w:p w14:paraId="73D8AE9F" w14:textId="66B3A310" w:rsidR="001A662D" w:rsidRPr="00E33AE2" w:rsidRDefault="001A662D" w:rsidP="001A662D">
            <w:pPr>
              <w:pStyle w:val="Tablecontent"/>
              <w:jc w:val="center"/>
            </w:pPr>
            <w:r w:rsidRPr="00CE29E7">
              <w:t>cbra</w:t>
            </w:r>
          </w:p>
        </w:tc>
        <w:tc>
          <w:tcPr>
            <w:tcW w:w="1134" w:type="dxa"/>
            <w:tcBorders>
              <w:left w:val="single" w:sz="4" w:space="0" w:color="auto"/>
            </w:tcBorders>
          </w:tcPr>
          <w:p w14:paraId="5AAFFC76" w14:textId="14838424" w:rsidR="001A662D" w:rsidRPr="00E33AE2" w:rsidRDefault="001A662D" w:rsidP="001A662D">
            <w:pPr>
              <w:pStyle w:val="Tablecontent"/>
              <w:jc w:val="center"/>
            </w:pPr>
            <w:r w:rsidRPr="00CE29E7">
              <w:t>1.97</w:t>
            </w:r>
          </w:p>
        </w:tc>
        <w:tc>
          <w:tcPr>
            <w:tcW w:w="1276" w:type="dxa"/>
          </w:tcPr>
          <w:p w14:paraId="2C753347" w14:textId="19FC9EE9" w:rsidR="001A662D" w:rsidRPr="00E33AE2" w:rsidRDefault="001A662D" w:rsidP="001A662D">
            <w:pPr>
              <w:pStyle w:val="Tablecontent"/>
              <w:jc w:val="center"/>
            </w:pPr>
            <w:r w:rsidRPr="005F1E77">
              <w:t>3.12</w:t>
            </w:r>
          </w:p>
        </w:tc>
        <w:tc>
          <w:tcPr>
            <w:tcW w:w="1134" w:type="dxa"/>
          </w:tcPr>
          <w:p w14:paraId="273D00AA" w14:textId="3FB4A440" w:rsidR="001A662D" w:rsidRPr="0040503B" w:rsidRDefault="001A662D" w:rsidP="001A662D">
            <w:pPr>
              <w:pStyle w:val="Tablecontent"/>
              <w:jc w:val="center"/>
            </w:pPr>
            <w:r w:rsidRPr="00C871BA">
              <w:t xml:space="preserve"> 1,059 </w:t>
            </w:r>
          </w:p>
        </w:tc>
      </w:tr>
      <w:tr w:rsidR="001A662D" w14:paraId="546C41C8" w14:textId="77777777" w:rsidTr="001A662D">
        <w:trPr>
          <w:jc w:val="center"/>
        </w:trPr>
        <w:tc>
          <w:tcPr>
            <w:tcW w:w="3261" w:type="dxa"/>
          </w:tcPr>
          <w:p w14:paraId="46BC78A0" w14:textId="52C17550" w:rsidR="001A662D" w:rsidRPr="00B54820" w:rsidRDefault="001A662D" w:rsidP="001A662D">
            <w:pPr>
              <w:pStyle w:val="Tablecontent"/>
              <w:rPr>
                <w:i/>
              </w:rPr>
            </w:pPr>
            <w:r w:rsidRPr="00B54820">
              <w:rPr>
                <w:i/>
              </w:rPr>
              <w:t>Corvus cornix cornix</w:t>
            </w:r>
          </w:p>
        </w:tc>
        <w:tc>
          <w:tcPr>
            <w:tcW w:w="850" w:type="dxa"/>
            <w:tcBorders>
              <w:right w:val="single" w:sz="4" w:space="0" w:color="auto"/>
            </w:tcBorders>
          </w:tcPr>
          <w:p w14:paraId="476C6692" w14:textId="62BE695C" w:rsidR="001A662D" w:rsidRPr="00E33AE2" w:rsidRDefault="001A662D" w:rsidP="001A662D">
            <w:pPr>
              <w:pStyle w:val="Tablecontent"/>
              <w:jc w:val="center"/>
            </w:pPr>
            <w:r w:rsidRPr="00CE29E7">
              <w:t>ccor</w:t>
            </w:r>
          </w:p>
        </w:tc>
        <w:tc>
          <w:tcPr>
            <w:tcW w:w="1134" w:type="dxa"/>
            <w:tcBorders>
              <w:left w:val="single" w:sz="4" w:space="0" w:color="auto"/>
            </w:tcBorders>
          </w:tcPr>
          <w:p w14:paraId="24A7BDB7" w14:textId="3DDCCC75" w:rsidR="001A662D" w:rsidRPr="00E33AE2" w:rsidRDefault="001A662D" w:rsidP="001A662D">
            <w:pPr>
              <w:pStyle w:val="Tablecontent"/>
              <w:jc w:val="center"/>
            </w:pPr>
            <w:r w:rsidRPr="00CE29E7">
              <w:t>1.61</w:t>
            </w:r>
          </w:p>
        </w:tc>
        <w:tc>
          <w:tcPr>
            <w:tcW w:w="1276" w:type="dxa"/>
          </w:tcPr>
          <w:p w14:paraId="5225E4AE" w14:textId="56403166" w:rsidR="001A662D" w:rsidRPr="00E33AE2" w:rsidRDefault="001A662D" w:rsidP="001A662D">
            <w:pPr>
              <w:pStyle w:val="Tablecontent"/>
              <w:jc w:val="center"/>
            </w:pPr>
            <w:r w:rsidRPr="005F1E77">
              <w:t>2.29</w:t>
            </w:r>
          </w:p>
        </w:tc>
        <w:tc>
          <w:tcPr>
            <w:tcW w:w="1134" w:type="dxa"/>
          </w:tcPr>
          <w:p w14:paraId="12C2C0D4" w14:textId="071F3B6D" w:rsidR="001A662D" w:rsidRPr="0040503B" w:rsidRDefault="001A662D" w:rsidP="001A662D">
            <w:pPr>
              <w:pStyle w:val="Tablecontent"/>
              <w:jc w:val="center"/>
            </w:pPr>
            <w:r w:rsidRPr="00C871BA">
              <w:t xml:space="preserve"> 701 </w:t>
            </w:r>
          </w:p>
        </w:tc>
      </w:tr>
      <w:tr w:rsidR="001A662D" w14:paraId="6023BABA" w14:textId="77777777" w:rsidTr="001A662D">
        <w:trPr>
          <w:jc w:val="center"/>
        </w:trPr>
        <w:tc>
          <w:tcPr>
            <w:tcW w:w="3261" w:type="dxa"/>
          </w:tcPr>
          <w:p w14:paraId="4D825EFB" w14:textId="406B6A5B" w:rsidR="001A662D" w:rsidRPr="00B54820" w:rsidRDefault="001A662D" w:rsidP="001A662D">
            <w:pPr>
              <w:pStyle w:val="Tablecontent"/>
              <w:rPr>
                <w:i/>
              </w:rPr>
            </w:pPr>
            <w:r w:rsidRPr="00B54820">
              <w:rPr>
                <w:i/>
              </w:rPr>
              <w:t>Coturnix japonica</w:t>
            </w:r>
          </w:p>
        </w:tc>
        <w:tc>
          <w:tcPr>
            <w:tcW w:w="850" w:type="dxa"/>
            <w:tcBorders>
              <w:right w:val="single" w:sz="4" w:space="0" w:color="auto"/>
            </w:tcBorders>
          </w:tcPr>
          <w:p w14:paraId="1D82AE1C" w14:textId="73DC0843" w:rsidR="001A662D" w:rsidRPr="00E33AE2" w:rsidRDefault="001A662D" w:rsidP="001A662D">
            <w:pPr>
              <w:pStyle w:val="Tablecontent"/>
              <w:jc w:val="center"/>
            </w:pPr>
            <w:r w:rsidRPr="00CE29E7">
              <w:t>cjap</w:t>
            </w:r>
          </w:p>
        </w:tc>
        <w:tc>
          <w:tcPr>
            <w:tcW w:w="1134" w:type="dxa"/>
            <w:tcBorders>
              <w:left w:val="single" w:sz="4" w:space="0" w:color="auto"/>
            </w:tcBorders>
          </w:tcPr>
          <w:p w14:paraId="395E235E" w14:textId="5B35DF0F" w:rsidR="001A662D" w:rsidRPr="00E33AE2" w:rsidRDefault="001A662D" w:rsidP="001A662D">
            <w:pPr>
              <w:pStyle w:val="Tablecontent"/>
              <w:jc w:val="center"/>
            </w:pPr>
            <w:r w:rsidRPr="00CE29E7">
              <w:t>1.19</w:t>
            </w:r>
          </w:p>
        </w:tc>
        <w:tc>
          <w:tcPr>
            <w:tcW w:w="1276" w:type="dxa"/>
          </w:tcPr>
          <w:p w14:paraId="6B7F93A7" w14:textId="4F17DE11" w:rsidR="001A662D" w:rsidRPr="00E33AE2" w:rsidRDefault="001A662D" w:rsidP="001A662D">
            <w:pPr>
              <w:pStyle w:val="Tablecontent"/>
              <w:jc w:val="center"/>
            </w:pPr>
            <w:r w:rsidRPr="005F1E77">
              <w:t>2.09</w:t>
            </w:r>
          </w:p>
        </w:tc>
        <w:tc>
          <w:tcPr>
            <w:tcW w:w="1134" w:type="dxa"/>
          </w:tcPr>
          <w:p w14:paraId="18506AF3" w14:textId="6D685532" w:rsidR="001A662D" w:rsidRPr="0040503B" w:rsidRDefault="001A662D" w:rsidP="001A662D">
            <w:pPr>
              <w:pStyle w:val="Tablecontent"/>
              <w:jc w:val="center"/>
            </w:pPr>
            <w:r w:rsidRPr="00C871BA">
              <w:t xml:space="preserve"> 393 </w:t>
            </w:r>
          </w:p>
        </w:tc>
      </w:tr>
      <w:tr w:rsidR="001A662D" w14:paraId="2A176F6E" w14:textId="77777777" w:rsidTr="001A662D">
        <w:trPr>
          <w:jc w:val="center"/>
        </w:trPr>
        <w:tc>
          <w:tcPr>
            <w:tcW w:w="3261" w:type="dxa"/>
          </w:tcPr>
          <w:p w14:paraId="368F1BBF" w14:textId="7474EF4E" w:rsidR="001A662D" w:rsidRPr="00B54820" w:rsidRDefault="001A662D" w:rsidP="001A662D">
            <w:pPr>
              <w:pStyle w:val="Tablecontent"/>
              <w:rPr>
                <w:i/>
              </w:rPr>
            </w:pPr>
            <w:r w:rsidRPr="00B54820">
              <w:rPr>
                <w:i/>
              </w:rPr>
              <w:t>Crocodylus porosus *</w:t>
            </w:r>
          </w:p>
        </w:tc>
        <w:tc>
          <w:tcPr>
            <w:tcW w:w="850" w:type="dxa"/>
            <w:tcBorders>
              <w:right w:val="single" w:sz="4" w:space="0" w:color="auto"/>
            </w:tcBorders>
          </w:tcPr>
          <w:p w14:paraId="2B2849BA" w14:textId="450D857D" w:rsidR="001A662D" w:rsidRPr="00E33AE2" w:rsidRDefault="001A662D" w:rsidP="001A662D">
            <w:pPr>
              <w:pStyle w:val="Tablecontent"/>
              <w:jc w:val="center"/>
            </w:pPr>
            <w:r w:rsidRPr="00CE29E7">
              <w:t>cpor</w:t>
            </w:r>
          </w:p>
        </w:tc>
        <w:tc>
          <w:tcPr>
            <w:tcW w:w="1134" w:type="dxa"/>
            <w:tcBorders>
              <w:left w:val="single" w:sz="4" w:space="0" w:color="auto"/>
            </w:tcBorders>
          </w:tcPr>
          <w:p w14:paraId="43A12828" w14:textId="32C6D385" w:rsidR="001A662D" w:rsidRPr="00E33AE2" w:rsidRDefault="001A662D" w:rsidP="001A662D">
            <w:pPr>
              <w:pStyle w:val="Tablecontent"/>
              <w:jc w:val="center"/>
            </w:pPr>
            <w:r w:rsidRPr="00CE29E7">
              <w:t>5.14</w:t>
            </w:r>
          </w:p>
        </w:tc>
        <w:tc>
          <w:tcPr>
            <w:tcW w:w="1276" w:type="dxa"/>
          </w:tcPr>
          <w:p w14:paraId="188E5A3B" w14:textId="14BA3820" w:rsidR="001A662D" w:rsidRPr="00E33AE2" w:rsidRDefault="001A662D" w:rsidP="001A662D">
            <w:pPr>
              <w:pStyle w:val="Tablecontent"/>
              <w:jc w:val="center"/>
            </w:pPr>
            <w:r w:rsidRPr="005F1E77">
              <w:t>7.68</w:t>
            </w:r>
          </w:p>
        </w:tc>
        <w:tc>
          <w:tcPr>
            <w:tcW w:w="1134" w:type="dxa"/>
          </w:tcPr>
          <w:p w14:paraId="282838CA" w14:textId="51CD4ED9" w:rsidR="001A662D" w:rsidRPr="0040503B" w:rsidRDefault="001A662D" w:rsidP="001A662D">
            <w:pPr>
              <w:pStyle w:val="Tablecontent"/>
              <w:jc w:val="center"/>
            </w:pPr>
            <w:r w:rsidRPr="00C871BA">
              <w:t xml:space="preserve"> 1,818 </w:t>
            </w:r>
          </w:p>
        </w:tc>
      </w:tr>
      <w:tr w:rsidR="001A662D" w14:paraId="60E60C82" w14:textId="77777777" w:rsidTr="001A662D">
        <w:trPr>
          <w:jc w:val="center"/>
        </w:trPr>
        <w:tc>
          <w:tcPr>
            <w:tcW w:w="3261" w:type="dxa"/>
          </w:tcPr>
          <w:p w14:paraId="76588D51" w14:textId="64F92C75" w:rsidR="001A662D" w:rsidRPr="00B54820" w:rsidRDefault="001A662D" w:rsidP="001A662D">
            <w:pPr>
              <w:pStyle w:val="Tablecontent"/>
              <w:rPr>
                <w:i/>
              </w:rPr>
            </w:pPr>
            <w:r w:rsidRPr="00B54820">
              <w:rPr>
                <w:i/>
              </w:rPr>
              <w:t>Cuculus canorus</w:t>
            </w:r>
          </w:p>
        </w:tc>
        <w:tc>
          <w:tcPr>
            <w:tcW w:w="850" w:type="dxa"/>
            <w:tcBorders>
              <w:right w:val="single" w:sz="4" w:space="0" w:color="auto"/>
            </w:tcBorders>
          </w:tcPr>
          <w:p w14:paraId="3E325EA7" w14:textId="462B6829" w:rsidR="001A662D" w:rsidRPr="00E33AE2" w:rsidRDefault="001A662D" w:rsidP="001A662D">
            <w:pPr>
              <w:pStyle w:val="Tablecontent"/>
              <w:jc w:val="center"/>
            </w:pPr>
            <w:r w:rsidRPr="00CE29E7">
              <w:t>ccan</w:t>
            </w:r>
          </w:p>
        </w:tc>
        <w:tc>
          <w:tcPr>
            <w:tcW w:w="1134" w:type="dxa"/>
            <w:tcBorders>
              <w:left w:val="single" w:sz="4" w:space="0" w:color="auto"/>
            </w:tcBorders>
          </w:tcPr>
          <w:p w14:paraId="2D65FAD2" w14:textId="0A47B6B4" w:rsidR="001A662D" w:rsidRPr="00E33AE2" w:rsidRDefault="001A662D" w:rsidP="001A662D">
            <w:pPr>
              <w:pStyle w:val="Tablecontent"/>
              <w:jc w:val="center"/>
            </w:pPr>
            <w:r w:rsidRPr="00CE29E7">
              <w:t>0.52</w:t>
            </w:r>
          </w:p>
        </w:tc>
        <w:tc>
          <w:tcPr>
            <w:tcW w:w="1276" w:type="dxa"/>
          </w:tcPr>
          <w:p w14:paraId="3C540F13" w14:textId="15DBEF34" w:rsidR="001A662D" w:rsidRPr="00E33AE2" w:rsidRDefault="001A662D" w:rsidP="001A662D">
            <w:pPr>
              <w:pStyle w:val="Tablecontent"/>
              <w:jc w:val="center"/>
            </w:pPr>
            <w:r w:rsidRPr="005F1E77">
              <w:t>4.54</w:t>
            </w:r>
          </w:p>
        </w:tc>
        <w:tc>
          <w:tcPr>
            <w:tcW w:w="1134" w:type="dxa"/>
          </w:tcPr>
          <w:p w14:paraId="7FD31BFF" w14:textId="358ED9F5" w:rsidR="001A662D" w:rsidRPr="0040503B" w:rsidRDefault="001A662D" w:rsidP="001A662D">
            <w:pPr>
              <w:pStyle w:val="Tablecontent"/>
              <w:jc w:val="center"/>
            </w:pPr>
            <w:r w:rsidRPr="00C871BA">
              <w:t xml:space="preserve"> 194 </w:t>
            </w:r>
          </w:p>
        </w:tc>
      </w:tr>
      <w:tr w:rsidR="001A662D" w14:paraId="4EBCDEA4" w14:textId="77777777" w:rsidTr="001A662D">
        <w:trPr>
          <w:jc w:val="center"/>
        </w:trPr>
        <w:tc>
          <w:tcPr>
            <w:tcW w:w="3261" w:type="dxa"/>
          </w:tcPr>
          <w:p w14:paraId="4AFBBC48" w14:textId="294FDDE2" w:rsidR="001A662D" w:rsidRPr="00B54820" w:rsidRDefault="001A662D" w:rsidP="001A662D">
            <w:pPr>
              <w:pStyle w:val="Tablecontent"/>
              <w:rPr>
                <w:i/>
              </w:rPr>
            </w:pPr>
            <w:r w:rsidRPr="00B54820">
              <w:rPr>
                <w:i/>
              </w:rPr>
              <w:t>Egretta garzetta</w:t>
            </w:r>
          </w:p>
        </w:tc>
        <w:tc>
          <w:tcPr>
            <w:tcW w:w="850" w:type="dxa"/>
            <w:tcBorders>
              <w:right w:val="single" w:sz="4" w:space="0" w:color="auto"/>
            </w:tcBorders>
          </w:tcPr>
          <w:p w14:paraId="3672E1C3" w14:textId="77FFF1F4" w:rsidR="001A662D" w:rsidRPr="00E33AE2" w:rsidRDefault="001A662D" w:rsidP="001A662D">
            <w:pPr>
              <w:pStyle w:val="Tablecontent"/>
              <w:jc w:val="center"/>
            </w:pPr>
            <w:r w:rsidRPr="00CE29E7">
              <w:t>egar</w:t>
            </w:r>
          </w:p>
        </w:tc>
        <w:tc>
          <w:tcPr>
            <w:tcW w:w="1134" w:type="dxa"/>
            <w:tcBorders>
              <w:left w:val="single" w:sz="4" w:space="0" w:color="auto"/>
            </w:tcBorders>
          </w:tcPr>
          <w:p w14:paraId="704BB3E1" w14:textId="30F20917" w:rsidR="001A662D" w:rsidRPr="00E33AE2" w:rsidRDefault="001A662D" w:rsidP="001A662D">
            <w:pPr>
              <w:pStyle w:val="Tablecontent"/>
              <w:jc w:val="center"/>
            </w:pPr>
            <w:r w:rsidRPr="00CE29E7">
              <w:t>1.26</w:t>
            </w:r>
          </w:p>
        </w:tc>
        <w:tc>
          <w:tcPr>
            <w:tcW w:w="1276" w:type="dxa"/>
          </w:tcPr>
          <w:p w14:paraId="2340A7DD" w14:textId="564B55DB" w:rsidR="001A662D" w:rsidRPr="00E33AE2" w:rsidRDefault="001A662D" w:rsidP="001A662D">
            <w:pPr>
              <w:pStyle w:val="Tablecontent"/>
              <w:jc w:val="center"/>
            </w:pPr>
            <w:r w:rsidRPr="005F1E77">
              <w:t>3.14</w:t>
            </w:r>
          </w:p>
        </w:tc>
        <w:tc>
          <w:tcPr>
            <w:tcW w:w="1134" w:type="dxa"/>
          </w:tcPr>
          <w:p w14:paraId="02749D22" w14:textId="42DA7668" w:rsidR="001A662D" w:rsidRPr="0040503B" w:rsidRDefault="001A662D" w:rsidP="001A662D">
            <w:pPr>
              <w:pStyle w:val="Tablecontent"/>
              <w:jc w:val="center"/>
            </w:pPr>
            <w:r w:rsidRPr="00C871BA">
              <w:t xml:space="preserve"> 320 </w:t>
            </w:r>
          </w:p>
        </w:tc>
      </w:tr>
      <w:tr w:rsidR="001A662D" w14:paraId="3FF4A5F1" w14:textId="77777777" w:rsidTr="001A662D">
        <w:trPr>
          <w:jc w:val="center"/>
        </w:trPr>
        <w:tc>
          <w:tcPr>
            <w:tcW w:w="3261" w:type="dxa"/>
          </w:tcPr>
          <w:p w14:paraId="124D36E8" w14:textId="2DF39F7F" w:rsidR="001A662D" w:rsidRPr="00B54820" w:rsidRDefault="001A662D" w:rsidP="001A662D">
            <w:pPr>
              <w:pStyle w:val="Tablecontent"/>
              <w:rPr>
                <w:i/>
              </w:rPr>
            </w:pPr>
            <w:r w:rsidRPr="00B54820">
              <w:rPr>
                <w:i/>
              </w:rPr>
              <w:t>Eurypyga helias</w:t>
            </w:r>
          </w:p>
        </w:tc>
        <w:tc>
          <w:tcPr>
            <w:tcW w:w="850" w:type="dxa"/>
            <w:tcBorders>
              <w:right w:val="single" w:sz="4" w:space="0" w:color="auto"/>
            </w:tcBorders>
          </w:tcPr>
          <w:p w14:paraId="37401143" w14:textId="763A9C6E" w:rsidR="001A662D" w:rsidRPr="00E33AE2" w:rsidRDefault="001A662D" w:rsidP="001A662D">
            <w:pPr>
              <w:pStyle w:val="Tablecontent"/>
              <w:jc w:val="center"/>
            </w:pPr>
            <w:r w:rsidRPr="00CE29E7">
              <w:t>ehel</w:t>
            </w:r>
          </w:p>
        </w:tc>
        <w:tc>
          <w:tcPr>
            <w:tcW w:w="1134" w:type="dxa"/>
            <w:tcBorders>
              <w:left w:val="single" w:sz="4" w:space="0" w:color="auto"/>
            </w:tcBorders>
          </w:tcPr>
          <w:p w14:paraId="2FE30CE9" w14:textId="41902B3C" w:rsidR="001A662D" w:rsidRPr="00E33AE2" w:rsidRDefault="001A662D" w:rsidP="001A662D">
            <w:pPr>
              <w:pStyle w:val="Tablecontent"/>
              <w:jc w:val="center"/>
            </w:pPr>
            <w:r w:rsidRPr="00CE29E7">
              <w:t>1.41</w:t>
            </w:r>
          </w:p>
        </w:tc>
        <w:tc>
          <w:tcPr>
            <w:tcW w:w="1276" w:type="dxa"/>
          </w:tcPr>
          <w:p w14:paraId="34730AC1" w14:textId="0B1BC0D1" w:rsidR="001A662D" w:rsidRPr="00E33AE2" w:rsidRDefault="001A662D" w:rsidP="001A662D">
            <w:pPr>
              <w:pStyle w:val="Tablecontent"/>
              <w:jc w:val="center"/>
            </w:pPr>
            <w:r w:rsidRPr="005F1E77">
              <w:t>1.47</w:t>
            </w:r>
          </w:p>
        </w:tc>
        <w:tc>
          <w:tcPr>
            <w:tcW w:w="1134" w:type="dxa"/>
          </w:tcPr>
          <w:p w14:paraId="3C706C39" w14:textId="7E01F9A5" w:rsidR="001A662D" w:rsidRPr="0040503B" w:rsidRDefault="001A662D" w:rsidP="001A662D">
            <w:pPr>
              <w:pStyle w:val="Tablecontent"/>
              <w:jc w:val="center"/>
            </w:pPr>
            <w:r w:rsidRPr="00C871BA">
              <w:t xml:space="preserve"> 81 </w:t>
            </w:r>
          </w:p>
        </w:tc>
      </w:tr>
      <w:tr w:rsidR="001A662D" w14:paraId="02DB2A02" w14:textId="77777777" w:rsidTr="001A662D">
        <w:trPr>
          <w:jc w:val="center"/>
        </w:trPr>
        <w:tc>
          <w:tcPr>
            <w:tcW w:w="3261" w:type="dxa"/>
          </w:tcPr>
          <w:p w14:paraId="6693E498" w14:textId="30480D5E" w:rsidR="001A662D" w:rsidRPr="00B54820" w:rsidRDefault="001A662D" w:rsidP="001A662D">
            <w:pPr>
              <w:pStyle w:val="Tablecontent"/>
              <w:rPr>
                <w:i/>
              </w:rPr>
            </w:pPr>
            <w:r w:rsidRPr="00B54820">
              <w:rPr>
                <w:i/>
              </w:rPr>
              <w:t>Falco cherrug</w:t>
            </w:r>
          </w:p>
        </w:tc>
        <w:tc>
          <w:tcPr>
            <w:tcW w:w="850" w:type="dxa"/>
            <w:tcBorders>
              <w:right w:val="single" w:sz="4" w:space="0" w:color="auto"/>
            </w:tcBorders>
          </w:tcPr>
          <w:p w14:paraId="52B575E2" w14:textId="5735ACBC" w:rsidR="001A662D" w:rsidRPr="00E33AE2" w:rsidRDefault="001A662D" w:rsidP="001A662D">
            <w:pPr>
              <w:pStyle w:val="Tablecontent"/>
              <w:jc w:val="center"/>
            </w:pPr>
            <w:r w:rsidRPr="00CE29E7">
              <w:t>fche</w:t>
            </w:r>
          </w:p>
        </w:tc>
        <w:tc>
          <w:tcPr>
            <w:tcW w:w="1134" w:type="dxa"/>
            <w:tcBorders>
              <w:left w:val="single" w:sz="4" w:space="0" w:color="auto"/>
            </w:tcBorders>
          </w:tcPr>
          <w:p w14:paraId="167830B4" w14:textId="41307D1E" w:rsidR="001A662D" w:rsidRPr="00E33AE2" w:rsidRDefault="001A662D" w:rsidP="001A662D">
            <w:pPr>
              <w:pStyle w:val="Tablecontent"/>
              <w:jc w:val="center"/>
            </w:pPr>
            <w:r w:rsidRPr="00CE29E7">
              <w:t>1.13</w:t>
            </w:r>
          </w:p>
        </w:tc>
        <w:tc>
          <w:tcPr>
            <w:tcW w:w="1276" w:type="dxa"/>
          </w:tcPr>
          <w:p w14:paraId="1BF11573" w14:textId="7A7E39C6" w:rsidR="001A662D" w:rsidRPr="00E33AE2" w:rsidRDefault="001A662D" w:rsidP="001A662D">
            <w:pPr>
              <w:pStyle w:val="Tablecontent"/>
              <w:jc w:val="center"/>
            </w:pPr>
            <w:r w:rsidRPr="005F1E77">
              <w:t>1.29</w:t>
            </w:r>
          </w:p>
        </w:tc>
        <w:tc>
          <w:tcPr>
            <w:tcW w:w="1134" w:type="dxa"/>
          </w:tcPr>
          <w:p w14:paraId="0AD0AF21" w14:textId="3CD88F5C" w:rsidR="001A662D" w:rsidRPr="0040503B" w:rsidRDefault="001A662D" w:rsidP="001A662D">
            <w:pPr>
              <w:pStyle w:val="Tablecontent"/>
              <w:jc w:val="center"/>
            </w:pPr>
            <w:r w:rsidRPr="00C871BA">
              <w:t xml:space="preserve"> 311 </w:t>
            </w:r>
          </w:p>
        </w:tc>
      </w:tr>
      <w:tr w:rsidR="001A662D" w14:paraId="2D220797" w14:textId="77777777" w:rsidTr="001A662D">
        <w:trPr>
          <w:jc w:val="center"/>
        </w:trPr>
        <w:tc>
          <w:tcPr>
            <w:tcW w:w="3261" w:type="dxa"/>
          </w:tcPr>
          <w:p w14:paraId="0257C4D5" w14:textId="3FADDAAE" w:rsidR="001A662D" w:rsidRPr="00B54820" w:rsidRDefault="001A662D" w:rsidP="001A662D">
            <w:pPr>
              <w:pStyle w:val="Tablecontent"/>
              <w:rPr>
                <w:i/>
              </w:rPr>
            </w:pPr>
            <w:r w:rsidRPr="00B54820">
              <w:rPr>
                <w:i/>
              </w:rPr>
              <w:t>Falco peregrinus</w:t>
            </w:r>
          </w:p>
        </w:tc>
        <w:tc>
          <w:tcPr>
            <w:tcW w:w="850" w:type="dxa"/>
            <w:tcBorders>
              <w:right w:val="single" w:sz="4" w:space="0" w:color="auto"/>
            </w:tcBorders>
          </w:tcPr>
          <w:p w14:paraId="7C26DA1F" w14:textId="0BAB20DA" w:rsidR="001A662D" w:rsidRPr="00E33AE2" w:rsidRDefault="001A662D" w:rsidP="001A662D">
            <w:pPr>
              <w:pStyle w:val="Tablecontent"/>
              <w:jc w:val="center"/>
            </w:pPr>
            <w:r w:rsidRPr="00CE29E7">
              <w:t>fper</w:t>
            </w:r>
          </w:p>
        </w:tc>
        <w:tc>
          <w:tcPr>
            <w:tcW w:w="1134" w:type="dxa"/>
            <w:tcBorders>
              <w:left w:val="single" w:sz="4" w:space="0" w:color="auto"/>
            </w:tcBorders>
          </w:tcPr>
          <w:p w14:paraId="798AC0AF" w14:textId="3F18044B" w:rsidR="001A662D" w:rsidRPr="00E33AE2" w:rsidRDefault="001A662D" w:rsidP="001A662D">
            <w:pPr>
              <w:pStyle w:val="Tablecontent"/>
              <w:jc w:val="center"/>
            </w:pPr>
            <w:r w:rsidRPr="00CE29E7">
              <w:t>1.14</w:t>
            </w:r>
          </w:p>
        </w:tc>
        <w:tc>
          <w:tcPr>
            <w:tcW w:w="1276" w:type="dxa"/>
          </w:tcPr>
          <w:p w14:paraId="5B0F0038" w14:textId="321974CF" w:rsidR="001A662D" w:rsidRPr="00E33AE2" w:rsidRDefault="001A662D" w:rsidP="001A662D">
            <w:pPr>
              <w:pStyle w:val="Tablecontent"/>
              <w:jc w:val="center"/>
            </w:pPr>
            <w:r w:rsidRPr="005F1E77">
              <w:t>1.28</w:t>
            </w:r>
          </w:p>
        </w:tc>
        <w:tc>
          <w:tcPr>
            <w:tcW w:w="1134" w:type="dxa"/>
          </w:tcPr>
          <w:p w14:paraId="69884DEA" w14:textId="3E441486" w:rsidR="001A662D" w:rsidRPr="0040503B" w:rsidRDefault="001A662D" w:rsidP="001A662D">
            <w:pPr>
              <w:pStyle w:val="Tablecontent"/>
              <w:jc w:val="center"/>
            </w:pPr>
            <w:r w:rsidRPr="00C871BA">
              <w:t xml:space="preserve"> 315 </w:t>
            </w:r>
          </w:p>
        </w:tc>
      </w:tr>
      <w:tr w:rsidR="001A662D" w14:paraId="22D4ECE0" w14:textId="77777777" w:rsidTr="001A662D">
        <w:trPr>
          <w:jc w:val="center"/>
        </w:trPr>
        <w:tc>
          <w:tcPr>
            <w:tcW w:w="3261" w:type="dxa"/>
          </w:tcPr>
          <w:p w14:paraId="40B6394E" w14:textId="43A583B8" w:rsidR="001A662D" w:rsidRPr="00B54820" w:rsidRDefault="001A662D" w:rsidP="001A662D">
            <w:pPr>
              <w:pStyle w:val="Tablecontent"/>
              <w:rPr>
                <w:i/>
              </w:rPr>
            </w:pPr>
            <w:r w:rsidRPr="00B54820">
              <w:rPr>
                <w:i/>
              </w:rPr>
              <w:t>Ficedula albicollis</w:t>
            </w:r>
          </w:p>
        </w:tc>
        <w:tc>
          <w:tcPr>
            <w:tcW w:w="850" w:type="dxa"/>
            <w:tcBorders>
              <w:right w:val="single" w:sz="4" w:space="0" w:color="auto"/>
            </w:tcBorders>
          </w:tcPr>
          <w:p w14:paraId="29C1295F" w14:textId="3FBB142B" w:rsidR="001A662D" w:rsidRPr="00E33AE2" w:rsidRDefault="001A662D" w:rsidP="001A662D">
            <w:pPr>
              <w:pStyle w:val="Tablecontent"/>
              <w:jc w:val="center"/>
            </w:pPr>
            <w:r w:rsidRPr="00CE29E7">
              <w:t>falb</w:t>
            </w:r>
          </w:p>
        </w:tc>
        <w:tc>
          <w:tcPr>
            <w:tcW w:w="1134" w:type="dxa"/>
            <w:tcBorders>
              <w:left w:val="single" w:sz="4" w:space="0" w:color="auto"/>
            </w:tcBorders>
          </w:tcPr>
          <w:p w14:paraId="725CF8A7" w14:textId="070185CC" w:rsidR="001A662D" w:rsidRPr="00E33AE2" w:rsidRDefault="001A662D" w:rsidP="001A662D">
            <w:pPr>
              <w:pStyle w:val="Tablecontent"/>
              <w:jc w:val="center"/>
            </w:pPr>
            <w:r w:rsidRPr="00CE29E7">
              <w:t>1.53</w:t>
            </w:r>
          </w:p>
        </w:tc>
        <w:tc>
          <w:tcPr>
            <w:tcW w:w="1276" w:type="dxa"/>
          </w:tcPr>
          <w:p w14:paraId="73BC0205" w14:textId="272BE5AA" w:rsidR="001A662D" w:rsidRPr="00E33AE2" w:rsidRDefault="001A662D" w:rsidP="001A662D">
            <w:pPr>
              <w:pStyle w:val="Tablecontent"/>
              <w:jc w:val="center"/>
            </w:pPr>
            <w:r w:rsidRPr="005F1E77">
              <w:t>1.82</w:t>
            </w:r>
          </w:p>
        </w:tc>
        <w:tc>
          <w:tcPr>
            <w:tcW w:w="1134" w:type="dxa"/>
          </w:tcPr>
          <w:p w14:paraId="0EA674A1" w14:textId="6BB14957" w:rsidR="001A662D" w:rsidRPr="0040503B" w:rsidRDefault="001A662D" w:rsidP="001A662D">
            <w:pPr>
              <w:pStyle w:val="Tablecontent"/>
              <w:jc w:val="center"/>
            </w:pPr>
            <w:r w:rsidRPr="00C871BA">
              <w:t xml:space="preserve"> 238 </w:t>
            </w:r>
          </w:p>
        </w:tc>
      </w:tr>
      <w:tr w:rsidR="001A662D" w14:paraId="07BEF040" w14:textId="77777777" w:rsidTr="001A662D">
        <w:trPr>
          <w:jc w:val="center"/>
        </w:trPr>
        <w:tc>
          <w:tcPr>
            <w:tcW w:w="3261" w:type="dxa"/>
          </w:tcPr>
          <w:p w14:paraId="6A694BD1" w14:textId="4286F2A0" w:rsidR="001A662D" w:rsidRPr="00B54820" w:rsidRDefault="001A662D" w:rsidP="001A662D">
            <w:pPr>
              <w:pStyle w:val="Tablecontent"/>
              <w:rPr>
                <w:i/>
              </w:rPr>
            </w:pPr>
            <w:r w:rsidRPr="00B54820">
              <w:rPr>
                <w:i/>
              </w:rPr>
              <w:t>Fulmarus glacialis</w:t>
            </w:r>
          </w:p>
        </w:tc>
        <w:tc>
          <w:tcPr>
            <w:tcW w:w="850" w:type="dxa"/>
            <w:tcBorders>
              <w:right w:val="single" w:sz="4" w:space="0" w:color="auto"/>
            </w:tcBorders>
          </w:tcPr>
          <w:p w14:paraId="648E8031" w14:textId="4E16CEBF" w:rsidR="001A662D" w:rsidRPr="00E33AE2" w:rsidRDefault="001A662D" w:rsidP="001A662D">
            <w:pPr>
              <w:pStyle w:val="Tablecontent"/>
              <w:jc w:val="center"/>
            </w:pPr>
            <w:r w:rsidRPr="00CE29E7">
              <w:t>fgla</w:t>
            </w:r>
          </w:p>
        </w:tc>
        <w:tc>
          <w:tcPr>
            <w:tcW w:w="1134" w:type="dxa"/>
            <w:tcBorders>
              <w:left w:val="single" w:sz="4" w:space="0" w:color="auto"/>
            </w:tcBorders>
          </w:tcPr>
          <w:p w14:paraId="49D8CDE3" w14:textId="5C06616F" w:rsidR="001A662D" w:rsidRPr="00E33AE2" w:rsidRDefault="001A662D" w:rsidP="001A662D">
            <w:pPr>
              <w:pStyle w:val="Tablecontent"/>
              <w:jc w:val="center"/>
            </w:pPr>
            <w:r w:rsidRPr="00CE29E7">
              <w:t>1.09</w:t>
            </w:r>
          </w:p>
        </w:tc>
        <w:tc>
          <w:tcPr>
            <w:tcW w:w="1276" w:type="dxa"/>
          </w:tcPr>
          <w:p w14:paraId="1D5F617F" w14:textId="294EFCC5" w:rsidR="001A662D" w:rsidRPr="00E33AE2" w:rsidRDefault="001A662D" w:rsidP="001A662D">
            <w:pPr>
              <w:pStyle w:val="Tablecontent"/>
              <w:jc w:val="center"/>
            </w:pPr>
            <w:r w:rsidRPr="005F1E77">
              <w:t>1.14</w:t>
            </w:r>
          </w:p>
        </w:tc>
        <w:tc>
          <w:tcPr>
            <w:tcW w:w="1134" w:type="dxa"/>
          </w:tcPr>
          <w:p w14:paraId="6F2C0B6B" w14:textId="35E6B15D" w:rsidR="001A662D" w:rsidRPr="0040503B" w:rsidRDefault="001A662D" w:rsidP="001A662D">
            <w:pPr>
              <w:pStyle w:val="Tablecontent"/>
              <w:jc w:val="center"/>
            </w:pPr>
            <w:r w:rsidRPr="00C871BA">
              <w:t xml:space="preserve"> 59 </w:t>
            </w:r>
          </w:p>
        </w:tc>
      </w:tr>
      <w:tr w:rsidR="001A662D" w14:paraId="189E916C" w14:textId="77777777" w:rsidTr="001A662D">
        <w:trPr>
          <w:jc w:val="center"/>
        </w:trPr>
        <w:tc>
          <w:tcPr>
            <w:tcW w:w="3261" w:type="dxa"/>
          </w:tcPr>
          <w:p w14:paraId="3903FE9C" w14:textId="2A6316D8" w:rsidR="001A662D" w:rsidRPr="00B54820" w:rsidRDefault="001A662D" w:rsidP="001A662D">
            <w:pPr>
              <w:pStyle w:val="Tablecontent"/>
              <w:rPr>
                <w:i/>
              </w:rPr>
            </w:pPr>
            <w:r w:rsidRPr="00B54820">
              <w:rPr>
                <w:i/>
              </w:rPr>
              <w:t>Gallus gallus</w:t>
            </w:r>
          </w:p>
        </w:tc>
        <w:tc>
          <w:tcPr>
            <w:tcW w:w="850" w:type="dxa"/>
            <w:tcBorders>
              <w:right w:val="single" w:sz="4" w:space="0" w:color="auto"/>
            </w:tcBorders>
          </w:tcPr>
          <w:p w14:paraId="694B84EE" w14:textId="36703902" w:rsidR="001A662D" w:rsidRPr="00E33AE2" w:rsidRDefault="001A662D" w:rsidP="001A662D">
            <w:pPr>
              <w:pStyle w:val="Tablecontent"/>
              <w:jc w:val="center"/>
            </w:pPr>
            <w:r w:rsidRPr="00CE29E7">
              <w:t>ggal</w:t>
            </w:r>
          </w:p>
        </w:tc>
        <w:tc>
          <w:tcPr>
            <w:tcW w:w="1134" w:type="dxa"/>
            <w:tcBorders>
              <w:left w:val="single" w:sz="4" w:space="0" w:color="auto"/>
            </w:tcBorders>
          </w:tcPr>
          <w:p w14:paraId="11378BA2" w14:textId="0A47C1B8" w:rsidR="001A662D" w:rsidRPr="00E33AE2" w:rsidRDefault="001A662D" w:rsidP="001A662D">
            <w:pPr>
              <w:pStyle w:val="Tablecontent"/>
              <w:jc w:val="center"/>
            </w:pPr>
            <w:r w:rsidRPr="00CE29E7">
              <w:t>2.17</w:t>
            </w:r>
          </w:p>
        </w:tc>
        <w:tc>
          <w:tcPr>
            <w:tcW w:w="1276" w:type="dxa"/>
          </w:tcPr>
          <w:p w14:paraId="1AF49248" w14:textId="039FC981" w:rsidR="001A662D" w:rsidRPr="00E33AE2" w:rsidRDefault="001A662D" w:rsidP="001A662D">
            <w:pPr>
              <w:pStyle w:val="Tablecontent"/>
              <w:jc w:val="center"/>
            </w:pPr>
            <w:r w:rsidRPr="005F1E77">
              <w:t>2.86</w:t>
            </w:r>
          </w:p>
        </w:tc>
        <w:tc>
          <w:tcPr>
            <w:tcW w:w="1134" w:type="dxa"/>
          </w:tcPr>
          <w:p w14:paraId="339C921F" w14:textId="1CDA8873" w:rsidR="001A662D" w:rsidRPr="0040503B" w:rsidRDefault="001A662D" w:rsidP="001A662D">
            <w:pPr>
              <w:pStyle w:val="Tablecontent"/>
              <w:jc w:val="center"/>
            </w:pPr>
            <w:r w:rsidRPr="00C871BA">
              <w:t xml:space="preserve"> 1,295 </w:t>
            </w:r>
          </w:p>
        </w:tc>
      </w:tr>
      <w:tr w:rsidR="001A662D" w14:paraId="787F0991" w14:textId="77777777" w:rsidTr="001A662D">
        <w:trPr>
          <w:jc w:val="center"/>
        </w:trPr>
        <w:tc>
          <w:tcPr>
            <w:tcW w:w="3261" w:type="dxa"/>
          </w:tcPr>
          <w:p w14:paraId="75BCF374" w14:textId="7EA44A70" w:rsidR="001A662D" w:rsidRPr="00B54820" w:rsidRDefault="001A662D" w:rsidP="001A662D">
            <w:pPr>
              <w:pStyle w:val="Tablecontent"/>
              <w:rPr>
                <w:i/>
              </w:rPr>
            </w:pPr>
            <w:r w:rsidRPr="00B54820">
              <w:rPr>
                <w:i/>
              </w:rPr>
              <w:t>Gavia stellata</w:t>
            </w:r>
          </w:p>
        </w:tc>
        <w:tc>
          <w:tcPr>
            <w:tcW w:w="850" w:type="dxa"/>
            <w:tcBorders>
              <w:right w:val="single" w:sz="4" w:space="0" w:color="auto"/>
            </w:tcBorders>
          </w:tcPr>
          <w:p w14:paraId="6CD4A1C6" w14:textId="7FC8B779" w:rsidR="001A662D" w:rsidRPr="00E33AE2" w:rsidRDefault="001A662D" w:rsidP="001A662D">
            <w:pPr>
              <w:pStyle w:val="Tablecontent"/>
              <w:jc w:val="center"/>
            </w:pPr>
            <w:r w:rsidRPr="00CE29E7">
              <w:t>gste</w:t>
            </w:r>
          </w:p>
        </w:tc>
        <w:tc>
          <w:tcPr>
            <w:tcW w:w="1134" w:type="dxa"/>
            <w:tcBorders>
              <w:left w:val="single" w:sz="4" w:space="0" w:color="auto"/>
            </w:tcBorders>
          </w:tcPr>
          <w:p w14:paraId="344F13DA" w14:textId="5233A8D9" w:rsidR="001A662D" w:rsidRPr="00E33AE2" w:rsidRDefault="001A662D" w:rsidP="001A662D">
            <w:pPr>
              <w:pStyle w:val="Tablecontent"/>
              <w:jc w:val="center"/>
            </w:pPr>
            <w:r w:rsidRPr="00CE29E7">
              <w:t>0.63</w:t>
            </w:r>
          </w:p>
        </w:tc>
        <w:tc>
          <w:tcPr>
            <w:tcW w:w="1276" w:type="dxa"/>
          </w:tcPr>
          <w:p w14:paraId="58B973D3" w14:textId="7E592DAE" w:rsidR="001A662D" w:rsidRPr="00E33AE2" w:rsidRDefault="001A662D" w:rsidP="001A662D">
            <w:pPr>
              <w:pStyle w:val="Tablecontent"/>
              <w:jc w:val="center"/>
            </w:pPr>
            <w:r w:rsidRPr="005F1E77">
              <w:t>1.53</w:t>
            </w:r>
          </w:p>
        </w:tc>
        <w:tc>
          <w:tcPr>
            <w:tcW w:w="1134" w:type="dxa"/>
          </w:tcPr>
          <w:p w14:paraId="5D9D597D" w14:textId="5F024C8A" w:rsidR="001A662D" w:rsidRPr="0040503B" w:rsidRDefault="001A662D" w:rsidP="001A662D">
            <w:pPr>
              <w:pStyle w:val="Tablecontent"/>
              <w:jc w:val="center"/>
            </w:pPr>
            <w:r w:rsidRPr="00C871BA">
              <w:t xml:space="preserve"> 42 </w:t>
            </w:r>
          </w:p>
        </w:tc>
      </w:tr>
      <w:tr w:rsidR="001A662D" w14:paraId="17E4AE7E" w14:textId="77777777" w:rsidTr="001A662D">
        <w:trPr>
          <w:jc w:val="center"/>
        </w:trPr>
        <w:tc>
          <w:tcPr>
            <w:tcW w:w="3261" w:type="dxa"/>
          </w:tcPr>
          <w:p w14:paraId="6ECE9724" w14:textId="3CE49DE1" w:rsidR="001A662D" w:rsidRPr="00B54820" w:rsidRDefault="001A662D" w:rsidP="001A662D">
            <w:pPr>
              <w:pStyle w:val="Tablecontent"/>
              <w:rPr>
                <w:i/>
              </w:rPr>
            </w:pPr>
            <w:r w:rsidRPr="00B54820">
              <w:rPr>
                <w:i/>
              </w:rPr>
              <w:t>Geospiza fortis</w:t>
            </w:r>
          </w:p>
        </w:tc>
        <w:tc>
          <w:tcPr>
            <w:tcW w:w="850" w:type="dxa"/>
            <w:tcBorders>
              <w:right w:val="single" w:sz="4" w:space="0" w:color="auto"/>
            </w:tcBorders>
          </w:tcPr>
          <w:p w14:paraId="0689205D" w14:textId="29899EED" w:rsidR="001A662D" w:rsidRPr="00E33AE2" w:rsidRDefault="001A662D" w:rsidP="001A662D">
            <w:pPr>
              <w:pStyle w:val="Tablecontent"/>
              <w:jc w:val="center"/>
            </w:pPr>
            <w:r w:rsidRPr="00CE29E7">
              <w:t>gfor</w:t>
            </w:r>
          </w:p>
        </w:tc>
        <w:tc>
          <w:tcPr>
            <w:tcW w:w="1134" w:type="dxa"/>
            <w:tcBorders>
              <w:left w:val="single" w:sz="4" w:space="0" w:color="auto"/>
            </w:tcBorders>
          </w:tcPr>
          <w:p w14:paraId="55AB52FF" w14:textId="1FA2A9F0" w:rsidR="001A662D" w:rsidRPr="00E33AE2" w:rsidRDefault="001A662D" w:rsidP="001A662D">
            <w:pPr>
              <w:pStyle w:val="Tablecontent"/>
              <w:jc w:val="center"/>
            </w:pPr>
            <w:r w:rsidRPr="00CE29E7">
              <w:t>2.69</w:t>
            </w:r>
          </w:p>
        </w:tc>
        <w:tc>
          <w:tcPr>
            <w:tcW w:w="1276" w:type="dxa"/>
          </w:tcPr>
          <w:p w14:paraId="289BD7DB" w14:textId="5F8C70A4" w:rsidR="001A662D" w:rsidRPr="00E33AE2" w:rsidRDefault="001A662D" w:rsidP="001A662D">
            <w:pPr>
              <w:pStyle w:val="Tablecontent"/>
              <w:jc w:val="center"/>
            </w:pPr>
            <w:r w:rsidRPr="005F1E77">
              <w:t>3.21</w:t>
            </w:r>
          </w:p>
        </w:tc>
        <w:tc>
          <w:tcPr>
            <w:tcW w:w="1134" w:type="dxa"/>
          </w:tcPr>
          <w:p w14:paraId="7DB4B084" w14:textId="70F1C681" w:rsidR="001A662D" w:rsidRPr="0040503B" w:rsidRDefault="001A662D" w:rsidP="001A662D">
            <w:pPr>
              <w:pStyle w:val="Tablecontent"/>
              <w:jc w:val="center"/>
            </w:pPr>
            <w:r w:rsidRPr="00C871BA">
              <w:t xml:space="preserve"> 486 </w:t>
            </w:r>
          </w:p>
        </w:tc>
      </w:tr>
      <w:tr w:rsidR="001A662D" w14:paraId="267F3158" w14:textId="77777777" w:rsidTr="001A662D">
        <w:trPr>
          <w:jc w:val="center"/>
        </w:trPr>
        <w:tc>
          <w:tcPr>
            <w:tcW w:w="3261" w:type="dxa"/>
          </w:tcPr>
          <w:p w14:paraId="1BCDA8E0" w14:textId="3DE70C40" w:rsidR="001A662D" w:rsidRPr="00B54820" w:rsidRDefault="001A662D" w:rsidP="001A662D">
            <w:pPr>
              <w:pStyle w:val="Tablecontent"/>
              <w:rPr>
                <w:i/>
              </w:rPr>
            </w:pPr>
            <w:r w:rsidRPr="00B54820">
              <w:rPr>
                <w:i/>
              </w:rPr>
              <w:t>Haliaeetus albicilla</w:t>
            </w:r>
          </w:p>
        </w:tc>
        <w:tc>
          <w:tcPr>
            <w:tcW w:w="850" w:type="dxa"/>
            <w:tcBorders>
              <w:right w:val="single" w:sz="4" w:space="0" w:color="auto"/>
            </w:tcBorders>
          </w:tcPr>
          <w:p w14:paraId="3BD45F0F" w14:textId="63CDD8ED" w:rsidR="001A662D" w:rsidRPr="00E33AE2" w:rsidRDefault="001A662D" w:rsidP="001A662D">
            <w:pPr>
              <w:pStyle w:val="Tablecontent"/>
              <w:jc w:val="center"/>
            </w:pPr>
            <w:r w:rsidRPr="00CE29E7">
              <w:t>halb</w:t>
            </w:r>
          </w:p>
        </w:tc>
        <w:tc>
          <w:tcPr>
            <w:tcW w:w="1134" w:type="dxa"/>
            <w:tcBorders>
              <w:left w:val="single" w:sz="4" w:space="0" w:color="auto"/>
            </w:tcBorders>
          </w:tcPr>
          <w:p w14:paraId="5D4F9971" w14:textId="6B07E897" w:rsidR="001A662D" w:rsidRPr="00E33AE2" w:rsidRDefault="001A662D" w:rsidP="001A662D">
            <w:pPr>
              <w:pStyle w:val="Tablecontent"/>
              <w:jc w:val="center"/>
            </w:pPr>
            <w:r w:rsidRPr="00CE29E7">
              <w:t>1.58</w:t>
            </w:r>
          </w:p>
        </w:tc>
        <w:tc>
          <w:tcPr>
            <w:tcW w:w="1276" w:type="dxa"/>
          </w:tcPr>
          <w:p w14:paraId="51BE5978" w14:textId="498F86C7" w:rsidR="001A662D" w:rsidRPr="00E33AE2" w:rsidRDefault="001A662D" w:rsidP="001A662D">
            <w:pPr>
              <w:pStyle w:val="Tablecontent"/>
              <w:jc w:val="center"/>
            </w:pPr>
            <w:r w:rsidRPr="005F1E77">
              <w:t>1.65</w:t>
            </w:r>
          </w:p>
        </w:tc>
        <w:tc>
          <w:tcPr>
            <w:tcW w:w="1134" w:type="dxa"/>
          </w:tcPr>
          <w:p w14:paraId="0E7B2D22" w14:textId="26B1547B" w:rsidR="001A662D" w:rsidRPr="0040503B" w:rsidRDefault="001A662D" w:rsidP="001A662D">
            <w:pPr>
              <w:pStyle w:val="Tablecontent"/>
              <w:jc w:val="center"/>
            </w:pPr>
            <w:r w:rsidRPr="00C871BA">
              <w:t xml:space="preserve"> 122 </w:t>
            </w:r>
          </w:p>
        </w:tc>
      </w:tr>
      <w:tr w:rsidR="001A662D" w14:paraId="55B96BAF" w14:textId="77777777" w:rsidTr="001A662D">
        <w:trPr>
          <w:jc w:val="center"/>
        </w:trPr>
        <w:tc>
          <w:tcPr>
            <w:tcW w:w="3261" w:type="dxa"/>
          </w:tcPr>
          <w:p w14:paraId="7701AD97" w14:textId="387AB52A" w:rsidR="001A662D" w:rsidRPr="00B54820" w:rsidRDefault="001A662D" w:rsidP="001A662D">
            <w:pPr>
              <w:pStyle w:val="Tablecontent"/>
              <w:rPr>
                <w:i/>
              </w:rPr>
            </w:pPr>
            <w:r w:rsidRPr="00B54820">
              <w:rPr>
                <w:i/>
              </w:rPr>
              <w:t>Haliaeetus leucocephalus</w:t>
            </w:r>
          </w:p>
        </w:tc>
        <w:tc>
          <w:tcPr>
            <w:tcW w:w="850" w:type="dxa"/>
            <w:tcBorders>
              <w:right w:val="single" w:sz="4" w:space="0" w:color="auto"/>
            </w:tcBorders>
          </w:tcPr>
          <w:p w14:paraId="166D6C0D" w14:textId="5684CBA5" w:rsidR="001A662D" w:rsidRPr="00E33AE2" w:rsidRDefault="001A662D" w:rsidP="001A662D">
            <w:pPr>
              <w:pStyle w:val="Tablecontent"/>
              <w:jc w:val="center"/>
            </w:pPr>
            <w:r w:rsidRPr="00CE29E7">
              <w:t>hleu</w:t>
            </w:r>
          </w:p>
        </w:tc>
        <w:tc>
          <w:tcPr>
            <w:tcW w:w="1134" w:type="dxa"/>
            <w:tcBorders>
              <w:left w:val="single" w:sz="4" w:space="0" w:color="auto"/>
            </w:tcBorders>
          </w:tcPr>
          <w:p w14:paraId="7ED6DB4D" w14:textId="3F856C68" w:rsidR="001A662D" w:rsidRPr="00E33AE2" w:rsidRDefault="001A662D" w:rsidP="001A662D">
            <w:pPr>
              <w:pStyle w:val="Tablecontent"/>
              <w:jc w:val="center"/>
            </w:pPr>
            <w:r w:rsidRPr="00CE29E7">
              <w:t>1.83</w:t>
            </w:r>
          </w:p>
        </w:tc>
        <w:tc>
          <w:tcPr>
            <w:tcW w:w="1276" w:type="dxa"/>
          </w:tcPr>
          <w:p w14:paraId="13A81C1A" w14:textId="7ED8919E" w:rsidR="001A662D" w:rsidRPr="00E33AE2" w:rsidRDefault="001A662D" w:rsidP="001A662D">
            <w:pPr>
              <w:pStyle w:val="Tablecontent"/>
              <w:jc w:val="center"/>
            </w:pPr>
            <w:r w:rsidRPr="005F1E77">
              <w:t>1.95</w:t>
            </w:r>
          </w:p>
        </w:tc>
        <w:tc>
          <w:tcPr>
            <w:tcW w:w="1134" w:type="dxa"/>
          </w:tcPr>
          <w:p w14:paraId="334AC020" w14:textId="0EDDCB5A" w:rsidR="001A662D" w:rsidRPr="0040503B" w:rsidRDefault="001A662D" w:rsidP="001A662D">
            <w:pPr>
              <w:pStyle w:val="Tablecontent"/>
              <w:jc w:val="center"/>
            </w:pPr>
            <w:r w:rsidRPr="00C871BA">
              <w:t xml:space="preserve"> 276 </w:t>
            </w:r>
          </w:p>
        </w:tc>
      </w:tr>
      <w:tr w:rsidR="001A662D" w14:paraId="64B40A08" w14:textId="77777777" w:rsidTr="001A662D">
        <w:trPr>
          <w:jc w:val="center"/>
        </w:trPr>
        <w:tc>
          <w:tcPr>
            <w:tcW w:w="3261" w:type="dxa"/>
          </w:tcPr>
          <w:p w14:paraId="744767CC" w14:textId="20E9AA84" w:rsidR="001A662D" w:rsidRPr="00B54820" w:rsidRDefault="001A662D" w:rsidP="001A662D">
            <w:pPr>
              <w:pStyle w:val="Tablecontent"/>
              <w:rPr>
                <w:i/>
              </w:rPr>
            </w:pPr>
            <w:r w:rsidRPr="00B54820">
              <w:rPr>
                <w:i/>
              </w:rPr>
              <w:t>Lepidothrix coronata</w:t>
            </w:r>
          </w:p>
        </w:tc>
        <w:tc>
          <w:tcPr>
            <w:tcW w:w="850" w:type="dxa"/>
            <w:tcBorders>
              <w:right w:val="single" w:sz="4" w:space="0" w:color="auto"/>
            </w:tcBorders>
          </w:tcPr>
          <w:p w14:paraId="7265FC09" w14:textId="3F3F3EEE" w:rsidR="001A662D" w:rsidRPr="00E33AE2" w:rsidRDefault="001A662D" w:rsidP="001A662D">
            <w:pPr>
              <w:pStyle w:val="Tablecontent"/>
              <w:jc w:val="center"/>
            </w:pPr>
            <w:r w:rsidRPr="00CE29E7">
              <w:t>lcor</w:t>
            </w:r>
          </w:p>
        </w:tc>
        <w:tc>
          <w:tcPr>
            <w:tcW w:w="1134" w:type="dxa"/>
            <w:tcBorders>
              <w:left w:val="single" w:sz="4" w:space="0" w:color="auto"/>
            </w:tcBorders>
          </w:tcPr>
          <w:p w14:paraId="4D82DA15" w14:textId="785DF40B" w:rsidR="001A662D" w:rsidRPr="00E33AE2" w:rsidRDefault="001A662D" w:rsidP="001A662D">
            <w:pPr>
              <w:pStyle w:val="Tablecontent"/>
              <w:jc w:val="center"/>
            </w:pPr>
            <w:r w:rsidRPr="00CE29E7">
              <w:t>0.92</w:t>
            </w:r>
          </w:p>
        </w:tc>
        <w:tc>
          <w:tcPr>
            <w:tcW w:w="1276" w:type="dxa"/>
          </w:tcPr>
          <w:p w14:paraId="2FF5385D" w14:textId="12D13C8E" w:rsidR="001A662D" w:rsidRPr="00E33AE2" w:rsidRDefault="001A662D" w:rsidP="001A662D">
            <w:pPr>
              <w:pStyle w:val="Tablecontent"/>
              <w:jc w:val="center"/>
            </w:pPr>
            <w:r w:rsidRPr="005F1E77">
              <w:t>1.87</w:t>
            </w:r>
          </w:p>
        </w:tc>
        <w:tc>
          <w:tcPr>
            <w:tcW w:w="1134" w:type="dxa"/>
          </w:tcPr>
          <w:p w14:paraId="6D800E5D" w14:textId="36F979D0" w:rsidR="001A662D" w:rsidRPr="0040503B" w:rsidRDefault="001A662D" w:rsidP="001A662D">
            <w:pPr>
              <w:pStyle w:val="Tablecontent"/>
              <w:jc w:val="center"/>
            </w:pPr>
            <w:r w:rsidRPr="00C871BA">
              <w:t xml:space="preserve"> 226 </w:t>
            </w:r>
          </w:p>
        </w:tc>
      </w:tr>
      <w:tr w:rsidR="001A662D" w14:paraId="469AED75" w14:textId="77777777" w:rsidTr="001A662D">
        <w:trPr>
          <w:jc w:val="center"/>
        </w:trPr>
        <w:tc>
          <w:tcPr>
            <w:tcW w:w="3261" w:type="dxa"/>
          </w:tcPr>
          <w:p w14:paraId="2F4F007C" w14:textId="0607A2E2" w:rsidR="001A662D" w:rsidRPr="00B54820" w:rsidRDefault="001A662D" w:rsidP="001A662D">
            <w:pPr>
              <w:pStyle w:val="Tablecontent"/>
              <w:rPr>
                <w:i/>
              </w:rPr>
            </w:pPr>
            <w:r w:rsidRPr="00B54820">
              <w:rPr>
                <w:i/>
              </w:rPr>
              <w:t>Leptosomus discolor</w:t>
            </w:r>
          </w:p>
        </w:tc>
        <w:tc>
          <w:tcPr>
            <w:tcW w:w="850" w:type="dxa"/>
            <w:tcBorders>
              <w:right w:val="single" w:sz="4" w:space="0" w:color="auto"/>
            </w:tcBorders>
          </w:tcPr>
          <w:p w14:paraId="04D26333" w14:textId="6E006AC0" w:rsidR="001A662D" w:rsidRPr="00E33AE2" w:rsidRDefault="001A662D" w:rsidP="001A662D">
            <w:pPr>
              <w:pStyle w:val="Tablecontent"/>
              <w:jc w:val="center"/>
            </w:pPr>
            <w:r w:rsidRPr="00CE29E7">
              <w:t>ldis</w:t>
            </w:r>
          </w:p>
        </w:tc>
        <w:tc>
          <w:tcPr>
            <w:tcW w:w="1134" w:type="dxa"/>
            <w:tcBorders>
              <w:left w:val="single" w:sz="4" w:space="0" w:color="auto"/>
            </w:tcBorders>
          </w:tcPr>
          <w:p w14:paraId="16346050" w14:textId="210C3FDD" w:rsidR="001A662D" w:rsidRPr="00E33AE2" w:rsidRDefault="001A662D" w:rsidP="001A662D">
            <w:pPr>
              <w:pStyle w:val="Tablecontent"/>
              <w:jc w:val="center"/>
            </w:pPr>
            <w:r w:rsidRPr="00CE29E7">
              <w:t>0.96</w:t>
            </w:r>
          </w:p>
        </w:tc>
        <w:tc>
          <w:tcPr>
            <w:tcW w:w="1276" w:type="dxa"/>
          </w:tcPr>
          <w:p w14:paraId="725FAD28" w14:textId="071D8CE4" w:rsidR="001A662D" w:rsidRPr="00E33AE2" w:rsidRDefault="001A662D" w:rsidP="001A662D">
            <w:pPr>
              <w:pStyle w:val="Tablecontent"/>
              <w:jc w:val="center"/>
            </w:pPr>
            <w:r w:rsidRPr="005F1E77">
              <w:t>1.02</w:t>
            </w:r>
          </w:p>
        </w:tc>
        <w:tc>
          <w:tcPr>
            <w:tcW w:w="1134" w:type="dxa"/>
          </w:tcPr>
          <w:p w14:paraId="5B82DE67" w14:textId="1FE52BEC" w:rsidR="001A662D" w:rsidRPr="0040503B" w:rsidRDefault="001A662D" w:rsidP="001A662D">
            <w:pPr>
              <w:pStyle w:val="Tablecontent"/>
              <w:jc w:val="center"/>
            </w:pPr>
            <w:r w:rsidRPr="00C871BA">
              <w:t xml:space="preserve"> 116 </w:t>
            </w:r>
          </w:p>
        </w:tc>
      </w:tr>
      <w:tr w:rsidR="001A662D" w14:paraId="23316068" w14:textId="77777777" w:rsidTr="001A662D">
        <w:trPr>
          <w:jc w:val="center"/>
        </w:trPr>
        <w:tc>
          <w:tcPr>
            <w:tcW w:w="3261" w:type="dxa"/>
          </w:tcPr>
          <w:p w14:paraId="655E8C50" w14:textId="46F26322" w:rsidR="001A662D" w:rsidRPr="00B54820" w:rsidRDefault="001A662D" w:rsidP="001A662D">
            <w:pPr>
              <w:pStyle w:val="Tablecontent"/>
              <w:rPr>
                <w:i/>
              </w:rPr>
            </w:pPr>
            <w:r w:rsidRPr="00B54820">
              <w:rPr>
                <w:i/>
              </w:rPr>
              <w:t>Manacus vitellinus</w:t>
            </w:r>
          </w:p>
        </w:tc>
        <w:tc>
          <w:tcPr>
            <w:tcW w:w="850" w:type="dxa"/>
            <w:tcBorders>
              <w:right w:val="single" w:sz="4" w:space="0" w:color="auto"/>
            </w:tcBorders>
          </w:tcPr>
          <w:p w14:paraId="7739C615" w14:textId="5BD1D782" w:rsidR="001A662D" w:rsidRPr="00E33AE2" w:rsidRDefault="001A662D" w:rsidP="001A662D">
            <w:pPr>
              <w:pStyle w:val="Tablecontent"/>
              <w:jc w:val="center"/>
            </w:pPr>
            <w:r w:rsidRPr="00CE29E7">
              <w:t>mvit</w:t>
            </w:r>
          </w:p>
        </w:tc>
        <w:tc>
          <w:tcPr>
            <w:tcW w:w="1134" w:type="dxa"/>
            <w:tcBorders>
              <w:left w:val="single" w:sz="4" w:space="0" w:color="auto"/>
            </w:tcBorders>
          </w:tcPr>
          <w:p w14:paraId="7E70F87B" w14:textId="1C456CFF" w:rsidR="001A662D" w:rsidRPr="00E33AE2" w:rsidRDefault="001A662D" w:rsidP="001A662D">
            <w:pPr>
              <w:pStyle w:val="Tablecontent"/>
              <w:jc w:val="center"/>
            </w:pPr>
            <w:r w:rsidRPr="00CE29E7">
              <w:t>0.87</w:t>
            </w:r>
          </w:p>
        </w:tc>
        <w:tc>
          <w:tcPr>
            <w:tcW w:w="1276" w:type="dxa"/>
          </w:tcPr>
          <w:p w14:paraId="4EF97367" w14:textId="4AE9FE6E" w:rsidR="001A662D" w:rsidRPr="00E33AE2" w:rsidRDefault="001A662D" w:rsidP="001A662D">
            <w:pPr>
              <w:pStyle w:val="Tablecontent"/>
              <w:jc w:val="center"/>
            </w:pPr>
            <w:r w:rsidRPr="005F1E77">
              <w:t>2.30</w:t>
            </w:r>
          </w:p>
        </w:tc>
        <w:tc>
          <w:tcPr>
            <w:tcW w:w="1134" w:type="dxa"/>
          </w:tcPr>
          <w:p w14:paraId="52CD25D6" w14:textId="724570AE" w:rsidR="001A662D" w:rsidRPr="0040503B" w:rsidRDefault="001A662D" w:rsidP="001A662D">
            <w:pPr>
              <w:pStyle w:val="Tablecontent"/>
              <w:jc w:val="center"/>
            </w:pPr>
            <w:r w:rsidRPr="00C871BA">
              <w:t xml:space="preserve"> 215 </w:t>
            </w:r>
          </w:p>
        </w:tc>
      </w:tr>
      <w:tr w:rsidR="001A662D" w14:paraId="5A5F7A51" w14:textId="77777777" w:rsidTr="001A662D">
        <w:trPr>
          <w:jc w:val="center"/>
        </w:trPr>
        <w:tc>
          <w:tcPr>
            <w:tcW w:w="3261" w:type="dxa"/>
          </w:tcPr>
          <w:p w14:paraId="274BBB6B" w14:textId="147E21B5" w:rsidR="001A662D" w:rsidRPr="00B54820" w:rsidRDefault="001A662D" w:rsidP="001A662D">
            <w:pPr>
              <w:pStyle w:val="Tablecontent"/>
              <w:rPr>
                <w:i/>
              </w:rPr>
            </w:pPr>
            <w:r w:rsidRPr="00B54820">
              <w:rPr>
                <w:i/>
              </w:rPr>
              <w:t>Meleagris gallopavo</w:t>
            </w:r>
          </w:p>
        </w:tc>
        <w:tc>
          <w:tcPr>
            <w:tcW w:w="850" w:type="dxa"/>
            <w:tcBorders>
              <w:right w:val="single" w:sz="4" w:space="0" w:color="auto"/>
            </w:tcBorders>
          </w:tcPr>
          <w:p w14:paraId="1F61B3AB" w14:textId="45DFDB9E" w:rsidR="001A662D" w:rsidRPr="00E33AE2" w:rsidRDefault="001A662D" w:rsidP="001A662D">
            <w:pPr>
              <w:pStyle w:val="Tablecontent"/>
              <w:jc w:val="center"/>
            </w:pPr>
            <w:r w:rsidRPr="00CE29E7">
              <w:t>mgal</w:t>
            </w:r>
          </w:p>
        </w:tc>
        <w:tc>
          <w:tcPr>
            <w:tcW w:w="1134" w:type="dxa"/>
            <w:tcBorders>
              <w:left w:val="single" w:sz="4" w:space="0" w:color="auto"/>
            </w:tcBorders>
          </w:tcPr>
          <w:p w14:paraId="023658A7" w14:textId="37F92573" w:rsidR="001A662D" w:rsidRPr="00E33AE2" w:rsidRDefault="001A662D" w:rsidP="001A662D">
            <w:pPr>
              <w:pStyle w:val="Tablecontent"/>
              <w:jc w:val="center"/>
            </w:pPr>
            <w:r w:rsidRPr="00CE29E7">
              <w:t>1.06</w:t>
            </w:r>
          </w:p>
        </w:tc>
        <w:tc>
          <w:tcPr>
            <w:tcW w:w="1276" w:type="dxa"/>
          </w:tcPr>
          <w:p w14:paraId="79F3B49D" w14:textId="649686BF" w:rsidR="001A662D" w:rsidRPr="00E33AE2" w:rsidRDefault="001A662D" w:rsidP="001A662D">
            <w:pPr>
              <w:pStyle w:val="Tablecontent"/>
              <w:jc w:val="center"/>
            </w:pPr>
            <w:r w:rsidRPr="005F1E77">
              <w:t>2.80</w:t>
            </w:r>
          </w:p>
        </w:tc>
        <w:tc>
          <w:tcPr>
            <w:tcW w:w="1134" w:type="dxa"/>
          </w:tcPr>
          <w:p w14:paraId="1564E2DA" w14:textId="4D113C66" w:rsidR="001A662D" w:rsidRPr="0040503B" w:rsidRDefault="001A662D" w:rsidP="001A662D">
            <w:pPr>
              <w:pStyle w:val="Tablecontent"/>
              <w:jc w:val="center"/>
            </w:pPr>
            <w:r w:rsidRPr="00C871BA">
              <w:t xml:space="preserve"> 411 </w:t>
            </w:r>
          </w:p>
        </w:tc>
      </w:tr>
      <w:tr w:rsidR="001A662D" w14:paraId="075A6AFF" w14:textId="77777777" w:rsidTr="001A662D">
        <w:trPr>
          <w:jc w:val="center"/>
        </w:trPr>
        <w:tc>
          <w:tcPr>
            <w:tcW w:w="3261" w:type="dxa"/>
          </w:tcPr>
          <w:p w14:paraId="1643F1BB" w14:textId="682B0392" w:rsidR="001A662D" w:rsidRPr="00B54820" w:rsidRDefault="001A662D" w:rsidP="001A662D">
            <w:pPr>
              <w:pStyle w:val="Tablecontent"/>
              <w:rPr>
                <w:i/>
              </w:rPr>
            </w:pPr>
            <w:r w:rsidRPr="00B54820">
              <w:rPr>
                <w:i/>
              </w:rPr>
              <w:t>Melopsittacus undulatus</w:t>
            </w:r>
          </w:p>
        </w:tc>
        <w:tc>
          <w:tcPr>
            <w:tcW w:w="850" w:type="dxa"/>
            <w:tcBorders>
              <w:right w:val="single" w:sz="4" w:space="0" w:color="auto"/>
            </w:tcBorders>
          </w:tcPr>
          <w:p w14:paraId="479D3E9E" w14:textId="5534EBF4" w:rsidR="001A662D" w:rsidRPr="00E33AE2" w:rsidRDefault="001A662D" w:rsidP="001A662D">
            <w:pPr>
              <w:pStyle w:val="Tablecontent"/>
              <w:jc w:val="center"/>
            </w:pPr>
            <w:r w:rsidRPr="00CE29E7">
              <w:t>mund</w:t>
            </w:r>
          </w:p>
        </w:tc>
        <w:tc>
          <w:tcPr>
            <w:tcW w:w="1134" w:type="dxa"/>
            <w:tcBorders>
              <w:left w:val="single" w:sz="4" w:space="0" w:color="auto"/>
            </w:tcBorders>
          </w:tcPr>
          <w:p w14:paraId="76780943" w14:textId="6A4CC967" w:rsidR="001A662D" w:rsidRPr="00E33AE2" w:rsidRDefault="001A662D" w:rsidP="001A662D">
            <w:pPr>
              <w:pStyle w:val="Tablecontent"/>
              <w:jc w:val="center"/>
            </w:pPr>
            <w:r w:rsidRPr="00CE29E7">
              <w:t>1.52</w:t>
            </w:r>
          </w:p>
        </w:tc>
        <w:tc>
          <w:tcPr>
            <w:tcW w:w="1276" w:type="dxa"/>
          </w:tcPr>
          <w:p w14:paraId="760855AF" w14:textId="3813F867" w:rsidR="001A662D" w:rsidRPr="00E33AE2" w:rsidRDefault="001A662D" w:rsidP="001A662D">
            <w:pPr>
              <w:pStyle w:val="Tablecontent"/>
              <w:jc w:val="center"/>
            </w:pPr>
            <w:r w:rsidRPr="005F1E77">
              <w:t>4.22</w:t>
            </w:r>
          </w:p>
        </w:tc>
        <w:tc>
          <w:tcPr>
            <w:tcW w:w="1134" w:type="dxa"/>
          </w:tcPr>
          <w:p w14:paraId="38CC0EA4" w14:textId="213C1962" w:rsidR="001A662D" w:rsidRPr="0040503B" w:rsidRDefault="001A662D" w:rsidP="001A662D">
            <w:pPr>
              <w:pStyle w:val="Tablecontent"/>
              <w:jc w:val="center"/>
            </w:pPr>
            <w:r w:rsidRPr="00C871BA">
              <w:t xml:space="preserve"> 642 </w:t>
            </w:r>
          </w:p>
        </w:tc>
      </w:tr>
      <w:tr w:rsidR="001A662D" w14:paraId="455AD2E8" w14:textId="77777777" w:rsidTr="001A662D">
        <w:trPr>
          <w:jc w:val="center"/>
        </w:trPr>
        <w:tc>
          <w:tcPr>
            <w:tcW w:w="3261" w:type="dxa"/>
          </w:tcPr>
          <w:p w14:paraId="70D06E24" w14:textId="485D238F" w:rsidR="001A662D" w:rsidRPr="00B54820" w:rsidRDefault="001A662D" w:rsidP="001A662D">
            <w:pPr>
              <w:pStyle w:val="Tablecontent"/>
              <w:rPr>
                <w:i/>
              </w:rPr>
            </w:pPr>
            <w:r w:rsidRPr="00B54820">
              <w:rPr>
                <w:i/>
              </w:rPr>
              <w:t>Merops nubicus</w:t>
            </w:r>
          </w:p>
        </w:tc>
        <w:tc>
          <w:tcPr>
            <w:tcW w:w="850" w:type="dxa"/>
            <w:tcBorders>
              <w:right w:val="single" w:sz="4" w:space="0" w:color="auto"/>
            </w:tcBorders>
          </w:tcPr>
          <w:p w14:paraId="071E4F25" w14:textId="3829F2CD" w:rsidR="001A662D" w:rsidRPr="00E33AE2" w:rsidRDefault="001A662D" w:rsidP="001A662D">
            <w:pPr>
              <w:pStyle w:val="Tablecontent"/>
              <w:jc w:val="center"/>
            </w:pPr>
            <w:r w:rsidRPr="00CE29E7">
              <w:t>mnub</w:t>
            </w:r>
          </w:p>
        </w:tc>
        <w:tc>
          <w:tcPr>
            <w:tcW w:w="1134" w:type="dxa"/>
            <w:tcBorders>
              <w:left w:val="single" w:sz="4" w:space="0" w:color="auto"/>
            </w:tcBorders>
          </w:tcPr>
          <w:p w14:paraId="30CEFFDB" w14:textId="3C5471BF" w:rsidR="001A662D" w:rsidRPr="00E33AE2" w:rsidRDefault="001A662D" w:rsidP="001A662D">
            <w:pPr>
              <w:pStyle w:val="Tablecontent"/>
              <w:jc w:val="center"/>
            </w:pPr>
            <w:r w:rsidRPr="00CE29E7">
              <w:t>0.90</w:t>
            </w:r>
          </w:p>
        </w:tc>
        <w:tc>
          <w:tcPr>
            <w:tcW w:w="1276" w:type="dxa"/>
          </w:tcPr>
          <w:p w14:paraId="103A3DFE" w14:textId="767FE10F" w:rsidR="001A662D" w:rsidRPr="00E33AE2" w:rsidRDefault="001A662D" w:rsidP="001A662D">
            <w:pPr>
              <w:pStyle w:val="Tablecontent"/>
              <w:jc w:val="center"/>
            </w:pPr>
            <w:r w:rsidRPr="005F1E77">
              <w:t>1.95</w:t>
            </w:r>
          </w:p>
        </w:tc>
        <w:tc>
          <w:tcPr>
            <w:tcW w:w="1134" w:type="dxa"/>
          </w:tcPr>
          <w:p w14:paraId="2568ED0D" w14:textId="24C08D44" w:rsidR="001A662D" w:rsidRPr="0040503B" w:rsidRDefault="001A662D" w:rsidP="001A662D">
            <w:pPr>
              <w:pStyle w:val="Tablecontent"/>
              <w:jc w:val="center"/>
            </w:pPr>
            <w:r w:rsidRPr="00C871BA">
              <w:t xml:space="preserve"> 105 </w:t>
            </w:r>
          </w:p>
        </w:tc>
      </w:tr>
      <w:tr w:rsidR="001A662D" w14:paraId="7B677B4E" w14:textId="77777777" w:rsidTr="001A662D">
        <w:trPr>
          <w:jc w:val="center"/>
        </w:trPr>
        <w:tc>
          <w:tcPr>
            <w:tcW w:w="3261" w:type="dxa"/>
          </w:tcPr>
          <w:p w14:paraId="27F7F445" w14:textId="26D8E51B" w:rsidR="001A662D" w:rsidRPr="00B54820" w:rsidRDefault="001A662D" w:rsidP="001A662D">
            <w:pPr>
              <w:pStyle w:val="Tablecontent"/>
              <w:rPr>
                <w:i/>
              </w:rPr>
            </w:pPr>
            <w:r w:rsidRPr="00B54820">
              <w:rPr>
                <w:i/>
              </w:rPr>
              <w:t>Mesitornis unicolor</w:t>
            </w:r>
          </w:p>
        </w:tc>
        <w:tc>
          <w:tcPr>
            <w:tcW w:w="850" w:type="dxa"/>
            <w:tcBorders>
              <w:right w:val="single" w:sz="4" w:space="0" w:color="auto"/>
            </w:tcBorders>
          </w:tcPr>
          <w:p w14:paraId="6E62BFD9" w14:textId="69D9FC92" w:rsidR="001A662D" w:rsidRPr="00E33AE2" w:rsidRDefault="001A662D" w:rsidP="001A662D">
            <w:pPr>
              <w:pStyle w:val="Tablecontent"/>
              <w:jc w:val="center"/>
            </w:pPr>
            <w:r w:rsidRPr="00CE29E7">
              <w:t>muni</w:t>
            </w:r>
          </w:p>
        </w:tc>
        <w:tc>
          <w:tcPr>
            <w:tcW w:w="1134" w:type="dxa"/>
            <w:tcBorders>
              <w:left w:val="single" w:sz="4" w:space="0" w:color="auto"/>
            </w:tcBorders>
          </w:tcPr>
          <w:p w14:paraId="5D66DE4B" w14:textId="6ABB5CFB" w:rsidR="001A662D" w:rsidRPr="00E33AE2" w:rsidRDefault="001A662D" w:rsidP="001A662D">
            <w:pPr>
              <w:pStyle w:val="Tablecontent"/>
              <w:jc w:val="center"/>
            </w:pPr>
            <w:r w:rsidRPr="00CE29E7">
              <w:t>0.92</w:t>
            </w:r>
          </w:p>
        </w:tc>
        <w:tc>
          <w:tcPr>
            <w:tcW w:w="1276" w:type="dxa"/>
          </w:tcPr>
          <w:p w14:paraId="4E6AC3D4" w14:textId="02020D49" w:rsidR="001A662D" w:rsidRPr="00E33AE2" w:rsidRDefault="001A662D" w:rsidP="001A662D">
            <w:pPr>
              <w:pStyle w:val="Tablecontent"/>
              <w:jc w:val="center"/>
            </w:pPr>
            <w:r w:rsidRPr="005F1E77">
              <w:t>1.09</w:t>
            </w:r>
          </w:p>
        </w:tc>
        <w:tc>
          <w:tcPr>
            <w:tcW w:w="1134" w:type="dxa"/>
          </w:tcPr>
          <w:p w14:paraId="70E77B06" w14:textId="0E843F63" w:rsidR="001A662D" w:rsidRPr="0040503B" w:rsidRDefault="001A662D" w:rsidP="001A662D">
            <w:pPr>
              <w:pStyle w:val="Tablecontent"/>
              <w:jc w:val="center"/>
            </w:pPr>
            <w:r w:rsidRPr="00C871BA">
              <w:t xml:space="preserve"> 100 </w:t>
            </w:r>
          </w:p>
        </w:tc>
      </w:tr>
      <w:tr w:rsidR="001A662D" w14:paraId="2F0B6545" w14:textId="77777777" w:rsidTr="001A662D">
        <w:trPr>
          <w:jc w:val="center"/>
        </w:trPr>
        <w:tc>
          <w:tcPr>
            <w:tcW w:w="3261" w:type="dxa"/>
          </w:tcPr>
          <w:p w14:paraId="2772D954" w14:textId="40365648" w:rsidR="001A662D" w:rsidRPr="00B54820" w:rsidRDefault="001A662D" w:rsidP="001A662D">
            <w:pPr>
              <w:pStyle w:val="Tablecontent"/>
              <w:rPr>
                <w:i/>
              </w:rPr>
            </w:pPr>
            <w:r w:rsidRPr="00B54820">
              <w:rPr>
                <w:i/>
              </w:rPr>
              <w:t>Nestor notabilis</w:t>
            </w:r>
          </w:p>
        </w:tc>
        <w:tc>
          <w:tcPr>
            <w:tcW w:w="850" w:type="dxa"/>
            <w:tcBorders>
              <w:right w:val="single" w:sz="4" w:space="0" w:color="auto"/>
            </w:tcBorders>
          </w:tcPr>
          <w:p w14:paraId="7C08262E" w14:textId="7F98D1CF" w:rsidR="001A662D" w:rsidRPr="00E33AE2" w:rsidRDefault="001A662D" w:rsidP="001A662D">
            <w:pPr>
              <w:pStyle w:val="Tablecontent"/>
              <w:jc w:val="center"/>
            </w:pPr>
            <w:r w:rsidRPr="00CE29E7">
              <w:t>nnot</w:t>
            </w:r>
          </w:p>
        </w:tc>
        <w:tc>
          <w:tcPr>
            <w:tcW w:w="1134" w:type="dxa"/>
            <w:tcBorders>
              <w:left w:val="single" w:sz="4" w:space="0" w:color="auto"/>
            </w:tcBorders>
          </w:tcPr>
          <w:p w14:paraId="5FADBB87" w14:textId="24B5E13F" w:rsidR="001A662D" w:rsidRPr="00E33AE2" w:rsidRDefault="001A662D" w:rsidP="001A662D">
            <w:pPr>
              <w:pStyle w:val="Tablecontent"/>
              <w:jc w:val="center"/>
            </w:pPr>
            <w:r w:rsidRPr="00CE29E7">
              <w:t>1.22</w:t>
            </w:r>
          </w:p>
        </w:tc>
        <w:tc>
          <w:tcPr>
            <w:tcW w:w="1276" w:type="dxa"/>
          </w:tcPr>
          <w:p w14:paraId="27001DF5" w14:textId="3FDA0CAE" w:rsidR="001A662D" w:rsidRPr="00E33AE2" w:rsidRDefault="001A662D" w:rsidP="001A662D">
            <w:pPr>
              <w:pStyle w:val="Tablecontent"/>
              <w:jc w:val="center"/>
            </w:pPr>
            <w:r w:rsidRPr="005F1E77">
              <w:t>3.63</w:t>
            </w:r>
          </w:p>
        </w:tc>
        <w:tc>
          <w:tcPr>
            <w:tcW w:w="1134" w:type="dxa"/>
          </w:tcPr>
          <w:p w14:paraId="4A8A19C5" w14:textId="13BBBD80" w:rsidR="001A662D" w:rsidRPr="0040503B" w:rsidRDefault="001A662D" w:rsidP="001A662D">
            <w:pPr>
              <w:pStyle w:val="Tablecontent"/>
              <w:jc w:val="center"/>
            </w:pPr>
            <w:r w:rsidRPr="00C871BA">
              <w:t xml:space="preserve"> 85 </w:t>
            </w:r>
          </w:p>
        </w:tc>
      </w:tr>
      <w:tr w:rsidR="001A662D" w14:paraId="3441B916" w14:textId="77777777" w:rsidTr="001A662D">
        <w:trPr>
          <w:jc w:val="center"/>
        </w:trPr>
        <w:tc>
          <w:tcPr>
            <w:tcW w:w="3261" w:type="dxa"/>
          </w:tcPr>
          <w:p w14:paraId="48A92592" w14:textId="3587F186" w:rsidR="001A662D" w:rsidRPr="00B54820" w:rsidRDefault="001A662D" w:rsidP="001A662D">
            <w:pPr>
              <w:pStyle w:val="Tablecontent"/>
              <w:rPr>
                <w:i/>
              </w:rPr>
            </w:pPr>
            <w:r w:rsidRPr="00B54820">
              <w:rPr>
                <w:i/>
              </w:rPr>
              <w:t>Nipponia nippon</w:t>
            </w:r>
          </w:p>
        </w:tc>
        <w:tc>
          <w:tcPr>
            <w:tcW w:w="850" w:type="dxa"/>
            <w:tcBorders>
              <w:right w:val="single" w:sz="4" w:space="0" w:color="auto"/>
            </w:tcBorders>
          </w:tcPr>
          <w:p w14:paraId="1C133459" w14:textId="3B49851C" w:rsidR="001A662D" w:rsidRPr="00E33AE2" w:rsidRDefault="001A662D" w:rsidP="001A662D">
            <w:pPr>
              <w:pStyle w:val="Tablecontent"/>
              <w:jc w:val="center"/>
            </w:pPr>
            <w:r w:rsidRPr="00CE29E7">
              <w:t>nnip</w:t>
            </w:r>
          </w:p>
        </w:tc>
        <w:tc>
          <w:tcPr>
            <w:tcW w:w="1134" w:type="dxa"/>
            <w:tcBorders>
              <w:left w:val="single" w:sz="4" w:space="0" w:color="auto"/>
            </w:tcBorders>
          </w:tcPr>
          <w:p w14:paraId="27CBF9CC" w14:textId="0E845E70" w:rsidR="001A662D" w:rsidRPr="00E33AE2" w:rsidRDefault="001A662D" w:rsidP="001A662D">
            <w:pPr>
              <w:pStyle w:val="Tablecontent"/>
              <w:jc w:val="center"/>
            </w:pPr>
            <w:r w:rsidRPr="00CE29E7">
              <w:t>1.06</w:t>
            </w:r>
          </w:p>
        </w:tc>
        <w:tc>
          <w:tcPr>
            <w:tcW w:w="1276" w:type="dxa"/>
          </w:tcPr>
          <w:p w14:paraId="573ADB2E" w14:textId="51E038D7" w:rsidR="001A662D" w:rsidRPr="00E33AE2" w:rsidRDefault="001A662D" w:rsidP="001A662D">
            <w:pPr>
              <w:pStyle w:val="Tablecontent"/>
              <w:jc w:val="center"/>
            </w:pPr>
            <w:r w:rsidRPr="005F1E77">
              <w:t>1.51</w:t>
            </w:r>
          </w:p>
        </w:tc>
        <w:tc>
          <w:tcPr>
            <w:tcW w:w="1134" w:type="dxa"/>
          </w:tcPr>
          <w:p w14:paraId="07F745E9" w14:textId="50C0D798" w:rsidR="001A662D" w:rsidRPr="0040503B" w:rsidRDefault="001A662D" w:rsidP="001A662D">
            <w:pPr>
              <w:pStyle w:val="Tablecontent"/>
              <w:jc w:val="center"/>
            </w:pPr>
            <w:r w:rsidRPr="00C871BA">
              <w:t xml:space="preserve"> 226 </w:t>
            </w:r>
          </w:p>
        </w:tc>
      </w:tr>
      <w:tr w:rsidR="001A662D" w14:paraId="583E7139" w14:textId="77777777" w:rsidTr="001A662D">
        <w:trPr>
          <w:jc w:val="center"/>
        </w:trPr>
        <w:tc>
          <w:tcPr>
            <w:tcW w:w="3261" w:type="dxa"/>
          </w:tcPr>
          <w:p w14:paraId="18BB7091" w14:textId="5FF9AFE7" w:rsidR="001A662D" w:rsidRPr="00B54820" w:rsidRDefault="00CC16E6" w:rsidP="001A662D">
            <w:pPr>
              <w:pStyle w:val="Tablecontent"/>
              <w:rPr>
                <w:i/>
              </w:rPr>
            </w:pPr>
            <w:r>
              <w:rPr>
                <w:i/>
              </w:rPr>
              <w:lastRenderedPageBreak/>
              <w:t>Op</w:t>
            </w:r>
            <w:r w:rsidR="001A662D" w:rsidRPr="00B54820">
              <w:rPr>
                <w:i/>
              </w:rPr>
              <w:t>isthocomus hoazin</w:t>
            </w:r>
          </w:p>
        </w:tc>
        <w:tc>
          <w:tcPr>
            <w:tcW w:w="850" w:type="dxa"/>
            <w:tcBorders>
              <w:right w:val="single" w:sz="4" w:space="0" w:color="auto"/>
            </w:tcBorders>
          </w:tcPr>
          <w:p w14:paraId="69DA1708" w14:textId="13905884" w:rsidR="001A662D" w:rsidRPr="00E33AE2" w:rsidRDefault="001A662D" w:rsidP="001A662D">
            <w:pPr>
              <w:pStyle w:val="Tablecontent"/>
              <w:jc w:val="center"/>
            </w:pPr>
            <w:r w:rsidRPr="00CE29E7">
              <w:t>ohoa</w:t>
            </w:r>
          </w:p>
        </w:tc>
        <w:tc>
          <w:tcPr>
            <w:tcW w:w="1134" w:type="dxa"/>
            <w:tcBorders>
              <w:left w:val="single" w:sz="4" w:space="0" w:color="auto"/>
            </w:tcBorders>
          </w:tcPr>
          <w:p w14:paraId="6EB27C20" w14:textId="23A06F29" w:rsidR="001A662D" w:rsidRPr="00E33AE2" w:rsidRDefault="001A662D" w:rsidP="001A662D">
            <w:pPr>
              <w:pStyle w:val="Tablecontent"/>
              <w:jc w:val="center"/>
            </w:pPr>
            <w:r w:rsidRPr="00CE29E7">
              <w:t>1.02</w:t>
            </w:r>
          </w:p>
        </w:tc>
        <w:tc>
          <w:tcPr>
            <w:tcW w:w="1276" w:type="dxa"/>
          </w:tcPr>
          <w:p w14:paraId="5050B8E2" w14:textId="46D8EACF" w:rsidR="001A662D" w:rsidRPr="00E33AE2" w:rsidRDefault="001A662D" w:rsidP="001A662D">
            <w:pPr>
              <w:pStyle w:val="Tablecontent"/>
              <w:jc w:val="center"/>
            </w:pPr>
            <w:r w:rsidRPr="005F1E77">
              <w:t>2.09</w:t>
            </w:r>
          </w:p>
        </w:tc>
        <w:tc>
          <w:tcPr>
            <w:tcW w:w="1134" w:type="dxa"/>
          </w:tcPr>
          <w:p w14:paraId="43D18740" w14:textId="6FBCC09C" w:rsidR="001A662D" w:rsidRPr="0040503B" w:rsidRDefault="001A662D" w:rsidP="001A662D">
            <w:pPr>
              <w:pStyle w:val="Tablecontent"/>
              <w:jc w:val="center"/>
            </w:pPr>
            <w:r w:rsidRPr="00C871BA">
              <w:t xml:space="preserve"> 492 </w:t>
            </w:r>
          </w:p>
        </w:tc>
      </w:tr>
      <w:tr w:rsidR="001A662D" w14:paraId="0F368116" w14:textId="77777777" w:rsidTr="001A662D">
        <w:trPr>
          <w:jc w:val="center"/>
        </w:trPr>
        <w:tc>
          <w:tcPr>
            <w:tcW w:w="3261" w:type="dxa"/>
          </w:tcPr>
          <w:p w14:paraId="4850E7D6" w14:textId="7B6BD078" w:rsidR="001A662D" w:rsidRPr="00B54820" w:rsidRDefault="001A662D" w:rsidP="001A662D">
            <w:pPr>
              <w:pStyle w:val="Tablecontent"/>
              <w:rPr>
                <w:i/>
              </w:rPr>
            </w:pPr>
            <w:r w:rsidRPr="00B54820">
              <w:rPr>
                <w:i/>
              </w:rPr>
              <w:t>Parus major</w:t>
            </w:r>
          </w:p>
        </w:tc>
        <w:tc>
          <w:tcPr>
            <w:tcW w:w="850" w:type="dxa"/>
            <w:tcBorders>
              <w:right w:val="single" w:sz="4" w:space="0" w:color="auto"/>
            </w:tcBorders>
          </w:tcPr>
          <w:p w14:paraId="62DAC57F" w14:textId="72299130" w:rsidR="001A662D" w:rsidRPr="00E33AE2" w:rsidRDefault="001A662D" w:rsidP="001A662D">
            <w:pPr>
              <w:pStyle w:val="Tablecontent"/>
              <w:jc w:val="center"/>
            </w:pPr>
            <w:r w:rsidRPr="00CE29E7">
              <w:t>pmaj</w:t>
            </w:r>
          </w:p>
        </w:tc>
        <w:tc>
          <w:tcPr>
            <w:tcW w:w="1134" w:type="dxa"/>
            <w:tcBorders>
              <w:left w:val="single" w:sz="4" w:space="0" w:color="auto"/>
            </w:tcBorders>
          </w:tcPr>
          <w:p w14:paraId="7DD78149" w14:textId="3FB3D98C" w:rsidR="001A662D" w:rsidRPr="00E33AE2" w:rsidRDefault="001A662D" w:rsidP="001A662D">
            <w:pPr>
              <w:pStyle w:val="Tablecontent"/>
              <w:jc w:val="center"/>
            </w:pPr>
            <w:r w:rsidRPr="00CE29E7">
              <w:t>1.49</w:t>
            </w:r>
          </w:p>
        </w:tc>
        <w:tc>
          <w:tcPr>
            <w:tcW w:w="1276" w:type="dxa"/>
          </w:tcPr>
          <w:p w14:paraId="4F87B9CA" w14:textId="577D9610" w:rsidR="001A662D" w:rsidRPr="00E33AE2" w:rsidRDefault="001A662D" w:rsidP="001A662D">
            <w:pPr>
              <w:pStyle w:val="Tablecontent"/>
              <w:jc w:val="center"/>
            </w:pPr>
            <w:r w:rsidRPr="005F1E77">
              <w:t>2.10</w:t>
            </w:r>
          </w:p>
        </w:tc>
        <w:tc>
          <w:tcPr>
            <w:tcW w:w="1134" w:type="dxa"/>
          </w:tcPr>
          <w:p w14:paraId="24EF665B" w14:textId="31F42A92" w:rsidR="001A662D" w:rsidRPr="0040503B" w:rsidRDefault="001A662D" w:rsidP="001A662D">
            <w:pPr>
              <w:pStyle w:val="Tablecontent"/>
              <w:jc w:val="center"/>
            </w:pPr>
            <w:r w:rsidRPr="00C871BA">
              <w:t xml:space="preserve"> 613 </w:t>
            </w:r>
          </w:p>
        </w:tc>
      </w:tr>
      <w:tr w:rsidR="001A662D" w14:paraId="49499406" w14:textId="77777777" w:rsidTr="001A662D">
        <w:trPr>
          <w:jc w:val="center"/>
        </w:trPr>
        <w:tc>
          <w:tcPr>
            <w:tcW w:w="3261" w:type="dxa"/>
          </w:tcPr>
          <w:p w14:paraId="75BFC237" w14:textId="2B182EF2" w:rsidR="001A662D" w:rsidRPr="00B54820" w:rsidRDefault="001A662D" w:rsidP="001A662D">
            <w:pPr>
              <w:pStyle w:val="Tablecontent"/>
              <w:rPr>
                <w:i/>
              </w:rPr>
            </w:pPr>
            <w:r w:rsidRPr="00B54820">
              <w:rPr>
                <w:i/>
              </w:rPr>
              <w:t>Pelecanus crispus</w:t>
            </w:r>
          </w:p>
        </w:tc>
        <w:tc>
          <w:tcPr>
            <w:tcW w:w="850" w:type="dxa"/>
            <w:tcBorders>
              <w:right w:val="single" w:sz="4" w:space="0" w:color="auto"/>
            </w:tcBorders>
          </w:tcPr>
          <w:p w14:paraId="588AA573" w14:textId="59CDD10E" w:rsidR="001A662D" w:rsidRPr="00E33AE2" w:rsidRDefault="001A662D" w:rsidP="001A662D">
            <w:pPr>
              <w:pStyle w:val="Tablecontent"/>
              <w:jc w:val="center"/>
            </w:pPr>
            <w:r w:rsidRPr="00CE29E7">
              <w:t>pcri</w:t>
            </w:r>
          </w:p>
        </w:tc>
        <w:tc>
          <w:tcPr>
            <w:tcW w:w="1134" w:type="dxa"/>
            <w:tcBorders>
              <w:left w:val="single" w:sz="4" w:space="0" w:color="auto"/>
            </w:tcBorders>
          </w:tcPr>
          <w:p w14:paraId="59FA1527" w14:textId="47D9E971" w:rsidR="001A662D" w:rsidRPr="00E33AE2" w:rsidRDefault="001A662D" w:rsidP="001A662D">
            <w:pPr>
              <w:pStyle w:val="Tablecontent"/>
              <w:jc w:val="center"/>
            </w:pPr>
            <w:r w:rsidRPr="00CE29E7">
              <w:t>1.73</w:t>
            </w:r>
          </w:p>
        </w:tc>
        <w:tc>
          <w:tcPr>
            <w:tcW w:w="1276" w:type="dxa"/>
          </w:tcPr>
          <w:p w14:paraId="6A0A53FB" w14:textId="08E0A4A2" w:rsidR="001A662D" w:rsidRPr="00E33AE2" w:rsidRDefault="001A662D" w:rsidP="001A662D">
            <w:pPr>
              <w:pStyle w:val="Tablecontent"/>
              <w:jc w:val="center"/>
            </w:pPr>
            <w:r w:rsidRPr="005F1E77">
              <w:t>3.00</w:t>
            </w:r>
          </w:p>
        </w:tc>
        <w:tc>
          <w:tcPr>
            <w:tcW w:w="1134" w:type="dxa"/>
          </w:tcPr>
          <w:p w14:paraId="2944A3B8" w14:textId="6D19D832" w:rsidR="001A662D" w:rsidRPr="0040503B" w:rsidRDefault="001A662D" w:rsidP="001A662D">
            <w:pPr>
              <w:pStyle w:val="Tablecontent"/>
              <w:jc w:val="center"/>
            </w:pPr>
            <w:r w:rsidRPr="00C871BA">
              <w:t xml:space="preserve"> 225 </w:t>
            </w:r>
          </w:p>
        </w:tc>
      </w:tr>
      <w:tr w:rsidR="001A662D" w14:paraId="18F6E732" w14:textId="77777777" w:rsidTr="001A662D">
        <w:trPr>
          <w:jc w:val="center"/>
        </w:trPr>
        <w:tc>
          <w:tcPr>
            <w:tcW w:w="3261" w:type="dxa"/>
          </w:tcPr>
          <w:p w14:paraId="13951E3B" w14:textId="01F8DF13" w:rsidR="001A662D" w:rsidRPr="00B54820" w:rsidRDefault="001A662D" w:rsidP="001A662D">
            <w:pPr>
              <w:pStyle w:val="Tablecontent"/>
              <w:rPr>
                <w:i/>
              </w:rPr>
            </w:pPr>
            <w:r w:rsidRPr="00B54820">
              <w:rPr>
                <w:i/>
              </w:rPr>
              <w:t>Phaethon lepturus</w:t>
            </w:r>
          </w:p>
        </w:tc>
        <w:tc>
          <w:tcPr>
            <w:tcW w:w="850" w:type="dxa"/>
            <w:tcBorders>
              <w:right w:val="single" w:sz="4" w:space="0" w:color="auto"/>
            </w:tcBorders>
          </w:tcPr>
          <w:p w14:paraId="5AB57541" w14:textId="43928CFB" w:rsidR="001A662D" w:rsidRPr="00E33AE2" w:rsidRDefault="001A662D" w:rsidP="001A662D">
            <w:pPr>
              <w:pStyle w:val="Tablecontent"/>
              <w:jc w:val="center"/>
            </w:pPr>
            <w:r w:rsidRPr="00CE29E7">
              <w:t>plep</w:t>
            </w:r>
          </w:p>
        </w:tc>
        <w:tc>
          <w:tcPr>
            <w:tcW w:w="1134" w:type="dxa"/>
            <w:tcBorders>
              <w:left w:val="single" w:sz="4" w:space="0" w:color="auto"/>
            </w:tcBorders>
          </w:tcPr>
          <w:p w14:paraId="7E6024D0" w14:textId="6837520C" w:rsidR="001A662D" w:rsidRPr="00E33AE2" w:rsidRDefault="001A662D" w:rsidP="001A662D">
            <w:pPr>
              <w:pStyle w:val="Tablecontent"/>
              <w:jc w:val="center"/>
            </w:pPr>
            <w:r w:rsidRPr="00CE29E7">
              <w:t>1.46</w:t>
            </w:r>
          </w:p>
        </w:tc>
        <w:tc>
          <w:tcPr>
            <w:tcW w:w="1276" w:type="dxa"/>
          </w:tcPr>
          <w:p w14:paraId="49713679" w14:textId="22E7F4E1" w:rsidR="001A662D" w:rsidRPr="00E33AE2" w:rsidRDefault="001A662D" w:rsidP="001A662D">
            <w:pPr>
              <w:pStyle w:val="Tablecontent"/>
              <w:jc w:val="center"/>
            </w:pPr>
            <w:r w:rsidRPr="005F1E77">
              <w:t>1.78</w:t>
            </w:r>
          </w:p>
        </w:tc>
        <w:tc>
          <w:tcPr>
            <w:tcW w:w="1134" w:type="dxa"/>
          </w:tcPr>
          <w:p w14:paraId="1743A3FD" w14:textId="615C8D65" w:rsidR="001A662D" w:rsidRPr="0040503B" w:rsidRDefault="001A662D" w:rsidP="001A662D">
            <w:pPr>
              <w:pStyle w:val="Tablecontent"/>
              <w:jc w:val="center"/>
            </w:pPr>
            <w:r w:rsidRPr="00C871BA">
              <w:t xml:space="preserve"> 134 </w:t>
            </w:r>
          </w:p>
        </w:tc>
      </w:tr>
      <w:tr w:rsidR="001A662D" w14:paraId="37C76985" w14:textId="77777777" w:rsidTr="001A662D">
        <w:trPr>
          <w:jc w:val="center"/>
        </w:trPr>
        <w:tc>
          <w:tcPr>
            <w:tcW w:w="3261" w:type="dxa"/>
          </w:tcPr>
          <w:p w14:paraId="0BC2B4A3" w14:textId="7AE9424D" w:rsidR="001A662D" w:rsidRPr="00B54820" w:rsidRDefault="001A662D" w:rsidP="001A662D">
            <w:pPr>
              <w:pStyle w:val="Tablecontent"/>
              <w:rPr>
                <w:i/>
              </w:rPr>
            </w:pPr>
            <w:r w:rsidRPr="00B54820">
              <w:rPr>
                <w:i/>
              </w:rPr>
              <w:t>Phalacrocorax carbo</w:t>
            </w:r>
          </w:p>
        </w:tc>
        <w:tc>
          <w:tcPr>
            <w:tcW w:w="850" w:type="dxa"/>
            <w:tcBorders>
              <w:right w:val="single" w:sz="4" w:space="0" w:color="auto"/>
            </w:tcBorders>
          </w:tcPr>
          <w:p w14:paraId="479899AC" w14:textId="61A17483" w:rsidR="001A662D" w:rsidRPr="00E33AE2" w:rsidRDefault="001A662D" w:rsidP="001A662D">
            <w:pPr>
              <w:pStyle w:val="Tablecontent"/>
              <w:jc w:val="center"/>
            </w:pPr>
            <w:r w:rsidRPr="00CE29E7">
              <w:t>pcar</w:t>
            </w:r>
          </w:p>
        </w:tc>
        <w:tc>
          <w:tcPr>
            <w:tcW w:w="1134" w:type="dxa"/>
            <w:tcBorders>
              <w:left w:val="single" w:sz="4" w:space="0" w:color="auto"/>
            </w:tcBorders>
          </w:tcPr>
          <w:p w14:paraId="444C27C3" w14:textId="09FFBF34" w:rsidR="001A662D" w:rsidRPr="00E33AE2" w:rsidRDefault="001A662D" w:rsidP="001A662D">
            <w:pPr>
              <w:pStyle w:val="Tablecontent"/>
              <w:jc w:val="center"/>
            </w:pPr>
            <w:r w:rsidRPr="00CE29E7">
              <w:t>1.15</w:t>
            </w:r>
          </w:p>
        </w:tc>
        <w:tc>
          <w:tcPr>
            <w:tcW w:w="1276" w:type="dxa"/>
          </w:tcPr>
          <w:p w14:paraId="389E3A3C" w14:textId="138C31D8" w:rsidR="001A662D" w:rsidRPr="00E33AE2" w:rsidRDefault="001A662D" w:rsidP="001A662D">
            <w:pPr>
              <w:pStyle w:val="Tablecontent"/>
              <w:jc w:val="center"/>
            </w:pPr>
            <w:r w:rsidRPr="005F1E77">
              <w:t>1.21</w:t>
            </w:r>
          </w:p>
        </w:tc>
        <w:tc>
          <w:tcPr>
            <w:tcW w:w="1134" w:type="dxa"/>
          </w:tcPr>
          <w:p w14:paraId="292CD3D5" w14:textId="16C4B992" w:rsidR="001A662D" w:rsidRPr="0040503B" w:rsidRDefault="001A662D" w:rsidP="001A662D">
            <w:pPr>
              <w:pStyle w:val="Tablecontent"/>
              <w:jc w:val="center"/>
            </w:pPr>
            <w:r w:rsidRPr="00C871BA">
              <w:t xml:space="preserve"> 93 </w:t>
            </w:r>
          </w:p>
        </w:tc>
      </w:tr>
      <w:tr w:rsidR="001A662D" w14:paraId="67C680B3" w14:textId="77777777" w:rsidTr="001A662D">
        <w:trPr>
          <w:jc w:val="center"/>
        </w:trPr>
        <w:tc>
          <w:tcPr>
            <w:tcW w:w="3261" w:type="dxa"/>
          </w:tcPr>
          <w:p w14:paraId="3E27F6A9" w14:textId="25EE51E2" w:rsidR="001A662D" w:rsidRPr="00B54820" w:rsidRDefault="001A662D" w:rsidP="001A662D">
            <w:pPr>
              <w:pStyle w:val="Tablecontent"/>
              <w:rPr>
                <w:i/>
              </w:rPr>
            </w:pPr>
            <w:r w:rsidRPr="00B54820">
              <w:rPr>
                <w:i/>
              </w:rPr>
              <w:t>Phoenicopterus ruber</w:t>
            </w:r>
          </w:p>
        </w:tc>
        <w:tc>
          <w:tcPr>
            <w:tcW w:w="850" w:type="dxa"/>
            <w:tcBorders>
              <w:right w:val="single" w:sz="4" w:space="0" w:color="auto"/>
            </w:tcBorders>
          </w:tcPr>
          <w:p w14:paraId="1E2E8637" w14:textId="42C81EB9" w:rsidR="001A662D" w:rsidRPr="00E33AE2" w:rsidRDefault="001A662D" w:rsidP="001A662D">
            <w:pPr>
              <w:pStyle w:val="Tablecontent"/>
              <w:jc w:val="center"/>
            </w:pPr>
            <w:r w:rsidRPr="00CE29E7">
              <w:t>prub</w:t>
            </w:r>
          </w:p>
        </w:tc>
        <w:tc>
          <w:tcPr>
            <w:tcW w:w="1134" w:type="dxa"/>
            <w:tcBorders>
              <w:left w:val="single" w:sz="4" w:space="0" w:color="auto"/>
            </w:tcBorders>
          </w:tcPr>
          <w:p w14:paraId="79DFB721" w14:textId="124F6DF6" w:rsidR="001A662D" w:rsidRPr="00E33AE2" w:rsidRDefault="001A662D" w:rsidP="001A662D">
            <w:pPr>
              <w:pStyle w:val="Tablecontent"/>
              <w:jc w:val="center"/>
            </w:pPr>
            <w:r w:rsidRPr="00CE29E7">
              <w:t>0.96</w:t>
            </w:r>
          </w:p>
        </w:tc>
        <w:tc>
          <w:tcPr>
            <w:tcW w:w="1276" w:type="dxa"/>
          </w:tcPr>
          <w:p w14:paraId="16817450" w14:textId="13783A09" w:rsidR="001A662D" w:rsidRPr="00E33AE2" w:rsidRDefault="001A662D" w:rsidP="001A662D">
            <w:pPr>
              <w:pStyle w:val="Tablecontent"/>
              <w:jc w:val="center"/>
            </w:pPr>
            <w:r w:rsidRPr="005F1E77">
              <w:t>1.86</w:t>
            </w:r>
          </w:p>
        </w:tc>
        <w:tc>
          <w:tcPr>
            <w:tcW w:w="1134" w:type="dxa"/>
          </w:tcPr>
          <w:p w14:paraId="7F57D655" w14:textId="3C81C0D3" w:rsidR="001A662D" w:rsidRPr="0040503B" w:rsidRDefault="001A662D" w:rsidP="001A662D">
            <w:pPr>
              <w:pStyle w:val="Tablecontent"/>
              <w:jc w:val="center"/>
            </w:pPr>
            <w:r w:rsidRPr="00C871BA">
              <w:t xml:space="preserve"> 56 </w:t>
            </w:r>
          </w:p>
        </w:tc>
      </w:tr>
      <w:tr w:rsidR="001A662D" w14:paraId="25CB0E08" w14:textId="77777777" w:rsidTr="001A662D">
        <w:trPr>
          <w:jc w:val="center"/>
        </w:trPr>
        <w:tc>
          <w:tcPr>
            <w:tcW w:w="3261" w:type="dxa"/>
          </w:tcPr>
          <w:p w14:paraId="1D4DCF07" w14:textId="2DD73B7B" w:rsidR="001A662D" w:rsidRPr="00B54820" w:rsidRDefault="001A662D" w:rsidP="001A662D">
            <w:pPr>
              <w:pStyle w:val="Tablecontent"/>
              <w:rPr>
                <w:i/>
              </w:rPr>
            </w:pPr>
            <w:r w:rsidRPr="00B54820">
              <w:rPr>
                <w:i/>
              </w:rPr>
              <w:t>Picoides pubescens</w:t>
            </w:r>
          </w:p>
        </w:tc>
        <w:tc>
          <w:tcPr>
            <w:tcW w:w="850" w:type="dxa"/>
            <w:tcBorders>
              <w:right w:val="single" w:sz="4" w:space="0" w:color="auto"/>
            </w:tcBorders>
          </w:tcPr>
          <w:p w14:paraId="4D0BF172" w14:textId="35119AD3" w:rsidR="001A662D" w:rsidRPr="00E33AE2" w:rsidRDefault="001A662D" w:rsidP="001A662D">
            <w:pPr>
              <w:pStyle w:val="Tablecontent"/>
              <w:jc w:val="center"/>
            </w:pPr>
            <w:r w:rsidRPr="00CE29E7">
              <w:t>ppub</w:t>
            </w:r>
          </w:p>
        </w:tc>
        <w:tc>
          <w:tcPr>
            <w:tcW w:w="1134" w:type="dxa"/>
            <w:tcBorders>
              <w:left w:val="single" w:sz="4" w:space="0" w:color="auto"/>
            </w:tcBorders>
          </w:tcPr>
          <w:p w14:paraId="5E3A7B34" w14:textId="7F6D72E1" w:rsidR="001A662D" w:rsidRPr="00E33AE2" w:rsidRDefault="001A662D" w:rsidP="001A662D">
            <w:pPr>
              <w:pStyle w:val="Tablecontent"/>
              <w:jc w:val="center"/>
            </w:pPr>
            <w:r w:rsidRPr="00CE29E7">
              <w:t>0.59</w:t>
            </w:r>
          </w:p>
        </w:tc>
        <w:tc>
          <w:tcPr>
            <w:tcW w:w="1276" w:type="dxa"/>
          </w:tcPr>
          <w:p w14:paraId="04955D1A" w14:textId="5B4868C2" w:rsidR="001A662D" w:rsidRPr="00E33AE2" w:rsidRDefault="001A662D" w:rsidP="001A662D">
            <w:pPr>
              <w:pStyle w:val="Tablecontent"/>
              <w:jc w:val="center"/>
            </w:pPr>
            <w:r w:rsidRPr="005F1E77">
              <w:t>0.94</w:t>
            </w:r>
          </w:p>
        </w:tc>
        <w:tc>
          <w:tcPr>
            <w:tcW w:w="1134" w:type="dxa"/>
          </w:tcPr>
          <w:p w14:paraId="71214E70" w14:textId="1FA5F7BC" w:rsidR="001A662D" w:rsidRPr="0040503B" w:rsidRDefault="001A662D" w:rsidP="001A662D">
            <w:pPr>
              <w:pStyle w:val="Tablecontent"/>
              <w:jc w:val="center"/>
            </w:pPr>
            <w:r w:rsidRPr="00C871BA">
              <w:t xml:space="preserve"> 545 </w:t>
            </w:r>
          </w:p>
        </w:tc>
      </w:tr>
      <w:tr w:rsidR="001A662D" w14:paraId="674E19DD" w14:textId="77777777" w:rsidTr="001A662D">
        <w:trPr>
          <w:jc w:val="center"/>
        </w:trPr>
        <w:tc>
          <w:tcPr>
            <w:tcW w:w="3261" w:type="dxa"/>
          </w:tcPr>
          <w:p w14:paraId="520D176C" w14:textId="532C83B5" w:rsidR="001A662D" w:rsidRPr="00B54820" w:rsidRDefault="001A662D" w:rsidP="001A662D">
            <w:pPr>
              <w:pStyle w:val="Tablecontent"/>
              <w:rPr>
                <w:i/>
              </w:rPr>
            </w:pPr>
            <w:r w:rsidRPr="00B54820">
              <w:rPr>
                <w:i/>
              </w:rPr>
              <w:t>Podiceps cristatus</w:t>
            </w:r>
          </w:p>
        </w:tc>
        <w:tc>
          <w:tcPr>
            <w:tcW w:w="850" w:type="dxa"/>
            <w:tcBorders>
              <w:right w:val="single" w:sz="4" w:space="0" w:color="auto"/>
            </w:tcBorders>
          </w:tcPr>
          <w:p w14:paraId="5B4874DB" w14:textId="6DC59683" w:rsidR="001A662D" w:rsidRPr="00E33AE2" w:rsidRDefault="001A662D" w:rsidP="001A662D">
            <w:pPr>
              <w:pStyle w:val="Tablecontent"/>
              <w:jc w:val="center"/>
            </w:pPr>
            <w:r w:rsidRPr="00CE29E7">
              <w:t>pcrs</w:t>
            </w:r>
          </w:p>
        </w:tc>
        <w:tc>
          <w:tcPr>
            <w:tcW w:w="1134" w:type="dxa"/>
            <w:tcBorders>
              <w:left w:val="single" w:sz="4" w:space="0" w:color="auto"/>
            </w:tcBorders>
          </w:tcPr>
          <w:p w14:paraId="05B7E19C" w14:textId="502BFEAC" w:rsidR="001A662D" w:rsidRPr="00E33AE2" w:rsidRDefault="001A662D" w:rsidP="001A662D">
            <w:pPr>
              <w:pStyle w:val="Tablecontent"/>
              <w:jc w:val="center"/>
            </w:pPr>
            <w:r w:rsidRPr="00CE29E7">
              <w:t>1.28</w:t>
            </w:r>
          </w:p>
        </w:tc>
        <w:tc>
          <w:tcPr>
            <w:tcW w:w="1276" w:type="dxa"/>
          </w:tcPr>
          <w:p w14:paraId="7A56CE4C" w14:textId="6E0B35EB" w:rsidR="001A662D" w:rsidRPr="00E33AE2" w:rsidRDefault="001A662D" w:rsidP="001A662D">
            <w:pPr>
              <w:pStyle w:val="Tablecontent"/>
              <w:jc w:val="center"/>
            </w:pPr>
            <w:r w:rsidRPr="005F1E77">
              <w:t>2.84</w:t>
            </w:r>
          </w:p>
        </w:tc>
        <w:tc>
          <w:tcPr>
            <w:tcW w:w="1134" w:type="dxa"/>
          </w:tcPr>
          <w:p w14:paraId="6F353563" w14:textId="34E402CD" w:rsidR="001A662D" w:rsidRPr="0040503B" w:rsidRDefault="001A662D" w:rsidP="001A662D">
            <w:pPr>
              <w:pStyle w:val="Tablecontent"/>
              <w:jc w:val="center"/>
            </w:pPr>
            <w:r w:rsidRPr="00C871BA">
              <w:t xml:space="preserve"> 111 </w:t>
            </w:r>
          </w:p>
        </w:tc>
      </w:tr>
      <w:tr w:rsidR="001A662D" w14:paraId="18303E55" w14:textId="77777777" w:rsidTr="001A662D">
        <w:trPr>
          <w:jc w:val="center"/>
        </w:trPr>
        <w:tc>
          <w:tcPr>
            <w:tcW w:w="3261" w:type="dxa"/>
          </w:tcPr>
          <w:p w14:paraId="14DD7D91" w14:textId="25D76E76" w:rsidR="001A662D" w:rsidRPr="00B54820" w:rsidRDefault="001A662D" w:rsidP="001A662D">
            <w:pPr>
              <w:pStyle w:val="Tablecontent"/>
              <w:rPr>
                <w:i/>
              </w:rPr>
            </w:pPr>
            <w:r w:rsidRPr="00B54820">
              <w:rPr>
                <w:i/>
              </w:rPr>
              <w:t>Pseudopodoces humilis</w:t>
            </w:r>
          </w:p>
        </w:tc>
        <w:tc>
          <w:tcPr>
            <w:tcW w:w="850" w:type="dxa"/>
            <w:tcBorders>
              <w:right w:val="single" w:sz="4" w:space="0" w:color="auto"/>
            </w:tcBorders>
          </w:tcPr>
          <w:p w14:paraId="1026F2BA" w14:textId="54B562D5" w:rsidR="001A662D" w:rsidRPr="00E33AE2" w:rsidRDefault="001A662D" w:rsidP="001A662D">
            <w:pPr>
              <w:pStyle w:val="Tablecontent"/>
              <w:jc w:val="center"/>
            </w:pPr>
            <w:r w:rsidRPr="00CE29E7">
              <w:t>phum</w:t>
            </w:r>
          </w:p>
        </w:tc>
        <w:tc>
          <w:tcPr>
            <w:tcW w:w="1134" w:type="dxa"/>
            <w:tcBorders>
              <w:left w:val="single" w:sz="4" w:space="0" w:color="auto"/>
            </w:tcBorders>
          </w:tcPr>
          <w:p w14:paraId="413A9540" w14:textId="4D9D6789" w:rsidR="001A662D" w:rsidRPr="00E33AE2" w:rsidRDefault="001A662D" w:rsidP="001A662D">
            <w:pPr>
              <w:pStyle w:val="Tablecontent"/>
              <w:jc w:val="center"/>
            </w:pPr>
            <w:r w:rsidRPr="00CE29E7">
              <w:t>1.66</w:t>
            </w:r>
          </w:p>
        </w:tc>
        <w:tc>
          <w:tcPr>
            <w:tcW w:w="1276" w:type="dxa"/>
          </w:tcPr>
          <w:p w14:paraId="7F7C7D41" w14:textId="5A6B4069" w:rsidR="001A662D" w:rsidRPr="00E33AE2" w:rsidRDefault="001A662D" w:rsidP="001A662D">
            <w:pPr>
              <w:pStyle w:val="Tablecontent"/>
              <w:jc w:val="center"/>
            </w:pPr>
            <w:r w:rsidRPr="005F1E77">
              <w:t>2.63</w:t>
            </w:r>
          </w:p>
        </w:tc>
        <w:tc>
          <w:tcPr>
            <w:tcW w:w="1134" w:type="dxa"/>
          </w:tcPr>
          <w:p w14:paraId="65DE31FA" w14:textId="4860F58A" w:rsidR="001A662D" w:rsidRPr="0040503B" w:rsidRDefault="001A662D" w:rsidP="001A662D">
            <w:pPr>
              <w:pStyle w:val="Tablecontent"/>
              <w:jc w:val="center"/>
            </w:pPr>
            <w:r w:rsidRPr="00C871BA">
              <w:t xml:space="preserve"> 921 </w:t>
            </w:r>
          </w:p>
        </w:tc>
      </w:tr>
      <w:tr w:rsidR="001A662D" w14:paraId="1B5C00DA" w14:textId="77777777" w:rsidTr="001A662D">
        <w:trPr>
          <w:jc w:val="center"/>
        </w:trPr>
        <w:tc>
          <w:tcPr>
            <w:tcW w:w="3261" w:type="dxa"/>
          </w:tcPr>
          <w:p w14:paraId="477E3362" w14:textId="690091B4" w:rsidR="001A662D" w:rsidRPr="00B54820" w:rsidRDefault="001A662D" w:rsidP="001A662D">
            <w:pPr>
              <w:pStyle w:val="Tablecontent"/>
              <w:rPr>
                <w:i/>
              </w:rPr>
            </w:pPr>
            <w:r w:rsidRPr="00B54820">
              <w:rPr>
                <w:i/>
              </w:rPr>
              <w:t>Pterocles gutturalis</w:t>
            </w:r>
          </w:p>
        </w:tc>
        <w:tc>
          <w:tcPr>
            <w:tcW w:w="850" w:type="dxa"/>
            <w:tcBorders>
              <w:right w:val="single" w:sz="4" w:space="0" w:color="auto"/>
            </w:tcBorders>
          </w:tcPr>
          <w:p w14:paraId="4F8609EC" w14:textId="55E29E33" w:rsidR="001A662D" w:rsidRPr="00E33AE2" w:rsidRDefault="001A662D" w:rsidP="001A662D">
            <w:pPr>
              <w:pStyle w:val="Tablecontent"/>
              <w:jc w:val="center"/>
            </w:pPr>
            <w:r w:rsidRPr="00CE29E7">
              <w:t>pgut</w:t>
            </w:r>
          </w:p>
        </w:tc>
        <w:tc>
          <w:tcPr>
            <w:tcW w:w="1134" w:type="dxa"/>
            <w:tcBorders>
              <w:left w:val="single" w:sz="4" w:space="0" w:color="auto"/>
            </w:tcBorders>
          </w:tcPr>
          <w:p w14:paraId="64377BF9" w14:textId="71DBF55F" w:rsidR="001A662D" w:rsidRPr="00E33AE2" w:rsidRDefault="001A662D" w:rsidP="001A662D">
            <w:pPr>
              <w:pStyle w:val="Tablecontent"/>
              <w:jc w:val="center"/>
            </w:pPr>
            <w:r w:rsidRPr="00CE29E7">
              <w:t>1.11</w:t>
            </w:r>
          </w:p>
        </w:tc>
        <w:tc>
          <w:tcPr>
            <w:tcW w:w="1276" w:type="dxa"/>
          </w:tcPr>
          <w:p w14:paraId="3F9BE61C" w14:textId="1E44E070" w:rsidR="001A662D" w:rsidRPr="00E33AE2" w:rsidRDefault="001A662D" w:rsidP="001A662D">
            <w:pPr>
              <w:pStyle w:val="Tablecontent"/>
              <w:jc w:val="center"/>
            </w:pPr>
            <w:r w:rsidRPr="005F1E77">
              <w:t>1.26</w:t>
            </w:r>
          </w:p>
        </w:tc>
        <w:tc>
          <w:tcPr>
            <w:tcW w:w="1134" w:type="dxa"/>
          </w:tcPr>
          <w:p w14:paraId="5AD7942A" w14:textId="278D860C" w:rsidR="001A662D" w:rsidRPr="0040503B" w:rsidRDefault="001A662D" w:rsidP="001A662D">
            <w:pPr>
              <w:pStyle w:val="Tablecontent"/>
              <w:jc w:val="center"/>
            </w:pPr>
            <w:r w:rsidRPr="00C871BA">
              <w:t xml:space="preserve"> 50 </w:t>
            </w:r>
          </w:p>
        </w:tc>
      </w:tr>
      <w:tr w:rsidR="001A662D" w14:paraId="0D4CFFA6" w14:textId="77777777" w:rsidTr="001A662D">
        <w:trPr>
          <w:jc w:val="center"/>
        </w:trPr>
        <w:tc>
          <w:tcPr>
            <w:tcW w:w="3261" w:type="dxa"/>
          </w:tcPr>
          <w:p w14:paraId="24CD433D" w14:textId="13A625F0" w:rsidR="001A662D" w:rsidRPr="00B54820" w:rsidRDefault="001A662D" w:rsidP="001A662D">
            <w:pPr>
              <w:pStyle w:val="Tablecontent"/>
              <w:rPr>
                <w:i/>
              </w:rPr>
            </w:pPr>
            <w:r w:rsidRPr="00B54820">
              <w:rPr>
                <w:i/>
              </w:rPr>
              <w:t>Pygoscelis adeliae</w:t>
            </w:r>
          </w:p>
        </w:tc>
        <w:tc>
          <w:tcPr>
            <w:tcW w:w="850" w:type="dxa"/>
            <w:tcBorders>
              <w:right w:val="single" w:sz="4" w:space="0" w:color="auto"/>
            </w:tcBorders>
          </w:tcPr>
          <w:p w14:paraId="719933BA" w14:textId="680A1F55" w:rsidR="001A662D" w:rsidRPr="00E33AE2" w:rsidRDefault="001A662D" w:rsidP="001A662D">
            <w:pPr>
              <w:pStyle w:val="Tablecontent"/>
              <w:jc w:val="center"/>
            </w:pPr>
            <w:r w:rsidRPr="00CE29E7">
              <w:t>pade</w:t>
            </w:r>
          </w:p>
        </w:tc>
        <w:tc>
          <w:tcPr>
            <w:tcW w:w="1134" w:type="dxa"/>
            <w:tcBorders>
              <w:left w:val="single" w:sz="4" w:space="0" w:color="auto"/>
            </w:tcBorders>
          </w:tcPr>
          <w:p w14:paraId="1D626C18" w14:textId="6760F417" w:rsidR="001A662D" w:rsidRPr="00E33AE2" w:rsidRDefault="001A662D" w:rsidP="001A662D">
            <w:pPr>
              <w:pStyle w:val="Tablecontent"/>
              <w:jc w:val="center"/>
            </w:pPr>
            <w:r w:rsidRPr="00CE29E7">
              <w:t>1.28</w:t>
            </w:r>
          </w:p>
        </w:tc>
        <w:tc>
          <w:tcPr>
            <w:tcW w:w="1276" w:type="dxa"/>
          </w:tcPr>
          <w:p w14:paraId="63D9A291" w14:textId="155F8982" w:rsidR="001A662D" w:rsidRPr="00E33AE2" w:rsidRDefault="001A662D" w:rsidP="001A662D">
            <w:pPr>
              <w:pStyle w:val="Tablecontent"/>
              <w:jc w:val="center"/>
            </w:pPr>
            <w:r w:rsidRPr="005F1E77">
              <w:t>1.54</w:t>
            </w:r>
          </w:p>
        </w:tc>
        <w:tc>
          <w:tcPr>
            <w:tcW w:w="1134" w:type="dxa"/>
          </w:tcPr>
          <w:p w14:paraId="2F3E8A51" w14:textId="2030D90A" w:rsidR="001A662D" w:rsidRPr="0040503B" w:rsidRDefault="001A662D" w:rsidP="001A662D">
            <w:pPr>
              <w:pStyle w:val="Tablecontent"/>
              <w:jc w:val="center"/>
            </w:pPr>
            <w:r w:rsidRPr="00C871BA">
              <w:t xml:space="preserve"> 196 </w:t>
            </w:r>
          </w:p>
        </w:tc>
      </w:tr>
      <w:tr w:rsidR="001A662D" w14:paraId="03E622E2" w14:textId="77777777" w:rsidTr="001A662D">
        <w:trPr>
          <w:jc w:val="center"/>
        </w:trPr>
        <w:tc>
          <w:tcPr>
            <w:tcW w:w="3261" w:type="dxa"/>
          </w:tcPr>
          <w:p w14:paraId="3D73A691" w14:textId="2AB5EFDC" w:rsidR="001A662D" w:rsidRPr="00B54820" w:rsidRDefault="001A662D" w:rsidP="001A662D">
            <w:pPr>
              <w:pStyle w:val="Tablecontent"/>
              <w:rPr>
                <w:i/>
              </w:rPr>
            </w:pPr>
            <w:r w:rsidRPr="00B54820">
              <w:rPr>
                <w:i/>
              </w:rPr>
              <w:t>Python bivittatus *</w:t>
            </w:r>
          </w:p>
        </w:tc>
        <w:tc>
          <w:tcPr>
            <w:tcW w:w="850" w:type="dxa"/>
            <w:tcBorders>
              <w:right w:val="single" w:sz="4" w:space="0" w:color="auto"/>
            </w:tcBorders>
          </w:tcPr>
          <w:p w14:paraId="18C9D3FB" w14:textId="20BF8392" w:rsidR="001A662D" w:rsidRPr="00E33AE2" w:rsidRDefault="001A662D" w:rsidP="001A662D">
            <w:pPr>
              <w:pStyle w:val="Tablecontent"/>
              <w:jc w:val="center"/>
            </w:pPr>
            <w:r w:rsidRPr="00CE29E7">
              <w:t>pbiv</w:t>
            </w:r>
          </w:p>
        </w:tc>
        <w:tc>
          <w:tcPr>
            <w:tcW w:w="1134" w:type="dxa"/>
            <w:tcBorders>
              <w:left w:val="single" w:sz="4" w:space="0" w:color="auto"/>
            </w:tcBorders>
          </w:tcPr>
          <w:p w14:paraId="11D60CB8" w14:textId="6E2737CD" w:rsidR="001A662D" w:rsidRPr="00E33AE2" w:rsidRDefault="001A662D" w:rsidP="001A662D">
            <w:pPr>
              <w:pStyle w:val="Tablecontent"/>
              <w:jc w:val="center"/>
            </w:pPr>
            <w:r w:rsidRPr="00CE29E7">
              <w:t>0.39</w:t>
            </w:r>
          </w:p>
        </w:tc>
        <w:tc>
          <w:tcPr>
            <w:tcW w:w="1276" w:type="dxa"/>
          </w:tcPr>
          <w:p w14:paraId="5BB29BB9" w14:textId="432A79B1" w:rsidR="001A662D" w:rsidRPr="00E33AE2" w:rsidRDefault="001A662D" w:rsidP="001A662D">
            <w:pPr>
              <w:pStyle w:val="Tablecontent"/>
              <w:jc w:val="center"/>
            </w:pPr>
            <w:r w:rsidRPr="005F1E77">
              <w:t>4.29</w:t>
            </w:r>
          </w:p>
        </w:tc>
        <w:tc>
          <w:tcPr>
            <w:tcW w:w="1134" w:type="dxa"/>
          </w:tcPr>
          <w:p w14:paraId="6E0D00D7" w14:textId="487D6A4B" w:rsidR="001A662D" w:rsidRPr="0040503B" w:rsidRDefault="001A662D" w:rsidP="001A662D">
            <w:pPr>
              <w:pStyle w:val="Tablecontent"/>
              <w:jc w:val="center"/>
            </w:pPr>
            <w:r w:rsidRPr="00C871BA">
              <w:t xml:space="preserve"> 652 </w:t>
            </w:r>
          </w:p>
        </w:tc>
      </w:tr>
      <w:tr w:rsidR="001A662D" w14:paraId="1A687C11" w14:textId="77777777" w:rsidTr="001A662D">
        <w:trPr>
          <w:jc w:val="center"/>
        </w:trPr>
        <w:tc>
          <w:tcPr>
            <w:tcW w:w="3261" w:type="dxa"/>
          </w:tcPr>
          <w:p w14:paraId="6C6A5F48" w14:textId="6E4E01BB" w:rsidR="001A662D" w:rsidRPr="00B54820" w:rsidRDefault="001A662D" w:rsidP="001A662D">
            <w:pPr>
              <w:pStyle w:val="Tablecontent"/>
              <w:rPr>
                <w:i/>
              </w:rPr>
            </w:pPr>
            <w:r w:rsidRPr="00B54820">
              <w:rPr>
                <w:i/>
              </w:rPr>
              <w:t>Serinus canaria</w:t>
            </w:r>
          </w:p>
        </w:tc>
        <w:tc>
          <w:tcPr>
            <w:tcW w:w="850" w:type="dxa"/>
            <w:tcBorders>
              <w:right w:val="single" w:sz="4" w:space="0" w:color="auto"/>
            </w:tcBorders>
          </w:tcPr>
          <w:p w14:paraId="47D64677" w14:textId="41A55640" w:rsidR="001A662D" w:rsidRPr="00E33AE2" w:rsidRDefault="001A662D" w:rsidP="001A662D">
            <w:pPr>
              <w:pStyle w:val="Tablecontent"/>
              <w:jc w:val="center"/>
            </w:pPr>
            <w:r w:rsidRPr="00CE29E7">
              <w:t>scan</w:t>
            </w:r>
          </w:p>
        </w:tc>
        <w:tc>
          <w:tcPr>
            <w:tcW w:w="1134" w:type="dxa"/>
            <w:tcBorders>
              <w:left w:val="single" w:sz="4" w:space="0" w:color="auto"/>
            </w:tcBorders>
          </w:tcPr>
          <w:p w14:paraId="025A2012" w14:textId="7EEA9DB4" w:rsidR="001A662D" w:rsidRPr="00E33AE2" w:rsidRDefault="001A662D" w:rsidP="001A662D">
            <w:pPr>
              <w:pStyle w:val="Tablecontent"/>
              <w:jc w:val="center"/>
            </w:pPr>
            <w:r w:rsidRPr="00CE29E7">
              <w:t>3.48</w:t>
            </w:r>
          </w:p>
        </w:tc>
        <w:tc>
          <w:tcPr>
            <w:tcW w:w="1276" w:type="dxa"/>
          </w:tcPr>
          <w:p w14:paraId="568D0809" w14:textId="312E2227" w:rsidR="001A662D" w:rsidRPr="00E33AE2" w:rsidRDefault="001A662D" w:rsidP="001A662D">
            <w:pPr>
              <w:pStyle w:val="Tablecontent"/>
              <w:jc w:val="center"/>
            </w:pPr>
            <w:r w:rsidRPr="005F1E77">
              <w:t>4.31</w:t>
            </w:r>
          </w:p>
        </w:tc>
        <w:tc>
          <w:tcPr>
            <w:tcW w:w="1134" w:type="dxa"/>
          </w:tcPr>
          <w:p w14:paraId="7B7A35A2" w14:textId="1C3A0695" w:rsidR="001A662D" w:rsidRPr="0040503B" w:rsidRDefault="001A662D" w:rsidP="001A662D">
            <w:pPr>
              <w:pStyle w:val="Tablecontent"/>
              <w:jc w:val="center"/>
            </w:pPr>
            <w:r w:rsidRPr="00C871BA">
              <w:t xml:space="preserve"> 934 </w:t>
            </w:r>
          </w:p>
        </w:tc>
      </w:tr>
      <w:tr w:rsidR="001A662D" w14:paraId="350701FA" w14:textId="77777777" w:rsidTr="001A662D">
        <w:trPr>
          <w:jc w:val="center"/>
        </w:trPr>
        <w:tc>
          <w:tcPr>
            <w:tcW w:w="3261" w:type="dxa"/>
          </w:tcPr>
          <w:p w14:paraId="593F93B5" w14:textId="64B50A72" w:rsidR="001A662D" w:rsidRPr="00B54820" w:rsidRDefault="001A662D" w:rsidP="001A662D">
            <w:pPr>
              <w:pStyle w:val="Tablecontent"/>
              <w:rPr>
                <w:i/>
              </w:rPr>
            </w:pPr>
            <w:r w:rsidRPr="00B54820">
              <w:rPr>
                <w:i/>
              </w:rPr>
              <w:t>Struthio camelus australis</w:t>
            </w:r>
          </w:p>
        </w:tc>
        <w:tc>
          <w:tcPr>
            <w:tcW w:w="850" w:type="dxa"/>
            <w:tcBorders>
              <w:right w:val="single" w:sz="4" w:space="0" w:color="auto"/>
            </w:tcBorders>
          </w:tcPr>
          <w:p w14:paraId="771264B6" w14:textId="105EAFC1" w:rsidR="001A662D" w:rsidRPr="00E33AE2" w:rsidRDefault="001A662D" w:rsidP="001A662D">
            <w:pPr>
              <w:pStyle w:val="Tablecontent"/>
              <w:jc w:val="center"/>
            </w:pPr>
            <w:r w:rsidRPr="00CE29E7">
              <w:t>scam</w:t>
            </w:r>
          </w:p>
        </w:tc>
        <w:tc>
          <w:tcPr>
            <w:tcW w:w="1134" w:type="dxa"/>
            <w:tcBorders>
              <w:left w:val="single" w:sz="4" w:space="0" w:color="auto"/>
            </w:tcBorders>
          </w:tcPr>
          <w:p w14:paraId="17AE91C8" w14:textId="1B8927A7" w:rsidR="001A662D" w:rsidRPr="00E33AE2" w:rsidRDefault="001A662D" w:rsidP="001A662D">
            <w:pPr>
              <w:pStyle w:val="Tablecontent"/>
              <w:jc w:val="center"/>
            </w:pPr>
            <w:r w:rsidRPr="00CE29E7">
              <w:t>0.17</w:t>
            </w:r>
          </w:p>
        </w:tc>
        <w:tc>
          <w:tcPr>
            <w:tcW w:w="1276" w:type="dxa"/>
          </w:tcPr>
          <w:p w14:paraId="1F1B5C48" w14:textId="41DE572A" w:rsidR="001A662D" w:rsidRPr="00E33AE2" w:rsidRDefault="001A662D" w:rsidP="001A662D">
            <w:pPr>
              <w:pStyle w:val="Tablecontent"/>
              <w:jc w:val="center"/>
            </w:pPr>
            <w:r w:rsidRPr="005F1E77">
              <w:t>1.09</w:t>
            </w:r>
          </w:p>
        </w:tc>
        <w:tc>
          <w:tcPr>
            <w:tcW w:w="1134" w:type="dxa"/>
          </w:tcPr>
          <w:p w14:paraId="77AFF997" w14:textId="26F229CE" w:rsidR="001A662D" w:rsidRPr="0040503B" w:rsidRDefault="001A662D" w:rsidP="001A662D">
            <w:pPr>
              <w:pStyle w:val="Tablecontent"/>
              <w:jc w:val="center"/>
            </w:pPr>
            <w:r w:rsidRPr="00C871BA">
              <w:t xml:space="preserve"> 134 </w:t>
            </w:r>
          </w:p>
        </w:tc>
      </w:tr>
      <w:tr w:rsidR="001A662D" w14:paraId="33105DB7" w14:textId="77777777" w:rsidTr="001A662D">
        <w:trPr>
          <w:jc w:val="center"/>
        </w:trPr>
        <w:tc>
          <w:tcPr>
            <w:tcW w:w="3261" w:type="dxa"/>
          </w:tcPr>
          <w:p w14:paraId="7A0FAB58" w14:textId="0C675C66" w:rsidR="001A662D" w:rsidRPr="00B54820" w:rsidRDefault="001A662D" w:rsidP="001A662D">
            <w:pPr>
              <w:pStyle w:val="Tablecontent"/>
              <w:rPr>
                <w:i/>
              </w:rPr>
            </w:pPr>
            <w:r w:rsidRPr="00B54820">
              <w:rPr>
                <w:i/>
              </w:rPr>
              <w:t>Sturnus vulgaris</w:t>
            </w:r>
          </w:p>
        </w:tc>
        <w:tc>
          <w:tcPr>
            <w:tcW w:w="850" w:type="dxa"/>
            <w:tcBorders>
              <w:right w:val="single" w:sz="4" w:space="0" w:color="auto"/>
            </w:tcBorders>
          </w:tcPr>
          <w:p w14:paraId="462D41E9" w14:textId="74507304" w:rsidR="001A662D" w:rsidRPr="00E33AE2" w:rsidRDefault="001A662D" w:rsidP="001A662D">
            <w:pPr>
              <w:pStyle w:val="Tablecontent"/>
              <w:jc w:val="center"/>
            </w:pPr>
            <w:r w:rsidRPr="00CE29E7">
              <w:t>svul</w:t>
            </w:r>
          </w:p>
        </w:tc>
        <w:tc>
          <w:tcPr>
            <w:tcW w:w="1134" w:type="dxa"/>
            <w:tcBorders>
              <w:left w:val="single" w:sz="4" w:space="0" w:color="auto"/>
            </w:tcBorders>
          </w:tcPr>
          <w:p w14:paraId="514653B2" w14:textId="4D5968F9" w:rsidR="001A662D" w:rsidRPr="00E33AE2" w:rsidRDefault="001A662D" w:rsidP="001A662D">
            <w:pPr>
              <w:pStyle w:val="Tablecontent"/>
              <w:jc w:val="center"/>
            </w:pPr>
            <w:r w:rsidRPr="00CE29E7">
              <w:t>1.48</w:t>
            </w:r>
          </w:p>
        </w:tc>
        <w:tc>
          <w:tcPr>
            <w:tcW w:w="1276" w:type="dxa"/>
          </w:tcPr>
          <w:p w14:paraId="1205BB85" w14:textId="110DDCB6" w:rsidR="001A662D" w:rsidRPr="00E33AE2" w:rsidRDefault="001A662D" w:rsidP="001A662D">
            <w:pPr>
              <w:pStyle w:val="Tablecontent"/>
              <w:jc w:val="center"/>
            </w:pPr>
            <w:r w:rsidRPr="005F1E77">
              <w:t>2.04</w:t>
            </w:r>
          </w:p>
        </w:tc>
        <w:tc>
          <w:tcPr>
            <w:tcW w:w="1134" w:type="dxa"/>
          </w:tcPr>
          <w:p w14:paraId="00F7875B" w14:textId="69725685" w:rsidR="001A662D" w:rsidRPr="0040503B" w:rsidRDefault="001A662D" w:rsidP="001A662D">
            <w:pPr>
              <w:pStyle w:val="Tablecontent"/>
              <w:jc w:val="center"/>
            </w:pPr>
            <w:r w:rsidRPr="00C871BA">
              <w:t xml:space="preserve"> 431 </w:t>
            </w:r>
          </w:p>
        </w:tc>
      </w:tr>
      <w:tr w:rsidR="001A662D" w14:paraId="2E331086" w14:textId="77777777" w:rsidTr="001A662D">
        <w:trPr>
          <w:jc w:val="center"/>
        </w:trPr>
        <w:tc>
          <w:tcPr>
            <w:tcW w:w="3261" w:type="dxa"/>
          </w:tcPr>
          <w:p w14:paraId="0027C6D0" w14:textId="43432263" w:rsidR="001A662D" w:rsidRPr="00B54820" w:rsidRDefault="001A662D" w:rsidP="001A662D">
            <w:pPr>
              <w:pStyle w:val="Tablecontent"/>
              <w:rPr>
                <w:i/>
              </w:rPr>
            </w:pPr>
            <w:r w:rsidRPr="00B54820">
              <w:rPr>
                <w:i/>
              </w:rPr>
              <w:t>Taeniopygia guttata</w:t>
            </w:r>
          </w:p>
        </w:tc>
        <w:tc>
          <w:tcPr>
            <w:tcW w:w="850" w:type="dxa"/>
            <w:tcBorders>
              <w:right w:val="single" w:sz="4" w:space="0" w:color="auto"/>
            </w:tcBorders>
          </w:tcPr>
          <w:p w14:paraId="1102B85C" w14:textId="018AF953" w:rsidR="001A662D" w:rsidRPr="00E33AE2" w:rsidRDefault="001A662D" w:rsidP="001A662D">
            <w:pPr>
              <w:pStyle w:val="Tablecontent"/>
              <w:jc w:val="center"/>
            </w:pPr>
            <w:r w:rsidRPr="00CE29E7">
              <w:t>tgua</w:t>
            </w:r>
          </w:p>
        </w:tc>
        <w:tc>
          <w:tcPr>
            <w:tcW w:w="1134" w:type="dxa"/>
            <w:tcBorders>
              <w:left w:val="single" w:sz="4" w:space="0" w:color="auto"/>
            </w:tcBorders>
          </w:tcPr>
          <w:p w14:paraId="30676E00" w14:textId="4B8B91F6" w:rsidR="001A662D" w:rsidRPr="00E33AE2" w:rsidRDefault="001A662D" w:rsidP="001A662D">
            <w:pPr>
              <w:pStyle w:val="Tablecontent"/>
              <w:jc w:val="center"/>
            </w:pPr>
            <w:r w:rsidRPr="00CE29E7">
              <w:t>3.54</w:t>
            </w:r>
          </w:p>
        </w:tc>
        <w:tc>
          <w:tcPr>
            <w:tcW w:w="1276" w:type="dxa"/>
          </w:tcPr>
          <w:p w14:paraId="0AF3D046" w14:textId="2CDE1385" w:rsidR="001A662D" w:rsidRPr="00E33AE2" w:rsidRDefault="001A662D" w:rsidP="001A662D">
            <w:pPr>
              <w:pStyle w:val="Tablecontent"/>
              <w:jc w:val="center"/>
            </w:pPr>
            <w:r w:rsidRPr="005F1E77">
              <w:t>4.50</w:t>
            </w:r>
          </w:p>
        </w:tc>
        <w:tc>
          <w:tcPr>
            <w:tcW w:w="1134" w:type="dxa"/>
          </w:tcPr>
          <w:p w14:paraId="4689C40D" w14:textId="34842076" w:rsidR="001A662D" w:rsidRPr="0040503B" w:rsidRDefault="001A662D" w:rsidP="001A662D">
            <w:pPr>
              <w:pStyle w:val="Tablecontent"/>
              <w:jc w:val="center"/>
            </w:pPr>
            <w:r w:rsidRPr="00C871BA">
              <w:t xml:space="preserve"> 1,109 </w:t>
            </w:r>
          </w:p>
        </w:tc>
      </w:tr>
      <w:tr w:rsidR="001A662D" w14:paraId="517EAAFA" w14:textId="77777777" w:rsidTr="001A662D">
        <w:trPr>
          <w:jc w:val="center"/>
        </w:trPr>
        <w:tc>
          <w:tcPr>
            <w:tcW w:w="3261" w:type="dxa"/>
          </w:tcPr>
          <w:p w14:paraId="12D9357B" w14:textId="64C27B7A" w:rsidR="001A662D" w:rsidRPr="00B54820" w:rsidRDefault="001A662D" w:rsidP="001A662D">
            <w:pPr>
              <w:pStyle w:val="Tablecontent"/>
              <w:rPr>
                <w:i/>
              </w:rPr>
            </w:pPr>
            <w:r w:rsidRPr="00B54820">
              <w:rPr>
                <w:i/>
              </w:rPr>
              <w:t>Tauraco erythrolophus</w:t>
            </w:r>
          </w:p>
        </w:tc>
        <w:tc>
          <w:tcPr>
            <w:tcW w:w="850" w:type="dxa"/>
            <w:tcBorders>
              <w:right w:val="single" w:sz="4" w:space="0" w:color="auto"/>
            </w:tcBorders>
          </w:tcPr>
          <w:p w14:paraId="31E579DD" w14:textId="1407E8EA" w:rsidR="001A662D" w:rsidRPr="00E33AE2" w:rsidRDefault="001A662D" w:rsidP="001A662D">
            <w:pPr>
              <w:pStyle w:val="Tablecontent"/>
              <w:jc w:val="center"/>
            </w:pPr>
            <w:r w:rsidRPr="00CE29E7">
              <w:t>tery</w:t>
            </w:r>
          </w:p>
        </w:tc>
        <w:tc>
          <w:tcPr>
            <w:tcW w:w="1134" w:type="dxa"/>
            <w:tcBorders>
              <w:left w:val="single" w:sz="4" w:space="0" w:color="auto"/>
            </w:tcBorders>
          </w:tcPr>
          <w:p w14:paraId="4B80E661" w14:textId="0E7F1A93" w:rsidR="001A662D" w:rsidRPr="00E33AE2" w:rsidRDefault="001A662D" w:rsidP="001A662D">
            <w:pPr>
              <w:pStyle w:val="Tablecontent"/>
              <w:jc w:val="center"/>
            </w:pPr>
            <w:r w:rsidRPr="00CE29E7">
              <w:t>1.50</w:t>
            </w:r>
          </w:p>
        </w:tc>
        <w:tc>
          <w:tcPr>
            <w:tcW w:w="1276" w:type="dxa"/>
          </w:tcPr>
          <w:p w14:paraId="2B1301F0" w14:textId="2BA2AAA6" w:rsidR="001A662D" w:rsidRPr="00E33AE2" w:rsidRDefault="001A662D" w:rsidP="001A662D">
            <w:pPr>
              <w:pStyle w:val="Tablecontent"/>
              <w:jc w:val="center"/>
            </w:pPr>
            <w:r w:rsidRPr="005F1E77">
              <w:t>4.65</w:t>
            </w:r>
          </w:p>
        </w:tc>
        <w:tc>
          <w:tcPr>
            <w:tcW w:w="1134" w:type="dxa"/>
          </w:tcPr>
          <w:p w14:paraId="133E20D8" w14:textId="20AAA905" w:rsidR="001A662D" w:rsidRPr="0040503B" w:rsidRDefault="001A662D" w:rsidP="001A662D">
            <w:pPr>
              <w:pStyle w:val="Tablecontent"/>
              <w:jc w:val="center"/>
            </w:pPr>
            <w:r w:rsidRPr="00C871BA">
              <w:t xml:space="preserve"> 133 </w:t>
            </w:r>
          </w:p>
        </w:tc>
      </w:tr>
      <w:tr w:rsidR="001A662D" w14:paraId="6C95FC45" w14:textId="77777777" w:rsidTr="001A662D">
        <w:trPr>
          <w:jc w:val="center"/>
        </w:trPr>
        <w:tc>
          <w:tcPr>
            <w:tcW w:w="3261" w:type="dxa"/>
          </w:tcPr>
          <w:p w14:paraId="198845CB" w14:textId="3C06A9AE" w:rsidR="001A662D" w:rsidRPr="00B54820" w:rsidRDefault="001A662D" w:rsidP="001A662D">
            <w:pPr>
              <w:pStyle w:val="Tablecontent"/>
              <w:rPr>
                <w:i/>
              </w:rPr>
            </w:pPr>
            <w:r w:rsidRPr="00B54820">
              <w:rPr>
                <w:i/>
              </w:rPr>
              <w:t>Thamnophis sirtalis *</w:t>
            </w:r>
          </w:p>
        </w:tc>
        <w:tc>
          <w:tcPr>
            <w:tcW w:w="850" w:type="dxa"/>
            <w:tcBorders>
              <w:right w:val="single" w:sz="4" w:space="0" w:color="auto"/>
            </w:tcBorders>
          </w:tcPr>
          <w:p w14:paraId="1BEA2E34" w14:textId="66A84024" w:rsidR="001A662D" w:rsidRPr="00E33AE2" w:rsidRDefault="001A662D" w:rsidP="001A662D">
            <w:pPr>
              <w:pStyle w:val="Tablecontent"/>
              <w:jc w:val="center"/>
            </w:pPr>
            <w:r w:rsidRPr="00CE29E7">
              <w:t>tsir</w:t>
            </w:r>
          </w:p>
        </w:tc>
        <w:tc>
          <w:tcPr>
            <w:tcW w:w="1134" w:type="dxa"/>
            <w:tcBorders>
              <w:left w:val="single" w:sz="4" w:space="0" w:color="auto"/>
            </w:tcBorders>
          </w:tcPr>
          <w:p w14:paraId="01FB2FE0" w14:textId="5FB18D4D" w:rsidR="001A662D" w:rsidRPr="00E33AE2" w:rsidRDefault="001A662D" w:rsidP="001A662D">
            <w:pPr>
              <w:pStyle w:val="Tablecontent"/>
              <w:jc w:val="center"/>
            </w:pPr>
            <w:r w:rsidRPr="00CE29E7">
              <w:t>0.83</w:t>
            </w:r>
          </w:p>
        </w:tc>
        <w:tc>
          <w:tcPr>
            <w:tcW w:w="1276" w:type="dxa"/>
          </w:tcPr>
          <w:p w14:paraId="1C685395" w14:textId="402F598A" w:rsidR="001A662D" w:rsidRPr="00E33AE2" w:rsidRDefault="001A662D" w:rsidP="001A662D">
            <w:pPr>
              <w:pStyle w:val="Tablecontent"/>
              <w:jc w:val="center"/>
            </w:pPr>
            <w:r w:rsidRPr="005F1E77">
              <w:t>6.14</w:t>
            </w:r>
          </w:p>
        </w:tc>
        <w:tc>
          <w:tcPr>
            <w:tcW w:w="1134" w:type="dxa"/>
          </w:tcPr>
          <w:p w14:paraId="695B3F3D" w14:textId="2CCD2485" w:rsidR="001A662D" w:rsidRPr="0040503B" w:rsidRDefault="001A662D" w:rsidP="001A662D">
            <w:pPr>
              <w:pStyle w:val="Tablecontent"/>
              <w:jc w:val="center"/>
            </w:pPr>
            <w:r w:rsidRPr="00C871BA">
              <w:t xml:space="preserve"> 2,614 </w:t>
            </w:r>
          </w:p>
        </w:tc>
      </w:tr>
      <w:tr w:rsidR="001A662D" w14:paraId="7AD599C7" w14:textId="77777777" w:rsidTr="001A662D">
        <w:trPr>
          <w:jc w:val="center"/>
        </w:trPr>
        <w:tc>
          <w:tcPr>
            <w:tcW w:w="3261" w:type="dxa"/>
          </w:tcPr>
          <w:p w14:paraId="2D9222F9" w14:textId="00091D66" w:rsidR="001A662D" w:rsidRPr="00B54820" w:rsidRDefault="001A662D" w:rsidP="001A662D">
            <w:pPr>
              <w:pStyle w:val="Tablecontent"/>
              <w:rPr>
                <w:i/>
              </w:rPr>
            </w:pPr>
            <w:r w:rsidRPr="00B54820">
              <w:rPr>
                <w:i/>
              </w:rPr>
              <w:t>Tinamus guttatus</w:t>
            </w:r>
          </w:p>
        </w:tc>
        <w:tc>
          <w:tcPr>
            <w:tcW w:w="850" w:type="dxa"/>
            <w:tcBorders>
              <w:right w:val="single" w:sz="4" w:space="0" w:color="auto"/>
            </w:tcBorders>
          </w:tcPr>
          <w:p w14:paraId="5A54728A" w14:textId="78B9751E" w:rsidR="001A662D" w:rsidRPr="00E33AE2" w:rsidRDefault="001A662D" w:rsidP="001A662D">
            <w:pPr>
              <w:pStyle w:val="Tablecontent"/>
              <w:jc w:val="center"/>
            </w:pPr>
            <w:r w:rsidRPr="00CE29E7">
              <w:t>tgus</w:t>
            </w:r>
          </w:p>
        </w:tc>
        <w:tc>
          <w:tcPr>
            <w:tcW w:w="1134" w:type="dxa"/>
            <w:tcBorders>
              <w:left w:val="single" w:sz="4" w:space="0" w:color="auto"/>
            </w:tcBorders>
          </w:tcPr>
          <w:p w14:paraId="74BAF36E" w14:textId="7DCF0066" w:rsidR="001A662D" w:rsidRPr="00E33AE2" w:rsidRDefault="001A662D" w:rsidP="001A662D">
            <w:pPr>
              <w:pStyle w:val="Tablecontent"/>
              <w:jc w:val="center"/>
            </w:pPr>
            <w:r w:rsidRPr="00CE29E7">
              <w:t>0.21</w:t>
            </w:r>
          </w:p>
        </w:tc>
        <w:tc>
          <w:tcPr>
            <w:tcW w:w="1276" w:type="dxa"/>
          </w:tcPr>
          <w:p w14:paraId="4319BCA5" w14:textId="2F2CC693" w:rsidR="001A662D" w:rsidRPr="00E33AE2" w:rsidRDefault="001A662D" w:rsidP="001A662D">
            <w:pPr>
              <w:pStyle w:val="Tablecontent"/>
              <w:jc w:val="center"/>
            </w:pPr>
            <w:r w:rsidRPr="005F1E77">
              <w:t>1.46</w:t>
            </w:r>
          </w:p>
        </w:tc>
        <w:tc>
          <w:tcPr>
            <w:tcW w:w="1134" w:type="dxa"/>
          </w:tcPr>
          <w:p w14:paraId="7E8CCE5C" w14:textId="4CF26300" w:rsidR="001A662D" w:rsidRPr="0040503B" w:rsidRDefault="001A662D" w:rsidP="001A662D">
            <w:pPr>
              <w:pStyle w:val="Tablecontent"/>
              <w:jc w:val="center"/>
            </w:pPr>
            <w:r w:rsidRPr="00C871BA">
              <w:t xml:space="preserve"> 243 </w:t>
            </w:r>
          </w:p>
        </w:tc>
      </w:tr>
      <w:tr w:rsidR="001A662D" w14:paraId="350DD01C" w14:textId="77777777" w:rsidTr="001A662D">
        <w:trPr>
          <w:jc w:val="center"/>
        </w:trPr>
        <w:tc>
          <w:tcPr>
            <w:tcW w:w="3261" w:type="dxa"/>
          </w:tcPr>
          <w:p w14:paraId="6F7958F5" w14:textId="40FC8342" w:rsidR="001A662D" w:rsidRPr="00B54820" w:rsidRDefault="001A662D" w:rsidP="001A662D">
            <w:pPr>
              <w:pStyle w:val="Tablecontent"/>
              <w:rPr>
                <w:i/>
              </w:rPr>
            </w:pPr>
            <w:r w:rsidRPr="00B54820">
              <w:rPr>
                <w:i/>
              </w:rPr>
              <w:t>Tyto alba</w:t>
            </w:r>
          </w:p>
        </w:tc>
        <w:tc>
          <w:tcPr>
            <w:tcW w:w="850" w:type="dxa"/>
            <w:tcBorders>
              <w:right w:val="single" w:sz="4" w:space="0" w:color="auto"/>
            </w:tcBorders>
          </w:tcPr>
          <w:p w14:paraId="1D569DFA" w14:textId="32445EC8" w:rsidR="001A662D" w:rsidRPr="0040503B" w:rsidRDefault="001A662D" w:rsidP="001A662D">
            <w:pPr>
              <w:pStyle w:val="Tablecontent"/>
              <w:jc w:val="center"/>
            </w:pPr>
            <w:r w:rsidRPr="00CE29E7">
              <w:t>talb</w:t>
            </w:r>
          </w:p>
        </w:tc>
        <w:tc>
          <w:tcPr>
            <w:tcW w:w="1134" w:type="dxa"/>
            <w:tcBorders>
              <w:left w:val="single" w:sz="4" w:space="0" w:color="auto"/>
            </w:tcBorders>
          </w:tcPr>
          <w:p w14:paraId="1EF733BF" w14:textId="03F4F667" w:rsidR="001A662D" w:rsidRPr="0040503B" w:rsidRDefault="001A662D" w:rsidP="001A662D">
            <w:pPr>
              <w:pStyle w:val="Tablecontent"/>
              <w:jc w:val="center"/>
            </w:pPr>
            <w:r w:rsidRPr="00CE29E7">
              <w:t>1.51</w:t>
            </w:r>
          </w:p>
        </w:tc>
        <w:tc>
          <w:tcPr>
            <w:tcW w:w="1276" w:type="dxa"/>
          </w:tcPr>
          <w:p w14:paraId="0C88FB82" w14:textId="726CBE02" w:rsidR="001A662D" w:rsidRPr="0040503B" w:rsidRDefault="001A662D" w:rsidP="001A662D">
            <w:pPr>
              <w:pStyle w:val="Tablecontent"/>
              <w:jc w:val="center"/>
            </w:pPr>
            <w:r w:rsidRPr="005F1E77">
              <w:t>1.56</w:t>
            </w:r>
          </w:p>
        </w:tc>
        <w:tc>
          <w:tcPr>
            <w:tcW w:w="1134" w:type="dxa"/>
          </w:tcPr>
          <w:p w14:paraId="7C827D4C" w14:textId="12B0CB8E" w:rsidR="001A662D" w:rsidRPr="00067E9D" w:rsidRDefault="001A662D" w:rsidP="001A662D">
            <w:pPr>
              <w:pStyle w:val="Tablecontent"/>
              <w:jc w:val="center"/>
            </w:pPr>
            <w:r w:rsidRPr="00C871BA">
              <w:t xml:space="preserve"> 115 </w:t>
            </w:r>
          </w:p>
        </w:tc>
      </w:tr>
      <w:tr w:rsidR="001A662D" w14:paraId="0E30B201" w14:textId="77777777" w:rsidTr="001A662D">
        <w:trPr>
          <w:jc w:val="center"/>
        </w:trPr>
        <w:tc>
          <w:tcPr>
            <w:tcW w:w="3261" w:type="dxa"/>
          </w:tcPr>
          <w:p w14:paraId="7A27C43A" w14:textId="1EAED6A7" w:rsidR="001A662D" w:rsidRPr="00B54820" w:rsidRDefault="001A662D" w:rsidP="001A662D">
            <w:pPr>
              <w:pStyle w:val="Tablecontent"/>
              <w:rPr>
                <w:i/>
              </w:rPr>
            </w:pPr>
            <w:r w:rsidRPr="00B54820">
              <w:rPr>
                <w:i/>
              </w:rPr>
              <w:t>Zonotrichia albicollis</w:t>
            </w:r>
          </w:p>
        </w:tc>
        <w:tc>
          <w:tcPr>
            <w:tcW w:w="850" w:type="dxa"/>
            <w:tcBorders>
              <w:right w:val="single" w:sz="4" w:space="0" w:color="auto"/>
            </w:tcBorders>
          </w:tcPr>
          <w:p w14:paraId="629FE5DF" w14:textId="346D8867" w:rsidR="001A662D" w:rsidRPr="0040503B" w:rsidRDefault="001A662D" w:rsidP="001A662D">
            <w:pPr>
              <w:pStyle w:val="Tablecontent"/>
              <w:jc w:val="center"/>
            </w:pPr>
            <w:r w:rsidRPr="00CE29E7">
              <w:t>zalb</w:t>
            </w:r>
          </w:p>
        </w:tc>
        <w:tc>
          <w:tcPr>
            <w:tcW w:w="1134" w:type="dxa"/>
            <w:tcBorders>
              <w:left w:val="single" w:sz="4" w:space="0" w:color="auto"/>
            </w:tcBorders>
          </w:tcPr>
          <w:p w14:paraId="2B427F25" w14:textId="6916B90C" w:rsidR="001A662D" w:rsidRPr="0040503B" w:rsidRDefault="001A662D" w:rsidP="001A662D">
            <w:pPr>
              <w:pStyle w:val="Tablecontent"/>
              <w:jc w:val="center"/>
            </w:pPr>
            <w:r w:rsidRPr="00CE29E7">
              <w:t>2.29</w:t>
            </w:r>
          </w:p>
        </w:tc>
        <w:tc>
          <w:tcPr>
            <w:tcW w:w="1276" w:type="dxa"/>
          </w:tcPr>
          <w:p w14:paraId="31146DD5" w14:textId="493C4E7C" w:rsidR="001A662D" w:rsidRPr="0040503B" w:rsidRDefault="001A662D" w:rsidP="001A662D">
            <w:pPr>
              <w:pStyle w:val="Tablecontent"/>
              <w:jc w:val="center"/>
            </w:pPr>
            <w:r w:rsidRPr="005F1E77">
              <w:t>2.82</w:t>
            </w:r>
          </w:p>
        </w:tc>
        <w:tc>
          <w:tcPr>
            <w:tcW w:w="1134" w:type="dxa"/>
          </w:tcPr>
          <w:p w14:paraId="77C6517A" w14:textId="2A54BE1B" w:rsidR="001A662D" w:rsidRPr="00067E9D" w:rsidRDefault="001A662D" w:rsidP="001A662D">
            <w:pPr>
              <w:pStyle w:val="Tablecontent"/>
              <w:jc w:val="center"/>
            </w:pPr>
            <w:r w:rsidRPr="00C871BA">
              <w:t xml:space="preserve"> 338 </w:t>
            </w:r>
          </w:p>
        </w:tc>
      </w:tr>
      <w:tr w:rsidR="001A662D" w14:paraId="05639B54" w14:textId="77777777" w:rsidTr="001A662D">
        <w:trPr>
          <w:jc w:val="center"/>
        </w:trPr>
        <w:tc>
          <w:tcPr>
            <w:tcW w:w="3261" w:type="dxa"/>
            <w:tcBorders>
              <w:bottom w:val="single" w:sz="4" w:space="0" w:color="auto"/>
            </w:tcBorders>
          </w:tcPr>
          <w:p w14:paraId="6DF5939E" w14:textId="705C7852" w:rsidR="001A662D" w:rsidRPr="00B54820" w:rsidRDefault="001A662D" w:rsidP="001A662D">
            <w:pPr>
              <w:pStyle w:val="Tablecontent"/>
              <w:rPr>
                <w:i/>
              </w:rPr>
            </w:pPr>
            <w:r w:rsidRPr="00B54820">
              <w:rPr>
                <w:i/>
              </w:rPr>
              <w:t>Zosterops lateralis melanops</w:t>
            </w:r>
          </w:p>
        </w:tc>
        <w:tc>
          <w:tcPr>
            <w:tcW w:w="850" w:type="dxa"/>
            <w:tcBorders>
              <w:bottom w:val="single" w:sz="4" w:space="0" w:color="auto"/>
              <w:right w:val="single" w:sz="4" w:space="0" w:color="auto"/>
            </w:tcBorders>
          </w:tcPr>
          <w:p w14:paraId="012CFF40" w14:textId="2680D6FB" w:rsidR="001A662D" w:rsidRPr="00E33AE2" w:rsidRDefault="001A662D" w:rsidP="001A662D">
            <w:pPr>
              <w:pStyle w:val="Tablecontent"/>
              <w:jc w:val="center"/>
            </w:pPr>
            <w:r w:rsidRPr="00CE29E7">
              <w:t>zlat</w:t>
            </w:r>
          </w:p>
        </w:tc>
        <w:tc>
          <w:tcPr>
            <w:tcW w:w="1134" w:type="dxa"/>
            <w:tcBorders>
              <w:left w:val="single" w:sz="4" w:space="0" w:color="auto"/>
              <w:bottom w:val="single" w:sz="4" w:space="0" w:color="auto"/>
            </w:tcBorders>
          </w:tcPr>
          <w:p w14:paraId="3648EEA0" w14:textId="37C411F5" w:rsidR="001A662D" w:rsidRPr="00E33AE2" w:rsidRDefault="001A662D" w:rsidP="001A662D">
            <w:pPr>
              <w:pStyle w:val="Tablecontent"/>
              <w:jc w:val="center"/>
            </w:pPr>
            <w:r w:rsidRPr="00CE29E7">
              <w:t>1.84</w:t>
            </w:r>
          </w:p>
        </w:tc>
        <w:tc>
          <w:tcPr>
            <w:tcW w:w="1276" w:type="dxa"/>
            <w:tcBorders>
              <w:bottom w:val="single" w:sz="4" w:space="0" w:color="auto"/>
            </w:tcBorders>
          </w:tcPr>
          <w:p w14:paraId="26F748B1" w14:textId="581F2729" w:rsidR="001A662D" w:rsidRPr="00E33AE2" w:rsidRDefault="001A662D" w:rsidP="001A662D">
            <w:pPr>
              <w:pStyle w:val="Tablecontent"/>
              <w:jc w:val="center"/>
            </w:pPr>
            <w:r w:rsidRPr="005F1E77">
              <w:t>2.33</w:t>
            </w:r>
          </w:p>
        </w:tc>
        <w:tc>
          <w:tcPr>
            <w:tcW w:w="1134" w:type="dxa"/>
            <w:tcBorders>
              <w:bottom w:val="single" w:sz="4" w:space="0" w:color="auto"/>
            </w:tcBorders>
          </w:tcPr>
          <w:p w14:paraId="30ECBEE1" w14:textId="7E69EFC1" w:rsidR="001A662D" w:rsidRPr="0040503B" w:rsidRDefault="001A662D" w:rsidP="001A662D">
            <w:pPr>
              <w:pStyle w:val="Tablecontent"/>
              <w:jc w:val="center"/>
            </w:pPr>
            <w:r w:rsidRPr="00C871BA">
              <w:t xml:space="preserve"> 416 </w:t>
            </w:r>
          </w:p>
        </w:tc>
      </w:tr>
    </w:tbl>
    <w:p w14:paraId="08C08FC4" w14:textId="42290A2C" w:rsidR="00914311" w:rsidRPr="00914311" w:rsidRDefault="00914311" w:rsidP="00391005">
      <w:pPr>
        <w:pStyle w:val="ListParagraph"/>
      </w:pPr>
    </w:p>
    <w:p w14:paraId="3B8E1B5D" w14:textId="47E487CD" w:rsidR="00914311" w:rsidRDefault="00A03A00" w:rsidP="00391005">
      <w:pPr>
        <w:pStyle w:val="ListParagraph"/>
      </w:pPr>
      <w:r>
        <w:rPr>
          <w:noProof/>
          <w:lang w:eastAsia="en-GB"/>
        </w:rPr>
        <w:lastRenderedPageBreak/>
        <w:drawing>
          <wp:inline distT="0" distB="0" distL="0" distR="0" wp14:anchorId="60D4B730" wp14:editId="6FD36D3E">
            <wp:extent cx="5211720" cy="8793126"/>
            <wp:effectExtent l="0" t="0" r="8255" b="825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412" t="609" r="1921" b="981"/>
                    <a:stretch/>
                  </pic:blipFill>
                  <pic:spPr bwMode="auto">
                    <a:xfrm>
                      <a:off x="0" y="0"/>
                      <a:ext cx="5221605" cy="8809803"/>
                    </a:xfrm>
                    <a:prstGeom prst="rect">
                      <a:avLst/>
                    </a:prstGeom>
                    <a:noFill/>
                    <a:ln>
                      <a:noFill/>
                    </a:ln>
                    <a:extLst>
                      <a:ext uri="{53640926-AAD7-44D8-BBD7-CCE9431645EC}">
                        <a14:shadowObscured xmlns:a14="http://schemas.microsoft.com/office/drawing/2010/main"/>
                      </a:ext>
                    </a:extLst>
                  </pic:spPr>
                </pic:pic>
              </a:graphicData>
            </a:graphic>
          </wp:inline>
        </w:drawing>
      </w:r>
    </w:p>
    <w:p w14:paraId="3B9D3D0A" w14:textId="2FF9B51F" w:rsidR="00914311" w:rsidRDefault="00914311" w:rsidP="00914311">
      <w:pPr>
        <w:pStyle w:val="Figure"/>
      </w:pPr>
      <w:bookmarkStart w:id="297" w:name="_Ref482549943"/>
      <w:bookmarkStart w:id="298" w:name="_Toc486785440"/>
      <w:r>
        <w:lastRenderedPageBreak/>
        <w:t xml:space="preserve">Figure </w:t>
      </w:r>
      <w:fldSimple w:instr=" STYLEREF 1 \s " w:fldLock="1">
        <w:r w:rsidR="002C549C">
          <w:rPr>
            <w:noProof/>
          </w:rPr>
          <w:t>4</w:t>
        </w:r>
      </w:fldSimple>
      <w:r w:rsidR="001167C6">
        <w:t>.</w:t>
      </w:r>
      <w:fldSimple w:instr=" SEQ Figure \* ARABIC \s 1 " w:fldLock="1">
        <w:r w:rsidR="002C549C">
          <w:rPr>
            <w:noProof/>
          </w:rPr>
          <w:t>5</w:t>
        </w:r>
      </w:fldSimple>
      <w:bookmarkEnd w:id="297"/>
      <w:r w:rsidR="00ED0EEE">
        <w:t xml:space="preserve"> Cladogram of the avian lineage, including reptilian outgroups, with the annotated LTR retrotransposon content of each genome. Species names are given with a four letter code as defined in </w:t>
      </w:r>
      <w:r w:rsidR="00ED0EEE">
        <w:fldChar w:fldCharType="begin" w:fldLock="1"/>
      </w:r>
      <w:r w:rsidR="00ED0EEE">
        <w:instrText xml:space="preserve"> REF _Ref482628072 \h </w:instrText>
      </w:r>
      <w:r w:rsidR="00ED0EEE">
        <w:fldChar w:fldCharType="separate"/>
      </w:r>
      <w:r w:rsidR="002C549C">
        <w:t xml:space="preserve">Table </w:t>
      </w:r>
      <w:r w:rsidR="002C549C">
        <w:rPr>
          <w:noProof/>
        </w:rPr>
        <w:t>4</w:t>
      </w:r>
      <w:r w:rsidR="002C549C">
        <w:t>.</w:t>
      </w:r>
      <w:r w:rsidR="002C549C">
        <w:rPr>
          <w:noProof/>
        </w:rPr>
        <w:t>7</w:t>
      </w:r>
      <w:r w:rsidR="00ED0EEE">
        <w:fldChar w:fldCharType="end"/>
      </w:r>
      <w:r w:rsidR="00ED0EEE">
        <w:t>. The total LTR retrotransposon content is given as a percentage of the genome size following annotation by LocaTR. The final three columns are for the genome assembly size</w:t>
      </w:r>
      <w:r w:rsidR="00CC3676">
        <w:t>,</w:t>
      </w:r>
      <w:r w:rsidR="00ED0EEE">
        <w:t xml:space="preserve"> the scaffold N50 length, a</w:t>
      </w:r>
      <w:r w:rsidR="00CC3676">
        <w:t>nd the contig N50 length.</w:t>
      </w:r>
      <w:r w:rsidR="00ED0EEE">
        <w:t xml:space="preserve"> Five of the assemblies do not contain scaffolds, so the scaffold N50 value is shown as ‘-‘. The cladogram was constructed based on the known phylogeny </w:t>
      </w:r>
      <w:r w:rsidR="00ED0EEE">
        <w:fldChar w:fldCharType="begin" w:fldLock="1"/>
      </w:r>
      <w:r w:rsidR="001A64C7">
        <w:instrText>ADDIN CSL_CITATION { "citationItems" : [ { "id" : "ITEM-1", "itemData" : { "DOI" : "10.4238/vol9-3gmr898", "ISSN" : "1676-5680", "PMID" : "20730714", "abstract" : "Complete mitochondrial DNA sequences have been used successfully to estimate phylogenetic relationships among animal taxa, and for studies of population genetics and molecular evolution. We made phylogenetic analyses of 22 species of Galliformes, with two species of Anseriformes as outgroups, using maximum likelihood (ML), maximum parsimony (MP) and Bayesian inference (BI) methods based on the nucleotide dataset and the corresponding amino acid dataset of 13 concatenated protein-coding genes. The consensus phylogenetic trees supported monophyly of Galliformes, Phasianidae (nucleotide and amino acid: posterior probabilities 1.00 in BI, bootstrap value &gt; 99% in ML and MP), Coturnicinae, and Gallininae (nucleotide and amino acid: posterior probabilities 1.00 in BI, bootstrap value &gt; 85% in ML and MP), but failed to demonstrate monophyly of Pavoninae and Phasianinae. Our results also support a sister-group relationship between megapodes and all other galliforms. We found that Arborophilinae is basal to the balance of the Phasianidae. Moreover, we suggest that the turkey should be classified in the Phasianinae of Phasianidae. Although the relationships among the various lineages of the Galliformes remain controversial, these results should be useful for further study.", "author" : [ { "dropping-particle" : "", "family" : "Kan", "given" : "X-Z", "non-dropping-particle" : "", "parse-names" : false, "suffix" : "" }, { "dropping-particle" : "", "family" : "Yang", "given" : "J-K", "non-dropping-particle" : "", "parse-names" : false, "suffix" : "" }, { "dropping-particle" : "", "family" : "Li", "given" : "X-F", "non-dropping-particle" : "", "parse-names" : false, "suffix" : "" }, { "dropping-particle" : "", "family" : "Chen", "given" : "L", "non-dropping-particle" : "", "parse-names" : false, "suffix" : "" }, { "dropping-particle" : "", "family" : "Lei", "given" : "Z-P", "non-dropping-particle" : "", "parse-names" : false, "suffix" : "" }, { "dropping-particle" : "", "family" : "Wang", "given" : "M", "non-dropping-particle" : "", "parse-names" : false, "suffix" : "" }, { "dropping-particle" : "", "family" : "Qian", "given" : "C-J", "non-dropping-particle" : "", "parse-names" : false, "suffix" : "" }, { "dropping-particle" : "", "family" : "Gao", "given" : "H", "non-dropping-particle" : "", "parse-names" : false, "suffix" : "" }, { "dropping-particle" : "", "family" : "Yang", "given" : "Z-Y", "non-dropping-particle" : "", "parse-names" : false, "suffix" : "" } ], "container-title" : "Genetics and molecular research : GMR", "id" : "ITEM-1", "issue" : "3", "issued" : { "date-parts" : [ [ "2010", "1" ] ] }, "page" : "1625-33", "title" : "Phylogeny of major lineages of galliform birds (Aves: Galliformes) based on complete mitochondrial genomes.", "type" : "article-journal", "volume" : "9" }, "uris" : [ "http://www.mendeley.com/documents/?uuid=bfba1254-a81d-4040-a4ea-f9eafecd2d18" ] }, { "id" : "ITEM-2", "itemData" : { "DOI" : "10.1016/j.ympev.2014.06.003", "ISBN" : "1095-9513 (Electronic)\\r1055-7903 (Linking)", "ISSN" : "10959513", "PMID" : "24929245", "abstract" : "Mitochondrial sequences have long been used to examine vertebrate phylogenetic relationships. The extensive use of mitochondrial data reflects the ease of obtaining mitochondrial sequences and its relatively rapid coalescence time. Mitochondrial genomes typically do not undergo recombination, so the entire mitogenome should have the same underlying gene tree. Thus, given appropriate analyses, conflict among estimates of phylogeny from different mitochondrial regions should not exist. However, estimates of phylogeny based upon different mitochondrial regions can exhibit incongruence. Conflict in phylogenetic signal among mitochondrial regions has been observed in galliform birds for the position of the Odontophoridae (New World quail). To explore this, we expanded sampling to 47 galliform mitogenomes, adding six new mitogenomes, which included representatives of two previously unsampled families. Analyses of complete mitogenomes recovered a well-supported topology that was congruent with expectations from multi-locus studies. However, when analyzing individual regions, we found conflicting positions for the Odontophoridae and several other relationships at multiple taxonomic levels. We tested multiple analytical strategies to reduce incongruence among regions, including partitioning by codon position, using mixture and codon-based models, RY coding, and excluding potentially misleading sites. No approach consistently reduced the conflict among mitochondrial regions at any taxonomic level. The biological attributes of both strongly misleading and non-misleading sites were essentially identical. Increasing taxa actually appeared to increase conflicting signal, even when taxa were selected to break up long branches. Collectively, our results indicate that analyzing mitochondrial data remains difficult, although analyzing complete mitogenomes resulted in a good estimate of the mitochondrial gene tree. ?? 2014 Elsevier Inc.", "author" : [ { "dropping-particle" : "", "family" : "Meiklejohn", "given" : "Kelly A.", "non-dropping-particle" : "", "parse-names" : false, "suffix" : "" }, { "dropping-particle" : "", "family" : "Danielson", "given" : "Melany J.", "non-dropping-particle" : "", "parse-names" : false, "suffix" : "" }, { "dropping-particle" : "", "family" : "Faircloth", "given" : "Brant C.", "non-dropping-particle" : "", "parse-names" : false, "suffix" : "" }, { "dropping-particle" : "", "family" : "Glenn", "given" : "Travis C.", "non-dropping-particle" : "", "parse-names" : false, "suffix" : "" }, { "dropping-particle" : "", "family" : "Braun", "given" : "Edward L.", "non-dropping-particle" : "", "parse-names" : false, "suffix" : "" }, { "dropping-particle" : "", "family" : "Kimball", "given" : "Rebecca T.", "non-dropping-particle" : "", "parse-names" : false, "suffix" : "" } ], "container-title" : "Molecular Phylogenetics and Evolution", "id" : "ITEM-2", "issue" : "1", "issued" : { "date-parts" : [ [ "2014" ] ] }, "page" : "314-323", "publisher" : "Elsevier Inc.", "title" : "Incongruence among different mitochondrial regions: A case study using complete mitogenomes", "type" : "article-journal", "volume" : "78" }, "uris" : [ "http://www.mendeley.com/documents/?uuid=f5928495-2326-4544-80dd-c73dbb72742c" ] }, { "id" : "ITEM-3", "itemData" : { "DOI" : "10.1186/s13742-014-0038-1", "ISSN" : "2047-217X", "PMID" : "25741440", "abstract" : "BACKGROUND: Determining the evolutionary relationships among the major lineages of extant birds has been one of the biggest challenges in systematic biology. To address this challenge, we assembled or collected the genomes of 48 avian species spanning most orders of birds, including all Neognathae and two of the five Palaeognathae orders. We used these genomes to construct a genome-scale avian phylogenetic tree and perform comparative genomic analyses.\n\nFINDINGS: Here we present the datasets associated with the phylogenomic analyses, which include sequence alignment files consisting of nucleotides, amino acids, indels, and transposable elements, as well as tree files containing gene trees and species trees. Inferring an accurate phylogeny required generating: 1) A well annotated data set across species based on genome synteny; 2) Alignments with unaligned or incorrectly overaligned sequences filtered out; and 3) Diverse data sets, including genes and their inferred trees, indels, and transposable elements. Our total evidence nucleotide tree (TENT) data set (consisting of exons, introns, and UCEs) gave what we consider our most reliable species tree when using the concatenation-based ExaML algorithm or when using statistical binning with the coalescence-based MP-EST algorithm (which we refer to as MP-EST*). Other data sets, such as the coding sequence of some exons, revealed other properties of genome evolution, namely convergence.\n\nCONCLUSIONS: The Avian Phylogenomics Project is the largest vertebrate phylogenomics project to date that we are aware of. The sequence, alignment, and tree data are expected to accelerate analyses in phylogenomics and other related areas.", "author" : [ { "dropping-particle" : "", "family" : "Jarvis", "given" : "Erich D", "non-dropping-particle" : "", "parse-names" : false, "suffix" : "" }, { "dropping-particle" : "", "family" : "Mirarab", "given" : "Siavash", "non-dropping-particle" : "", "parse-names" : false, "suffix" : "" }, { "dropping-particle" : "", "family" : "Aberer", "given" : "Andre J", "non-dropping-particle" : "", "parse-names" : false, "suffix" : "" }, { "dropping-particle" : "", "family" : "Li", "given" : "Bo", "non-dropping-particle" : "", "parse-names" : false, "suffix" : "" }, { "dropping-particle" : "", "family" : "Houde", "given" : "Peter", "non-dropping-particle" : "", "parse-names" : false, "suffix" : "" }, { "dropping-particle" : "", "family" : "Li", "given" : "Cai", "non-dropping-particle" : "", "parse-names" : false, "suffix" : "" }, { "dropping-particle" : "", "family" : "Ho", "given" : "Simon Y W", "non-dropping-particle" : "", "parse-names" : false, "suffix" : "" }, { "dropping-particle" : "", "family" : "Faircloth", "given" : "Brant C", "non-dropping-particle" : "", "parse-names" : false, "suffix" : "" }, { "dropping-particle" : "", "family" : "Nabholz", "given" : "Benoit", "non-dropping-particle" : "", "parse-names" : false, "suffix" : "" }, { "dropping-particle" : "", "family" : "Howard", "given" : "Jason T", "non-dropping-particle" : "", "parse-names" : false, "suffix" : "" }, { "dropping-particle" : "", "family" : "Suh", "given" : "Alexander", "non-dropping-particle" : "", "parse-names" : false, "suffix" : "" }, { "dropping-particle" : "", "family" : "Weber", "given" : "Claudia C", "non-dropping-particle" : "", "parse-names" : false, "suffix" : "" }, { "dropping-particle" : "", "family" : "Fonseca", "given" : "Rute R", "non-dropping-particle" : "da", "parse-names" : false, "suffix" : "" }, { "dropping-particle" : "", "family" : "Alfaro-N\u00fa\u00f1ez", "given" : "Alonzo", "non-dropping-particle" : "", "parse-names" : false, "suffix" : "" }, { "dropping-particle" : "", "family" : "Narula", "given" : "Nitish", "non-dropping-particle" : "", "parse-names" : false, "suffix" : "" }, { "dropping-particle" : "", "family" : "Liu", "given" : "Liang", "non-dropping-particle" : "", "parse-names" : false, "suffix" : "" }, { "dropping-particle" : "", "family" : "Burt", "given" : "Dave", "non-dropping-particle" : "", "parse-names" : false, "suffix" : "" }, { "dropping-particle" : "", "family" : "Ellegren", "given" : "Hans", "non-dropping-particle" : "", "parse-names" : false, "suffix" : "" }, { "dropping-particle" : "V", "family" : "Edwards", "given" : "Scott", "non-dropping-particle" : "", "parse-names" : false, "suffix" : "" }, { "dropping-particle" : "", "family" : "Stamatakis", "given" : "Alexandros", "non-dropping-particle" : "", "parse-names" : false, "suffix" : "" }, { "dropping-particle" : "", "family" : "Mindell", "given" : "David P", "non-dropping-particle" : "", "parse-names" : false, "suffix" : "" }, { "dropping-particle" : "", "family" : "Cracraft", "given" : "Joel", "non-dropping-particle" : "", "parse-names" : false, "suffix" : "" }, { "dropping-particle" : "", "family" : "Braun", "given" : "Edward L", "non-dropping-particle" : "", "parse-names" : false, "suffix" : "" }, { "dropping-particle" : "", "family" : "Warnow", "given" : "Tandy", "non-dropping-particle" : "", "parse-names" : false, "suffix" : "" }, { "dropping-particle" : "", "family" : "Jun", "given" : "Wang", "non-dropping-particle" : "", "parse-names" : false, "suffix" : "" }, { "dropping-particle" : "", "family" : "Gilbert", "given" : "M Thomas Pius", "non-dropping-particle" : "", "parse-names" : false, "suffix" : "" }, { "dropping-particle" : "", "family" : "Zhang", "given" : "Guojie", "non-dropping-particle" : "", "parse-names" : false, "suffix" : "" } ], "container-title" : "GigaScience", "id" : "ITEM-3", "issued" : { "date-parts" : [ [ "2015", "1" ] ] }, "page" : "4", "title" : "Phylogenomic analyses data of the avian phylogenomics project.", "type" : "article-journal", "volume" : "4" }, "uris" : [ "http://www.mendeley.com/documents/?uuid=33220b9a-56fc-4d42-b581-e4eb2b63ca4b" ] }, { "id" : "ITEM-4", "itemData" : { "DOI" : "10.1111/zsc.12213", "ISSN" : "14636409", "author" : [ { "dropping-particle" : "", "family" : "Suh", "given" : "Alexander", "non-dropping-particle" : "", "parse-names" : false, "suffix" : "" } ], "container-title" : "Zoologica Scripta", "id" : "ITEM-4", "issue" : "October", "issued" : { "date-parts" : [ [ "2016" ] ] }, "page" : "50-62", "title" : "The phylogenomic forest of bird trees contains a hard polytomy at the root of Neoaves", "type" : "article-journal", "volume" : "45" }, "uris" : [ "http://www.mendeley.com/documents/?uuid=c693cb77-1f94-43e1-94bd-65908eba3671" ] } ], "mendeley" : { "formattedCitation" : "(Kan et al. 2010; Meiklejohn et al. 2014; Jarvis et al. 2015; Suh 2016)", "plainTextFormattedCitation" : "(Kan et al. 2010; Meiklejohn et al. 2014; Jarvis et al. 2015; Suh 2016)", "previouslyFormattedCitation" : "(Kan et al. 2010; Meiklejohn et al. 2014; Jarvis et al. 2015; Suh 2016)" }, "properties" : { "noteIndex" : 0 }, "schema" : "https://github.com/citation-style-language/schema/raw/master/csl-citation.json" }</w:instrText>
      </w:r>
      <w:r w:rsidR="00ED0EEE">
        <w:fldChar w:fldCharType="separate"/>
      </w:r>
      <w:r w:rsidR="00513A9C" w:rsidRPr="00513A9C">
        <w:rPr>
          <w:noProof/>
        </w:rPr>
        <w:t>(Kan et al. 2010; Meiklejohn et al. 2014; Jarvis et al. 2015; Suh 2016)</w:t>
      </w:r>
      <w:r w:rsidR="00ED0EEE">
        <w:fldChar w:fldCharType="end"/>
      </w:r>
      <w:r w:rsidR="00ED0EEE">
        <w:t xml:space="preserve">, and seven of the nodes are numbered to give their approximate dates of divergence. The cladogram itself is not to scale, but the long branches after the Neoaves radiation have been chosen to show the length of separation of these major groups. Numbered nodes: 1) Separation of the Lepidosauromorpha (lizards and snakes) and Archosauromorpha ~265 MYA, 2) separation of the Pantestudines (Turtles) and Archosauriformes ~260 MYA, 3) separation of the crocodilian and avian lineage ~250 MYA, 4) separation of the Palaeognathae and Neognathae ~105 MYA, 5) separation between the Galloanserae and Neoaves ~100 MYA, 6) split between the Galliformes and Anseriformes ~60 MYA, and 7) the Neoaves radiation ~65 MYA following the K-T mass extinction event. The short branch lengths after node 7 have been drawn to represent the incomplete lineage sorting following rapid diversification. </w:t>
      </w:r>
      <w:r w:rsidR="00CC3676">
        <w:t>The eight taxono</w:t>
      </w:r>
      <w:r w:rsidR="004D48E9">
        <w:t>mic groupings used for the GLM we</w:t>
      </w:r>
      <w:r w:rsidR="00CC3676">
        <w:t>re: Paleognathae (scam-tgus), Galliformes (apla-cvir), Columbea (pcrs-pgut), Caprimulgiformes and Otidimorphae (cann-cmac), Cursorimorphae and Opisthocomiformes (breg-ohoa), Aequornithia and Phaethantimorphae (ehel-pcri), Afroaves (cstr-ppub), and Australaves (ccri-zlat)</w:t>
      </w:r>
      <w:r w:rsidR="00A03A00">
        <w:t>. The eight groupings are indicated</w:t>
      </w:r>
      <w:r w:rsidR="004D48E9">
        <w:t xml:space="preserve"> in order by</w:t>
      </w:r>
      <w:r w:rsidR="00A03A00">
        <w:t xml:space="preserve"> alternating blue and red blocks.</w:t>
      </w:r>
      <w:bookmarkEnd w:id="298"/>
    </w:p>
    <w:p w14:paraId="37832A29" w14:textId="547E8E81" w:rsidR="00E33EA9" w:rsidRDefault="00C4330D" w:rsidP="00391005">
      <w:pPr>
        <w:pStyle w:val="ListParagraph"/>
      </w:pPr>
      <w:r>
        <w:t>T</w:t>
      </w:r>
      <w:r w:rsidR="004A6521">
        <w:t>otal LTR retrotr</w:t>
      </w:r>
      <w:r w:rsidR="00C27A87">
        <w:t xml:space="preserve">ansposon content is highly variable across the avian genomes, and even sister species are strikingly different. </w:t>
      </w:r>
      <w:r w:rsidR="00C27A87">
        <w:rPr>
          <w:i/>
        </w:rPr>
        <w:t xml:space="preserve">Falco peregrinus </w:t>
      </w:r>
      <w:r w:rsidR="00C27A87">
        <w:t xml:space="preserve">(fper) and </w:t>
      </w:r>
      <w:r w:rsidR="00C27A87">
        <w:rPr>
          <w:i/>
        </w:rPr>
        <w:t>F. cherrug</w:t>
      </w:r>
      <w:r w:rsidR="00C27A87">
        <w:t xml:space="preserve"> (fche) match closely (1.28 and 1.29 % respectively), but the two other sister species groupings of </w:t>
      </w:r>
      <w:r w:rsidR="00C27A87">
        <w:rPr>
          <w:i/>
        </w:rPr>
        <w:t xml:space="preserve">Amazona aestiva </w:t>
      </w:r>
      <w:r w:rsidR="00C27A87">
        <w:t xml:space="preserve">(aaes; 4.28 %) and </w:t>
      </w:r>
      <w:r w:rsidR="00C27A87">
        <w:rPr>
          <w:i/>
        </w:rPr>
        <w:t xml:space="preserve">A. vittata </w:t>
      </w:r>
      <w:r w:rsidR="00E7382A">
        <w:t>(avia</w:t>
      </w:r>
      <w:r w:rsidR="00C27A87">
        <w:t xml:space="preserve">; 1.10 %), and </w:t>
      </w:r>
      <w:r w:rsidR="00C27A87">
        <w:rPr>
          <w:i/>
        </w:rPr>
        <w:t xml:space="preserve">Corvus brachyrhynchos </w:t>
      </w:r>
      <w:r w:rsidR="00C27A87">
        <w:t xml:space="preserve">(cbra; 3.12 %) and </w:t>
      </w:r>
      <w:r w:rsidR="00C27A87">
        <w:rPr>
          <w:i/>
        </w:rPr>
        <w:t xml:space="preserve">C. cornix </w:t>
      </w:r>
      <w:r>
        <w:t>(ccor; 2.29 %) show marked differences</w:t>
      </w:r>
      <w:r w:rsidR="00C27A87">
        <w:t xml:space="preserve">. Some of this variation </w:t>
      </w:r>
      <w:r w:rsidR="00E33EA9">
        <w:t>is due to</w:t>
      </w:r>
      <w:r w:rsidR="00C27A87">
        <w:t xml:space="preserve"> differences in the number of identified SIEs. The two </w:t>
      </w:r>
      <w:r w:rsidR="00C27A87">
        <w:rPr>
          <w:i/>
        </w:rPr>
        <w:t>Falco</w:t>
      </w:r>
      <w:r w:rsidR="00C27A87">
        <w:t xml:space="preserve"> species have 315 and 311 SIEs respec</w:t>
      </w:r>
      <w:r w:rsidR="00E33EA9">
        <w:t>tively, but aaes had 714 whilst</w:t>
      </w:r>
      <w:r w:rsidR="00C27A87">
        <w:t xml:space="preserve"> avit had 25, and </w:t>
      </w:r>
      <w:r w:rsidR="00E33EA9">
        <w:t>c</w:t>
      </w:r>
      <w:r w:rsidR="00C27A87">
        <w:t xml:space="preserve">bra had 1,059 whilst ccor had 701. Such variation between closely related species makes the identification of any phylogenetic effect difficult, as the number of SIEs (shown above to be correlated with genome quality) confounds observable patterns. </w:t>
      </w:r>
    </w:p>
    <w:p w14:paraId="6BC411BC" w14:textId="585DE305" w:rsidR="00E33EA9" w:rsidRDefault="00782539" w:rsidP="00391005">
      <w:pPr>
        <w:pStyle w:val="ListParagraph"/>
      </w:pPr>
      <w:r>
        <w:t>The fitted GLM showed that both contig N50 and genome size wer</w:t>
      </w:r>
      <w:r w:rsidR="003F5F27">
        <w:t>e non-significant variables in</w:t>
      </w:r>
      <w:r>
        <w:t xml:space="preserve"> explaining the variation in total LTR retrotransposon content. However, </w:t>
      </w:r>
      <w:r>
        <w:lastRenderedPageBreak/>
        <w:t>both the broad taxonomic groupings (</w:t>
      </w:r>
      <w:r>
        <w:fldChar w:fldCharType="begin" w:fldLock="1"/>
      </w:r>
      <w:r>
        <w:instrText xml:space="preserve"> REF _Ref482549943 \h </w:instrText>
      </w:r>
      <w:r>
        <w:fldChar w:fldCharType="separate"/>
      </w:r>
      <w:r w:rsidR="002C549C">
        <w:t xml:space="preserve">Figure </w:t>
      </w:r>
      <w:r w:rsidR="002C549C">
        <w:rPr>
          <w:noProof/>
        </w:rPr>
        <w:t>4</w:t>
      </w:r>
      <w:r w:rsidR="002C549C">
        <w:t>.</w:t>
      </w:r>
      <w:r w:rsidR="002C549C">
        <w:rPr>
          <w:noProof/>
        </w:rPr>
        <w:t>5</w:t>
      </w:r>
      <w:r>
        <w:fldChar w:fldCharType="end"/>
      </w:r>
      <w:r>
        <w:t xml:space="preserve">) and scaled SIE numbers were significant variables in the model (both P = 0.001), although there was no significant interaction term. Taxonomic groupings explained 28.49 % of the observable variation, and the scaled SIE number explained a further 12.95 %. This supports lineage specificity in LTR retrotransposon content in </w:t>
      </w:r>
      <w:r w:rsidR="00E33EA9">
        <w:t>broad taxonomic groupings separate</w:t>
      </w:r>
      <w:r>
        <w:t xml:space="preserve"> since the K/T ext</w:t>
      </w:r>
      <w:r w:rsidR="00C4330D">
        <w:t>inction event. Interestingly, when all Neoaves were grouped as a single taxon in the model, the variable wa</w:t>
      </w:r>
      <w:r>
        <w:t xml:space="preserve">s non-significant (P = 0.068). </w:t>
      </w:r>
    </w:p>
    <w:p w14:paraId="6119EC1A" w14:textId="599E51BE" w:rsidR="006F3A9B" w:rsidRDefault="006F3A9B" w:rsidP="00391005">
      <w:pPr>
        <w:pStyle w:val="ListParagraph"/>
      </w:pPr>
      <w:r>
        <w:t xml:space="preserve">Therefore, this expanded analysis of the avian lineage corroborates the results of the homology-based analysis, and does not support a significant difference in LTR retrotransposon content between the Galliformes and Neoaves. However, it </w:t>
      </w:r>
      <w:r w:rsidR="00572717">
        <w:t>is possible that improvements to</w:t>
      </w:r>
      <w:r>
        <w:t xml:space="preserve"> assembly quality could significant</w:t>
      </w:r>
      <w:r w:rsidR="00572717">
        <w:t>ly increase the</w:t>
      </w:r>
      <w:r>
        <w:t xml:space="preserve"> to</w:t>
      </w:r>
      <w:r w:rsidR="00572717">
        <w:t xml:space="preserve">tal identified LTR retrotransposon content </w:t>
      </w:r>
      <w:r w:rsidR="00687DCE">
        <w:t>in individual species and alter these conclusions.</w:t>
      </w:r>
    </w:p>
    <w:p w14:paraId="6BB2B45E" w14:textId="7F10D11F" w:rsidR="005B6FA8" w:rsidRDefault="005B6FA8" w:rsidP="00391005">
      <w:pPr>
        <w:pStyle w:val="ListParagraph"/>
      </w:pPr>
    </w:p>
    <w:p w14:paraId="39BCB4B2" w14:textId="4D7C3D4B" w:rsidR="00914311" w:rsidRDefault="001A662D" w:rsidP="001A662D">
      <w:pPr>
        <w:pStyle w:val="Heading4"/>
      </w:pPr>
      <w:r>
        <w:t>Comparison with the results of the purely homology-based annotation</w:t>
      </w:r>
    </w:p>
    <w:p w14:paraId="6B822B93" w14:textId="23A201F5" w:rsidR="001A662D" w:rsidRDefault="00E7382A" w:rsidP="00391005">
      <w:pPr>
        <w:pStyle w:val="ListParagraph"/>
      </w:pPr>
      <w:r>
        <w:t>The LTR retrotransposon content of twenty-one species (excluding the chicken due to the change in assembly) were analysed</w:t>
      </w:r>
      <w:r w:rsidR="00687DCE">
        <w:t xml:space="preserve"> with all three methodologies: the</w:t>
      </w:r>
      <w:r>
        <w:t xml:space="preserve"> standard RepeatMasker analysis, the homology-based protocol (section </w:t>
      </w:r>
      <w:r>
        <w:fldChar w:fldCharType="begin" w:fldLock="1"/>
      </w:r>
      <w:r>
        <w:instrText xml:space="preserve"> REF _Ref482549889 \r \h </w:instrText>
      </w:r>
      <w:r>
        <w:fldChar w:fldCharType="separate"/>
      </w:r>
      <w:r w:rsidR="002C549C">
        <w:t>4.5.1</w:t>
      </w:r>
      <w:r>
        <w:fldChar w:fldCharType="end"/>
      </w:r>
      <w:r>
        <w:t>), and the full LocaTR analysis (above). The homology-based protocol increased the annotated LTR retrotransposon content in all species</w:t>
      </w:r>
      <w:r w:rsidR="00687DCE">
        <w:t xml:space="preserve"> compared to RepeatMasker alone</w:t>
      </w:r>
      <w:r>
        <w:t xml:space="preserve">, and it was predicted that </w:t>
      </w:r>
      <w:r w:rsidR="00687DCE">
        <w:t xml:space="preserve">the </w:t>
      </w:r>
      <w:r>
        <w:t xml:space="preserve">LocaTR analysis would either </w:t>
      </w:r>
      <w:r w:rsidR="00687DCE">
        <w:t>match this</w:t>
      </w:r>
      <w:r>
        <w:t xml:space="preserve"> content or increase it further, as lineage-specific or divergent SIEs could be detected. However, as </w:t>
      </w:r>
      <w:r>
        <w:fldChar w:fldCharType="begin" w:fldLock="1"/>
      </w:r>
      <w:r>
        <w:instrText xml:space="preserve"> REF _Ref484538096 \h </w:instrText>
      </w:r>
      <w:r>
        <w:fldChar w:fldCharType="separate"/>
      </w:r>
      <w:r w:rsidR="002C549C">
        <w:t xml:space="preserve">Table </w:t>
      </w:r>
      <w:r w:rsidR="002C549C">
        <w:rPr>
          <w:noProof/>
        </w:rPr>
        <w:t>4</w:t>
      </w:r>
      <w:r w:rsidR="002C549C">
        <w:t>.</w:t>
      </w:r>
      <w:r w:rsidR="002C549C">
        <w:rPr>
          <w:noProof/>
        </w:rPr>
        <w:t>8</w:t>
      </w:r>
      <w:r>
        <w:fldChar w:fldCharType="end"/>
      </w:r>
      <w:r>
        <w:t xml:space="preserve"> shows, the LocaTR analysis gave lower values for </w:t>
      </w:r>
      <w:r w:rsidR="00C4330D">
        <w:t xml:space="preserve">over </w:t>
      </w:r>
      <w:r>
        <w:t>half</w:t>
      </w:r>
      <w:r w:rsidR="00687DCE">
        <w:t xml:space="preserve"> </w:t>
      </w:r>
      <w:r>
        <w:t>the ana</w:t>
      </w:r>
      <w:r w:rsidR="004D48E9">
        <w:t>lysed species (red shading</w:t>
      </w:r>
      <w:r>
        <w:t>).</w:t>
      </w:r>
    </w:p>
    <w:p w14:paraId="55751EE7" w14:textId="2FF9A833" w:rsidR="004D48E9" w:rsidRDefault="004D48E9" w:rsidP="00391005">
      <w:pPr>
        <w:pStyle w:val="ListParagraph"/>
      </w:pPr>
      <w:r>
        <w:t xml:space="preserve">For each species where the value ‘reduced’ in the LocaTR analysis, the element position files were overlapped, and the ‘missing’ sequences were analysed with RepeatMasker. In each case the sequences responsible for the higher content in the homology-based analysis had at least partial CR1 homology, as elements were commonly fragments matching the </w:t>
      </w:r>
      <w:r>
        <w:rPr>
          <w:i/>
        </w:rPr>
        <w:t>pol</w:t>
      </w:r>
      <w:r>
        <w:t xml:space="preserve"> gene. Strict filtering was used in LocaTR to reduce the potential for CR1 contamination, but some false positives were called in the homology-based analysis. </w:t>
      </w:r>
    </w:p>
    <w:p w14:paraId="19AC07B1" w14:textId="77777777" w:rsidR="004D48E9" w:rsidRDefault="004D48E9" w:rsidP="00391005">
      <w:pPr>
        <w:pStyle w:val="ListParagraph"/>
      </w:pPr>
    </w:p>
    <w:p w14:paraId="59A10583" w14:textId="21363069" w:rsidR="001A662D" w:rsidRDefault="001A662D" w:rsidP="001A662D">
      <w:pPr>
        <w:pStyle w:val="Caption"/>
      </w:pPr>
      <w:bookmarkStart w:id="299" w:name="_Ref484538096"/>
      <w:bookmarkStart w:id="300" w:name="_Toc486786319"/>
      <w:r>
        <w:lastRenderedPageBreak/>
        <w:t xml:space="preserve">Table </w:t>
      </w:r>
      <w:fldSimple w:instr=" STYLEREF 1 \s " w:fldLock="1">
        <w:r w:rsidR="002C549C">
          <w:rPr>
            <w:noProof/>
          </w:rPr>
          <w:t>4</w:t>
        </w:r>
      </w:fldSimple>
      <w:r w:rsidR="001167C6">
        <w:t>.</w:t>
      </w:r>
      <w:fldSimple w:instr=" SEQ Table \* ARABIC \s 1 " w:fldLock="1">
        <w:r w:rsidR="002C549C">
          <w:rPr>
            <w:noProof/>
          </w:rPr>
          <w:t>8</w:t>
        </w:r>
      </w:fldSimple>
      <w:bookmarkEnd w:id="299"/>
      <w:r w:rsidR="00E33EA9">
        <w:t xml:space="preserve"> A comparison of the annotated LTR retrotransposon content based on three search methodologies. These twenty-one species were analysed using a standard RepeatMasker analysis (RM-v), the purely homology-based identification from section </w:t>
      </w:r>
      <w:r w:rsidR="00E33EA9">
        <w:fldChar w:fldCharType="begin" w:fldLock="1"/>
      </w:r>
      <w:r w:rsidR="00E33EA9">
        <w:instrText xml:space="preserve"> REF _Ref482549889 \r \h </w:instrText>
      </w:r>
      <w:r w:rsidR="00E33EA9">
        <w:fldChar w:fldCharType="separate"/>
      </w:r>
      <w:r w:rsidR="002C549C">
        <w:t>4.5.1</w:t>
      </w:r>
      <w:r w:rsidR="00E33EA9">
        <w:fldChar w:fldCharType="end"/>
      </w:r>
      <w:r w:rsidR="00E33EA9">
        <w:t xml:space="preserve"> (Homology), and the full LocaTR analysis. Species are in alphabetical order with their four letter codes, and</w:t>
      </w:r>
      <w:r w:rsidR="003F5F27">
        <w:t xml:space="preserve"> the two reptilian outgroups have been indicated by an</w:t>
      </w:r>
      <w:r w:rsidR="00E33EA9">
        <w:t xml:space="preserve"> asterisk</w:t>
      </w:r>
      <w:r w:rsidR="003F5F27">
        <w:t>.</w:t>
      </w:r>
      <w:r w:rsidR="00E33EA9">
        <w:t xml:space="preserve"> The annotated values are as a percentage of total genome length in all cases, and the values in the LocaTR column have been shaded red if they are less than the annotated value from the homology-based identification.</w:t>
      </w:r>
      <w:bookmarkEnd w:id="300"/>
      <w:r w:rsidR="00E33EA9">
        <w:t xml:space="preserve">  </w:t>
      </w:r>
    </w:p>
    <w:tbl>
      <w:tblPr>
        <w:tblStyle w:val="TableGrid"/>
        <w:tblW w:w="7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992"/>
        <w:gridCol w:w="1134"/>
        <w:gridCol w:w="1559"/>
        <w:gridCol w:w="1276"/>
      </w:tblGrid>
      <w:tr w:rsidR="001A662D" w14:paraId="3D6EC066" w14:textId="77777777" w:rsidTr="001A662D">
        <w:trPr>
          <w:jc w:val="center"/>
        </w:trPr>
        <w:tc>
          <w:tcPr>
            <w:tcW w:w="2694" w:type="dxa"/>
            <w:tcBorders>
              <w:top w:val="single" w:sz="4" w:space="0" w:color="auto"/>
              <w:bottom w:val="single" w:sz="4" w:space="0" w:color="auto"/>
            </w:tcBorders>
            <w:vAlign w:val="center"/>
          </w:tcPr>
          <w:p w14:paraId="0AEDBEFB" w14:textId="0BC3977D" w:rsidR="001A662D" w:rsidRDefault="004D48E9" w:rsidP="007C3C71">
            <w:pPr>
              <w:pStyle w:val="Tablecontent"/>
            </w:pPr>
            <w:r>
              <w:t>Species n</w:t>
            </w:r>
            <w:r w:rsidR="001A662D">
              <w:t>ame</w:t>
            </w:r>
          </w:p>
        </w:tc>
        <w:tc>
          <w:tcPr>
            <w:tcW w:w="992" w:type="dxa"/>
            <w:tcBorders>
              <w:top w:val="single" w:sz="4" w:space="0" w:color="auto"/>
              <w:bottom w:val="single" w:sz="4" w:space="0" w:color="auto"/>
              <w:right w:val="single" w:sz="4" w:space="0" w:color="auto"/>
            </w:tcBorders>
            <w:vAlign w:val="center"/>
          </w:tcPr>
          <w:p w14:paraId="5DC45562" w14:textId="77777777" w:rsidR="001A662D" w:rsidRDefault="001A662D" w:rsidP="007C3C71">
            <w:pPr>
              <w:pStyle w:val="Tablecontent"/>
              <w:jc w:val="center"/>
            </w:pPr>
            <w:r>
              <w:t>Code</w:t>
            </w:r>
          </w:p>
        </w:tc>
        <w:tc>
          <w:tcPr>
            <w:tcW w:w="1134" w:type="dxa"/>
            <w:tcBorders>
              <w:top w:val="single" w:sz="4" w:space="0" w:color="auto"/>
              <w:left w:val="single" w:sz="4" w:space="0" w:color="auto"/>
              <w:bottom w:val="single" w:sz="4" w:space="0" w:color="auto"/>
            </w:tcBorders>
          </w:tcPr>
          <w:p w14:paraId="500C8544" w14:textId="77777777" w:rsidR="001A662D" w:rsidRDefault="001A662D" w:rsidP="007C3C71">
            <w:pPr>
              <w:pStyle w:val="Tablecontent"/>
              <w:jc w:val="center"/>
            </w:pPr>
            <w:r>
              <w:t>RM-v (%)</w:t>
            </w:r>
          </w:p>
        </w:tc>
        <w:tc>
          <w:tcPr>
            <w:tcW w:w="1559" w:type="dxa"/>
            <w:tcBorders>
              <w:top w:val="single" w:sz="4" w:space="0" w:color="auto"/>
              <w:bottom w:val="single" w:sz="4" w:space="0" w:color="auto"/>
            </w:tcBorders>
          </w:tcPr>
          <w:p w14:paraId="0B61546D" w14:textId="77777777" w:rsidR="001A662D" w:rsidRDefault="001A662D" w:rsidP="007C3C71">
            <w:pPr>
              <w:pStyle w:val="Tablecontent"/>
              <w:jc w:val="center"/>
            </w:pPr>
            <w:r>
              <w:t>Homology (%)</w:t>
            </w:r>
          </w:p>
        </w:tc>
        <w:tc>
          <w:tcPr>
            <w:tcW w:w="1276" w:type="dxa"/>
            <w:tcBorders>
              <w:top w:val="single" w:sz="4" w:space="0" w:color="auto"/>
              <w:bottom w:val="single" w:sz="4" w:space="0" w:color="auto"/>
            </w:tcBorders>
          </w:tcPr>
          <w:p w14:paraId="2FF0A175" w14:textId="77777777" w:rsidR="001A662D" w:rsidRDefault="001A662D" w:rsidP="007C3C71">
            <w:pPr>
              <w:pStyle w:val="Tablecontent"/>
              <w:jc w:val="center"/>
            </w:pPr>
            <w:r>
              <w:t>LocaTR (%)</w:t>
            </w:r>
          </w:p>
        </w:tc>
      </w:tr>
      <w:tr w:rsidR="001A662D" w14:paraId="595C580C" w14:textId="77777777" w:rsidTr="001A662D">
        <w:trPr>
          <w:jc w:val="center"/>
        </w:trPr>
        <w:tc>
          <w:tcPr>
            <w:tcW w:w="2694" w:type="dxa"/>
          </w:tcPr>
          <w:p w14:paraId="5CD7DA0D" w14:textId="77777777" w:rsidR="001A662D" w:rsidRPr="00B54820" w:rsidRDefault="001A662D" w:rsidP="007C3C71">
            <w:pPr>
              <w:pStyle w:val="Tablecontent"/>
              <w:rPr>
                <w:i/>
              </w:rPr>
            </w:pPr>
            <w:r w:rsidRPr="00B54820">
              <w:rPr>
                <w:i/>
              </w:rPr>
              <w:t>Anas platyrhynchos</w:t>
            </w:r>
          </w:p>
        </w:tc>
        <w:tc>
          <w:tcPr>
            <w:tcW w:w="992" w:type="dxa"/>
            <w:tcBorders>
              <w:right w:val="single" w:sz="4" w:space="0" w:color="auto"/>
            </w:tcBorders>
          </w:tcPr>
          <w:p w14:paraId="5FD50C1F" w14:textId="77777777" w:rsidR="001A662D" w:rsidRPr="00E33AE2" w:rsidRDefault="001A662D" w:rsidP="007C3C71">
            <w:pPr>
              <w:pStyle w:val="Tablecontent"/>
              <w:jc w:val="center"/>
            </w:pPr>
            <w:r w:rsidRPr="00CE29E7">
              <w:t>apla</w:t>
            </w:r>
          </w:p>
        </w:tc>
        <w:tc>
          <w:tcPr>
            <w:tcW w:w="1134" w:type="dxa"/>
            <w:tcBorders>
              <w:left w:val="single" w:sz="4" w:space="0" w:color="auto"/>
            </w:tcBorders>
          </w:tcPr>
          <w:p w14:paraId="0B3EF494" w14:textId="77777777" w:rsidR="001A662D" w:rsidRPr="00E33AE2" w:rsidRDefault="001A662D" w:rsidP="007C3C71">
            <w:pPr>
              <w:pStyle w:val="Tablecontent"/>
              <w:jc w:val="center"/>
            </w:pPr>
            <w:r w:rsidRPr="00CE29E7">
              <w:t>0.98</w:t>
            </w:r>
          </w:p>
        </w:tc>
        <w:tc>
          <w:tcPr>
            <w:tcW w:w="1559" w:type="dxa"/>
          </w:tcPr>
          <w:p w14:paraId="09399A26" w14:textId="77777777" w:rsidR="001A662D" w:rsidRPr="00E33AE2" w:rsidRDefault="001A662D" w:rsidP="007C3C71">
            <w:pPr>
              <w:pStyle w:val="Tablecontent"/>
              <w:jc w:val="center"/>
            </w:pPr>
            <w:r w:rsidRPr="00CE29E7">
              <w:t>3.95</w:t>
            </w:r>
          </w:p>
        </w:tc>
        <w:tc>
          <w:tcPr>
            <w:tcW w:w="1276" w:type="dxa"/>
            <w:shd w:val="clear" w:color="auto" w:fill="FBE4D5" w:themeFill="accent2" w:themeFillTint="33"/>
          </w:tcPr>
          <w:p w14:paraId="01DB691E" w14:textId="77777777" w:rsidR="001A662D" w:rsidRPr="0040503B" w:rsidRDefault="001A662D" w:rsidP="007C3C71">
            <w:pPr>
              <w:pStyle w:val="Tablecontent"/>
              <w:jc w:val="center"/>
            </w:pPr>
            <w:r>
              <w:t>2</w:t>
            </w:r>
            <w:r w:rsidRPr="005F1E77">
              <w:t>.26</w:t>
            </w:r>
          </w:p>
        </w:tc>
      </w:tr>
      <w:tr w:rsidR="001A662D" w14:paraId="1852984C" w14:textId="77777777" w:rsidTr="001A662D">
        <w:trPr>
          <w:jc w:val="center"/>
        </w:trPr>
        <w:tc>
          <w:tcPr>
            <w:tcW w:w="2694" w:type="dxa"/>
          </w:tcPr>
          <w:p w14:paraId="46AAAE63" w14:textId="77777777" w:rsidR="001A662D" w:rsidRPr="00B54820" w:rsidRDefault="001A662D" w:rsidP="007C3C71">
            <w:pPr>
              <w:pStyle w:val="Tablecontent"/>
              <w:rPr>
                <w:i/>
              </w:rPr>
            </w:pPr>
            <w:r w:rsidRPr="00B54820">
              <w:rPr>
                <w:i/>
              </w:rPr>
              <w:t>Anolis carolinensis *</w:t>
            </w:r>
          </w:p>
        </w:tc>
        <w:tc>
          <w:tcPr>
            <w:tcW w:w="992" w:type="dxa"/>
            <w:tcBorders>
              <w:right w:val="single" w:sz="4" w:space="0" w:color="auto"/>
            </w:tcBorders>
          </w:tcPr>
          <w:p w14:paraId="1CF0D745" w14:textId="77777777" w:rsidR="001A662D" w:rsidRPr="00E33AE2" w:rsidRDefault="001A662D" w:rsidP="007C3C71">
            <w:pPr>
              <w:pStyle w:val="Tablecontent"/>
              <w:jc w:val="center"/>
            </w:pPr>
            <w:r w:rsidRPr="00CE29E7">
              <w:t>acar</w:t>
            </w:r>
          </w:p>
        </w:tc>
        <w:tc>
          <w:tcPr>
            <w:tcW w:w="1134" w:type="dxa"/>
            <w:tcBorders>
              <w:left w:val="single" w:sz="4" w:space="0" w:color="auto"/>
            </w:tcBorders>
          </w:tcPr>
          <w:p w14:paraId="5E7F3A98" w14:textId="77777777" w:rsidR="001A662D" w:rsidRPr="00E33AE2" w:rsidRDefault="001A662D" w:rsidP="007C3C71">
            <w:pPr>
              <w:pStyle w:val="Tablecontent"/>
              <w:jc w:val="center"/>
            </w:pPr>
            <w:r w:rsidRPr="00CE29E7">
              <w:t>4.45</w:t>
            </w:r>
          </w:p>
        </w:tc>
        <w:tc>
          <w:tcPr>
            <w:tcW w:w="1559" w:type="dxa"/>
          </w:tcPr>
          <w:p w14:paraId="51F7D2D4" w14:textId="77777777" w:rsidR="001A662D" w:rsidRPr="00E33AE2" w:rsidRDefault="001A662D" w:rsidP="007C3C71">
            <w:pPr>
              <w:pStyle w:val="Tablecontent"/>
              <w:jc w:val="center"/>
            </w:pPr>
            <w:r w:rsidRPr="00CE29E7">
              <w:t>4.88</w:t>
            </w:r>
          </w:p>
        </w:tc>
        <w:tc>
          <w:tcPr>
            <w:tcW w:w="1276" w:type="dxa"/>
          </w:tcPr>
          <w:p w14:paraId="2B5FE14A" w14:textId="77777777" w:rsidR="001A662D" w:rsidRPr="0040503B" w:rsidRDefault="001A662D" w:rsidP="007C3C71">
            <w:pPr>
              <w:pStyle w:val="Tablecontent"/>
              <w:jc w:val="center"/>
            </w:pPr>
            <w:r w:rsidRPr="005F1E77">
              <w:t>9.03</w:t>
            </w:r>
          </w:p>
        </w:tc>
      </w:tr>
      <w:tr w:rsidR="001A662D" w14:paraId="6721D25B" w14:textId="77777777" w:rsidTr="001A662D">
        <w:trPr>
          <w:jc w:val="center"/>
        </w:trPr>
        <w:tc>
          <w:tcPr>
            <w:tcW w:w="2694" w:type="dxa"/>
          </w:tcPr>
          <w:p w14:paraId="33A948DE" w14:textId="77777777" w:rsidR="001A662D" w:rsidRPr="00B54820" w:rsidRDefault="001A662D" w:rsidP="007C3C71">
            <w:pPr>
              <w:pStyle w:val="Tablecontent"/>
              <w:rPr>
                <w:i/>
              </w:rPr>
            </w:pPr>
            <w:r w:rsidRPr="00B54820">
              <w:rPr>
                <w:i/>
              </w:rPr>
              <w:t>Apaloderma vittatum</w:t>
            </w:r>
          </w:p>
        </w:tc>
        <w:tc>
          <w:tcPr>
            <w:tcW w:w="992" w:type="dxa"/>
            <w:tcBorders>
              <w:right w:val="single" w:sz="4" w:space="0" w:color="auto"/>
            </w:tcBorders>
          </w:tcPr>
          <w:p w14:paraId="005D3B67" w14:textId="77777777" w:rsidR="001A662D" w:rsidRPr="00E33AE2" w:rsidRDefault="001A662D" w:rsidP="007C3C71">
            <w:pPr>
              <w:pStyle w:val="Tablecontent"/>
              <w:jc w:val="center"/>
            </w:pPr>
            <w:r w:rsidRPr="00CE29E7">
              <w:t>avit</w:t>
            </w:r>
          </w:p>
        </w:tc>
        <w:tc>
          <w:tcPr>
            <w:tcW w:w="1134" w:type="dxa"/>
            <w:tcBorders>
              <w:left w:val="single" w:sz="4" w:space="0" w:color="auto"/>
            </w:tcBorders>
          </w:tcPr>
          <w:p w14:paraId="13BC8E3A" w14:textId="77777777" w:rsidR="001A662D" w:rsidRPr="00E33AE2" w:rsidRDefault="001A662D" w:rsidP="007C3C71">
            <w:pPr>
              <w:pStyle w:val="Tablecontent"/>
              <w:jc w:val="center"/>
            </w:pPr>
            <w:r w:rsidRPr="00CE29E7">
              <w:t>0.86</w:t>
            </w:r>
          </w:p>
        </w:tc>
        <w:tc>
          <w:tcPr>
            <w:tcW w:w="1559" w:type="dxa"/>
          </w:tcPr>
          <w:p w14:paraId="43A8F634" w14:textId="77777777" w:rsidR="001A662D" w:rsidRPr="00E33AE2" w:rsidRDefault="001A662D" w:rsidP="007C3C71">
            <w:pPr>
              <w:pStyle w:val="Tablecontent"/>
              <w:jc w:val="center"/>
            </w:pPr>
            <w:r w:rsidRPr="00CE29E7">
              <w:t>3.38</w:t>
            </w:r>
          </w:p>
        </w:tc>
        <w:tc>
          <w:tcPr>
            <w:tcW w:w="1276" w:type="dxa"/>
            <w:shd w:val="clear" w:color="auto" w:fill="FBE4D5" w:themeFill="accent2" w:themeFillTint="33"/>
          </w:tcPr>
          <w:p w14:paraId="43F9F466" w14:textId="77777777" w:rsidR="001A662D" w:rsidRPr="0040503B" w:rsidRDefault="001A662D" w:rsidP="007C3C71">
            <w:pPr>
              <w:pStyle w:val="Tablecontent"/>
              <w:jc w:val="center"/>
            </w:pPr>
            <w:r w:rsidRPr="005F1E77">
              <w:t>0.95</w:t>
            </w:r>
          </w:p>
        </w:tc>
      </w:tr>
      <w:tr w:rsidR="001A662D" w14:paraId="10195C3E" w14:textId="77777777" w:rsidTr="001A662D">
        <w:trPr>
          <w:jc w:val="center"/>
        </w:trPr>
        <w:tc>
          <w:tcPr>
            <w:tcW w:w="2694" w:type="dxa"/>
          </w:tcPr>
          <w:p w14:paraId="178FDD14" w14:textId="77777777" w:rsidR="001A662D" w:rsidRPr="00B54820" w:rsidRDefault="001A662D" w:rsidP="007C3C71">
            <w:pPr>
              <w:pStyle w:val="Tablecontent"/>
              <w:rPr>
                <w:i/>
              </w:rPr>
            </w:pPr>
            <w:r w:rsidRPr="00B54820">
              <w:rPr>
                <w:i/>
              </w:rPr>
              <w:t>Aptenodytes forsteri</w:t>
            </w:r>
          </w:p>
        </w:tc>
        <w:tc>
          <w:tcPr>
            <w:tcW w:w="992" w:type="dxa"/>
            <w:tcBorders>
              <w:right w:val="single" w:sz="4" w:space="0" w:color="auto"/>
            </w:tcBorders>
          </w:tcPr>
          <w:p w14:paraId="052110F3" w14:textId="77777777" w:rsidR="001A662D" w:rsidRPr="00E33AE2" w:rsidRDefault="001A662D" w:rsidP="007C3C71">
            <w:pPr>
              <w:pStyle w:val="Tablecontent"/>
              <w:jc w:val="center"/>
            </w:pPr>
            <w:r w:rsidRPr="00CE29E7">
              <w:t>afor</w:t>
            </w:r>
          </w:p>
        </w:tc>
        <w:tc>
          <w:tcPr>
            <w:tcW w:w="1134" w:type="dxa"/>
            <w:tcBorders>
              <w:left w:val="single" w:sz="4" w:space="0" w:color="auto"/>
            </w:tcBorders>
          </w:tcPr>
          <w:p w14:paraId="6093F518" w14:textId="77777777" w:rsidR="001A662D" w:rsidRPr="00E33AE2" w:rsidRDefault="001A662D" w:rsidP="007C3C71">
            <w:pPr>
              <w:pStyle w:val="Tablecontent"/>
              <w:jc w:val="center"/>
            </w:pPr>
            <w:r w:rsidRPr="00CE29E7">
              <w:t>1.08</w:t>
            </w:r>
          </w:p>
        </w:tc>
        <w:tc>
          <w:tcPr>
            <w:tcW w:w="1559" w:type="dxa"/>
          </w:tcPr>
          <w:p w14:paraId="272E8A1D" w14:textId="77777777" w:rsidR="001A662D" w:rsidRPr="00E33AE2" w:rsidRDefault="001A662D" w:rsidP="007C3C71">
            <w:pPr>
              <w:pStyle w:val="Tablecontent"/>
              <w:jc w:val="center"/>
            </w:pPr>
            <w:r w:rsidRPr="00CE29E7">
              <w:t>1.51</w:t>
            </w:r>
          </w:p>
        </w:tc>
        <w:tc>
          <w:tcPr>
            <w:tcW w:w="1276" w:type="dxa"/>
          </w:tcPr>
          <w:p w14:paraId="3F753FB2" w14:textId="77777777" w:rsidR="001A662D" w:rsidRPr="0040503B" w:rsidRDefault="001A662D" w:rsidP="007C3C71">
            <w:pPr>
              <w:pStyle w:val="Tablecontent"/>
              <w:jc w:val="center"/>
            </w:pPr>
            <w:r w:rsidRPr="005F1E77">
              <w:t>1.77</w:t>
            </w:r>
          </w:p>
        </w:tc>
      </w:tr>
      <w:tr w:rsidR="001A662D" w14:paraId="66B34A94" w14:textId="77777777" w:rsidTr="001A662D">
        <w:trPr>
          <w:jc w:val="center"/>
        </w:trPr>
        <w:tc>
          <w:tcPr>
            <w:tcW w:w="2694" w:type="dxa"/>
          </w:tcPr>
          <w:p w14:paraId="37F4826D" w14:textId="77777777" w:rsidR="001A662D" w:rsidRPr="00B54820" w:rsidRDefault="001A662D" w:rsidP="007C3C71">
            <w:pPr>
              <w:pStyle w:val="Tablecontent"/>
              <w:rPr>
                <w:i/>
              </w:rPr>
            </w:pPr>
            <w:r w:rsidRPr="00B54820">
              <w:rPr>
                <w:i/>
              </w:rPr>
              <w:t>Calypte anna</w:t>
            </w:r>
          </w:p>
        </w:tc>
        <w:tc>
          <w:tcPr>
            <w:tcW w:w="992" w:type="dxa"/>
            <w:tcBorders>
              <w:right w:val="single" w:sz="4" w:space="0" w:color="auto"/>
            </w:tcBorders>
          </w:tcPr>
          <w:p w14:paraId="3A3C6983" w14:textId="77777777" w:rsidR="001A662D" w:rsidRPr="00E33AE2" w:rsidRDefault="001A662D" w:rsidP="007C3C71">
            <w:pPr>
              <w:pStyle w:val="Tablecontent"/>
              <w:jc w:val="center"/>
            </w:pPr>
            <w:r w:rsidRPr="00CE29E7">
              <w:t>cann</w:t>
            </w:r>
          </w:p>
        </w:tc>
        <w:tc>
          <w:tcPr>
            <w:tcW w:w="1134" w:type="dxa"/>
            <w:tcBorders>
              <w:left w:val="single" w:sz="4" w:space="0" w:color="auto"/>
            </w:tcBorders>
          </w:tcPr>
          <w:p w14:paraId="3AA89F3B" w14:textId="77777777" w:rsidR="001A662D" w:rsidRPr="00E33AE2" w:rsidRDefault="001A662D" w:rsidP="007C3C71">
            <w:pPr>
              <w:pStyle w:val="Tablecontent"/>
              <w:jc w:val="center"/>
            </w:pPr>
            <w:r w:rsidRPr="00CE29E7">
              <w:t>0.64</w:t>
            </w:r>
          </w:p>
        </w:tc>
        <w:tc>
          <w:tcPr>
            <w:tcW w:w="1559" w:type="dxa"/>
          </w:tcPr>
          <w:p w14:paraId="71F16FB3" w14:textId="77777777" w:rsidR="001A662D" w:rsidRPr="00E33AE2" w:rsidRDefault="001A662D" w:rsidP="007C3C71">
            <w:pPr>
              <w:pStyle w:val="Tablecontent"/>
              <w:jc w:val="center"/>
            </w:pPr>
            <w:r w:rsidRPr="00CE29E7">
              <w:t>1.09</w:t>
            </w:r>
          </w:p>
        </w:tc>
        <w:tc>
          <w:tcPr>
            <w:tcW w:w="1276" w:type="dxa"/>
          </w:tcPr>
          <w:p w14:paraId="56571AFD" w14:textId="77777777" w:rsidR="001A662D" w:rsidRPr="0040503B" w:rsidRDefault="001A662D" w:rsidP="007C3C71">
            <w:pPr>
              <w:pStyle w:val="Tablecontent"/>
              <w:jc w:val="center"/>
            </w:pPr>
            <w:r w:rsidRPr="005F1E77">
              <w:t>3.30</w:t>
            </w:r>
          </w:p>
        </w:tc>
      </w:tr>
      <w:tr w:rsidR="001A662D" w14:paraId="6447F2EF" w14:textId="77777777" w:rsidTr="001A662D">
        <w:trPr>
          <w:jc w:val="center"/>
        </w:trPr>
        <w:tc>
          <w:tcPr>
            <w:tcW w:w="2694" w:type="dxa"/>
          </w:tcPr>
          <w:p w14:paraId="0740F479" w14:textId="77777777" w:rsidR="001A662D" w:rsidRPr="00B54820" w:rsidRDefault="001A662D" w:rsidP="007C3C71">
            <w:pPr>
              <w:pStyle w:val="Tablecontent"/>
              <w:rPr>
                <w:i/>
              </w:rPr>
            </w:pPr>
            <w:r w:rsidRPr="00B54820">
              <w:rPr>
                <w:i/>
              </w:rPr>
              <w:t>Chrysemys picta belii *</w:t>
            </w:r>
          </w:p>
        </w:tc>
        <w:tc>
          <w:tcPr>
            <w:tcW w:w="992" w:type="dxa"/>
            <w:tcBorders>
              <w:right w:val="single" w:sz="4" w:space="0" w:color="auto"/>
            </w:tcBorders>
          </w:tcPr>
          <w:p w14:paraId="61EF7E3A" w14:textId="77777777" w:rsidR="001A662D" w:rsidRPr="00E33AE2" w:rsidRDefault="001A662D" w:rsidP="007C3C71">
            <w:pPr>
              <w:pStyle w:val="Tablecontent"/>
              <w:jc w:val="center"/>
            </w:pPr>
            <w:r w:rsidRPr="00CE29E7">
              <w:t>cpic</w:t>
            </w:r>
          </w:p>
        </w:tc>
        <w:tc>
          <w:tcPr>
            <w:tcW w:w="1134" w:type="dxa"/>
            <w:tcBorders>
              <w:left w:val="single" w:sz="4" w:space="0" w:color="auto"/>
            </w:tcBorders>
          </w:tcPr>
          <w:p w14:paraId="3BCA60B8" w14:textId="77777777" w:rsidR="001A662D" w:rsidRPr="00E33AE2" w:rsidRDefault="001A662D" w:rsidP="007C3C71">
            <w:pPr>
              <w:pStyle w:val="Tablecontent"/>
              <w:jc w:val="center"/>
            </w:pPr>
            <w:r w:rsidRPr="00CE29E7">
              <w:t>1.30</w:t>
            </w:r>
          </w:p>
        </w:tc>
        <w:tc>
          <w:tcPr>
            <w:tcW w:w="1559" w:type="dxa"/>
          </w:tcPr>
          <w:p w14:paraId="5DED5107" w14:textId="77777777" w:rsidR="001A662D" w:rsidRPr="00E33AE2" w:rsidRDefault="001A662D" w:rsidP="007C3C71">
            <w:pPr>
              <w:pStyle w:val="Tablecontent"/>
              <w:jc w:val="center"/>
            </w:pPr>
            <w:r w:rsidRPr="00CE29E7">
              <w:t>3.87</w:t>
            </w:r>
          </w:p>
        </w:tc>
        <w:tc>
          <w:tcPr>
            <w:tcW w:w="1276" w:type="dxa"/>
          </w:tcPr>
          <w:p w14:paraId="744A5FBE" w14:textId="77777777" w:rsidR="001A662D" w:rsidRPr="0040503B" w:rsidRDefault="001A662D" w:rsidP="007C3C71">
            <w:pPr>
              <w:pStyle w:val="Tablecontent"/>
              <w:jc w:val="center"/>
            </w:pPr>
            <w:r w:rsidRPr="005F1E77">
              <w:t>8.96</w:t>
            </w:r>
          </w:p>
        </w:tc>
      </w:tr>
      <w:tr w:rsidR="001A662D" w14:paraId="6044F9A9" w14:textId="77777777" w:rsidTr="001A662D">
        <w:trPr>
          <w:jc w:val="center"/>
        </w:trPr>
        <w:tc>
          <w:tcPr>
            <w:tcW w:w="2694" w:type="dxa"/>
          </w:tcPr>
          <w:p w14:paraId="373F9EDB" w14:textId="77777777" w:rsidR="001A662D" w:rsidRPr="00B54820" w:rsidRDefault="001A662D" w:rsidP="007C3C71">
            <w:pPr>
              <w:pStyle w:val="Tablecontent"/>
              <w:rPr>
                <w:i/>
              </w:rPr>
            </w:pPr>
            <w:r w:rsidRPr="00B54820">
              <w:rPr>
                <w:i/>
              </w:rPr>
              <w:t>Columba livia</w:t>
            </w:r>
          </w:p>
        </w:tc>
        <w:tc>
          <w:tcPr>
            <w:tcW w:w="992" w:type="dxa"/>
            <w:tcBorders>
              <w:right w:val="single" w:sz="4" w:space="0" w:color="auto"/>
            </w:tcBorders>
          </w:tcPr>
          <w:p w14:paraId="1EBDFDD8" w14:textId="77777777" w:rsidR="001A662D" w:rsidRPr="00E33AE2" w:rsidRDefault="001A662D" w:rsidP="007C3C71">
            <w:pPr>
              <w:pStyle w:val="Tablecontent"/>
              <w:jc w:val="center"/>
            </w:pPr>
            <w:r w:rsidRPr="00CE29E7">
              <w:t>cliv</w:t>
            </w:r>
          </w:p>
        </w:tc>
        <w:tc>
          <w:tcPr>
            <w:tcW w:w="1134" w:type="dxa"/>
            <w:tcBorders>
              <w:left w:val="single" w:sz="4" w:space="0" w:color="auto"/>
            </w:tcBorders>
          </w:tcPr>
          <w:p w14:paraId="79C0097A" w14:textId="77777777" w:rsidR="001A662D" w:rsidRPr="00E33AE2" w:rsidRDefault="001A662D" w:rsidP="007C3C71">
            <w:pPr>
              <w:pStyle w:val="Tablecontent"/>
              <w:jc w:val="center"/>
            </w:pPr>
            <w:r w:rsidRPr="00CE29E7">
              <w:t>0.59</w:t>
            </w:r>
          </w:p>
        </w:tc>
        <w:tc>
          <w:tcPr>
            <w:tcW w:w="1559" w:type="dxa"/>
          </w:tcPr>
          <w:p w14:paraId="57388E7F" w14:textId="77777777" w:rsidR="001A662D" w:rsidRPr="00E33AE2" w:rsidRDefault="001A662D" w:rsidP="007C3C71">
            <w:pPr>
              <w:pStyle w:val="Tablecontent"/>
              <w:jc w:val="center"/>
            </w:pPr>
            <w:r w:rsidRPr="00CE29E7">
              <w:t>1.06</w:t>
            </w:r>
          </w:p>
        </w:tc>
        <w:tc>
          <w:tcPr>
            <w:tcW w:w="1276" w:type="dxa"/>
          </w:tcPr>
          <w:p w14:paraId="2FBF7DAC" w14:textId="77777777" w:rsidR="001A662D" w:rsidRPr="0040503B" w:rsidRDefault="001A662D" w:rsidP="007C3C71">
            <w:pPr>
              <w:pStyle w:val="Tablecontent"/>
              <w:jc w:val="center"/>
            </w:pPr>
            <w:r w:rsidRPr="005F1E77">
              <w:t>2.54</w:t>
            </w:r>
          </w:p>
        </w:tc>
      </w:tr>
      <w:tr w:rsidR="001A662D" w14:paraId="1898EAF7" w14:textId="77777777" w:rsidTr="001A662D">
        <w:trPr>
          <w:jc w:val="center"/>
        </w:trPr>
        <w:tc>
          <w:tcPr>
            <w:tcW w:w="2694" w:type="dxa"/>
          </w:tcPr>
          <w:p w14:paraId="512AC1DA" w14:textId="77777777" w:rsidR="001A662D" w:rsidRPr="00B54820" w:rsidRDefault="001A662D" w:rsidP="007C3C71">
            <w:pPr>
              <w:pStyle w:val="Tablecontent"/>
              <w:rPr>
                <w:i/>
              </w:rPr>
            </w:pPr>
            <w:r w:rsidRPr="00B54820">
              <w:rPr>
                <w:i/>
              </w:rPr>
              <w:t>Corvus brachyrhynchos</w:t>
            </w:r>
          </w:p>
        </w:tc>
        <w:tc>
          <w:tcPr>
            <w:tcW w:w="992" w:type="dxa"/>
            <w:tcBorders>
              <w:right w:val="single" w:sz="4" w:space="0" w:color="auto"/>
            </w:tcBorders>
          </w:tcPr>
          <w:p w14:paraId="705BB2E4" w14:textId="77777777" w:rsidR="001A662D" w:rsidRPr="00E33AE2" w:rsidRDefault="001A662D" w:rsidP="007C3C71">
            <w:pPr>
              <w:pStyle w:val="Tablecontent"/>
              <w:jc w:val="center"/>
            </w:pPr>
            <w:r w:rsidRPr="00CE29E7">
              <w:t>cbra</w:t>
            </w:r>
          </w:p>
        </w:tc>
        <w:tc>
          <w:tcPr>
            <w:tcW w:w="1134" w:type="dxa"/>
            <w:tcBorders>
              <w:left w:val="single" w:sz="4" w:space="0" w:color="auto"/>
            </w:tcBorders>
          </w:tcPr>
          <w:p w14:paraId="08EAC7D9" w14:textId="77777777" w:rsidR="001A662D" w:rsidRPr="00E33AE2" w:rsidRDefault="001A662D" w:rsidP="007C3C71">
            <w:pPr>
              <w:pStyle w:val="Tablecontent"/>
              <w:jc w:val="center"/>
            </w:pPr>
            <w:r w:rsidRPr="00CE29E7">
              <w:t>1.97</w:t>
            </w:r>
          </w:p>
        </w:tc>
        <w:tc>
          <w:tcPr>
            <w:tcW w:w="1559" w:type="dxa"/>
          </w:tcPr>
          <w:p w14:paraId="32017C6A" w14:textId="77777777" w:rsidR="001A662D" w:rsidRPr="00E33AE2" w:rsidRDefault="001A662D" w:rsidP="007C3C71">
            <w:pPr>
              <w:pStyle w:val="Tablecontent"/>
              <w:jc w:val="center"/>
            </w:pPr>
            <w:r w:rsidRPr="00CE29E7">
              <w:t>4.53</w:t>
            </w:r>
          </w:p>
        </w:tc>
        <w:tc>
          <w:tcPr>
            <w:tcW w:w="1276" w:type="dxa"/>
            <w:shd w:val="clear" w:color="auto" w:fill="FBE4D5" w:themeFill="accent2" w:themeFillTint="33"/>
          </w:tcPr>
          <w:p w14:paraId="7E0ECB44" w14:textId="77777777" w:rsidR="001A662D" w:rsidRPr="0040503B" w:rsidRDefault="001A662D" w:rsidP="007C3C71">
            <w:pPr>
              <w:pStyle w:val="Tablecontent"/>
              <w:jc w:val="center"/>
            </w:pPr>
            <w:r w:rsidRPr="005F1E77">
              <w:t>3.12</w:t>
            </w:r>
          </w:p>
        </w:tc>
      </w:tr>
      <w:tr w:rsidR="001A662D" w14:paraId="66496E5A" w14:textId="77777777" w:rsidTr="001A662D">
        <w:trPr>
          <w:jc w:val="center"/>
        </w:trPr>
        <w:tc>
          <w:tcPr>
            <w:tcW w:w="2694" w:type="dxa"/>
          </w:tcPr>
          <w:p w14:paraId="3D7AB190" w14:textId="77777777" w:rsidR="001A662D" w:rsidRPr="00B54820" w:rsidRDefault="001A662D" w:rsidP="007C3C71">
            <w:pPr>
              <w:pStyle w:val="Tablecontent"/>
              <w:rPr>
                <w:i/>
              </w:rPr>
            </w:pPr>
            <w:r w:rsidRPr="00B54820">
              <w:rPr>
                <w:i/>
              </w:rPr>
              <w:t>Cuculus canorus</w:t>
            </w:r>
          </w:p>
        </w:tc>
        <w:tc>
          <w:tcPr>
            <w:tcW w:w="992" w:type="dxa"/>
            <w:tcBorders>
              <w:right w:val="single" w:sz="4" w:space="0" w:color="auto"/>
            </w:tcBorders>
          </w:tcPr>
          <w:p w14:paraId="26FAC51E" w14:textId="77777777" w:rsidR="001A662D" w:rsidRPr="00E33AE2" w:rsidRDefault="001A662D" w:rsidP="007C3C71">
            <w:pPr>
              <w:pStyle w:val="Tablecontent"/>
              <w:jc w:val="center"/>
            </w:pPr>
            <w:r w:rsidRPr="00CE29E7">
              <w:t>ccan</w:t>
            </w:r>
          </w:p>
        </w:tc>
        <w:tc>
          <w:tcPr>
            <w:tcW w:w="1134" w:type="dxa"/>
            <w:tcBorders>
              <w:left w:val="single" w:sz="4" w:space="0" w:color="auto"/>
            </w:tcBorders>
          </w:tcPr>
          <w:p w14:paraId="7D68E7A3" w14:textId="77777777" w:rsidR="001A662D" w:rsidRPr="00E33AE2" w:rsidRDefault="001A662D" w:rsidP="007C3C71">
            <w:pPr>
              <w:pStyle w:val="Tablecontent"/>
              <w:jc w:val="center"/>
            </w:pPr>
            <w:r w:rsidRPr="00CE29E7">
              <w:t>0.52</w:t>
            </w:r>
          </w:p>
        </w:tc>
        <w:tc>
          <w:tcPr>
            <w:tcW w:w="1559" w:type="dxa"/>
          </w:tcPr>
          <w:p w14:paraId="3C8B4CF4" w14:textId="77777777" w:rsidR="001A662D" w:rsidRPr="00E33AE2" w:rsidRDefault="001A662D" w:rsidP="007C3C71">
            <w:pPr>
              <w:pStyle w:val="Tablecontent"/>
              <w:jc w:val="center"/>
            </w:pPr>
            <w:r w:rsidRPr="00CE29E7">
              <w:t>4.10</w:t>
            </w:r>
          </w:p>
        </w:tc>
        <w:tc>
          <w:tcPr>
            <w:tcW w:w="1276" w:type="dxa"/>
          </w:tcPr>
          <w:p w14:paraId="4714067B" w14:textId="77777777" w:rsidR="001A662D" w:rsidRPr="0040503B" w:rsidRDefault="001A662D" w:rsidP="007C3C71">
            <w:pPr>
              <w:pStyle w:val="Tablecontent"/>
              <w:jc w:val="center"/>
            </w:pPr>
            <w:r w:rsidRPr="005F1E77">
              <w:t>4.54</w:t>
            </w:r>
          </w:p>
        </w:tc>
      </w:tr>
      <w:tr w:rsidR="001A662D" w14:paraId="3B5B1464" w14:textId="77777777" w:rsidTr="001A662D">
        <w:trPr>
          <w:jc w:val="center"/>
        </w:trPr>
        <w:tc>
          <w:tcPr>
            <w:tcW w:w="2694" w:type="dxa"/>
          </w:tcPr>
          <w:p w14:paraId="2A1B7273" w14:textId="77777777" w:rsidR="001A662D" w:rsidRPr="00B54820" w:rsidRDefault="001A662D" w:rsidP="007C3C71">
            <w:pPr>
              <w:pStyle w:val="Tablecontent"/>
              <w:rPr>
                <w:i/>
              </w:rPr>
            </w:pPr>
            <w:r w:rsidRPr="00B54820">
              <w:rPr>
                <w:i/>
              </w:rPr>
              <w:t>Falco peregrinus</w:t>
            </w:r>
          </w:p>
        </w:tc>
        <w:tc>
          <w:tcPr>
            <w:tcW w:w="992" w:type="dxa"/>
            <w:tcBorders>
              <w:right w:val="single" w:sz="4" w:space="0" w:color="auto"/>
            </w:tcBorders>
          </w:tcPr>
          <w:p w14:paraId="7A027400" w14:textId="77777777" w:rsidR="001A662D" w:rsidRPr="00E33AE2" w:rsidRDefault="001A662D" w:rsidP="007C3C71">
            <w:pPr>
              <w:pStyle w:val="Tablecontent"/>
              <w:jc w:val="center"/>
            </w:pPr>
            <w:r w:rsidRPr="00CE29E7">
              <w:t>fper</w:t>
            </w:r>
          </w:p>
        </w:tc>
        <w:tc>
          <w:tcPr>
            <w:tcW w:w="1134" w:type="dxa"/>
            <w:tcBorders>
              <w:left w:val="single" w:sz="4" w:space="0" w:color="auto"/>
            </w:tcBorders>
          </w:tcPr>
          <w:p w14:paraId="4B29161E" w14:textId="77777777" w:rsidR="001A662D" w:rsidRPr="00E33AE2" w:rsidRDefault="001A662D" w:rsidP="007C3C71">
            <w:pPr>
              <w:pStyle w:val="Tablecontent"/>
              <w:jc w:val="center"/>
            </w:pPr>
            <w:r w:rsidRPr="00CE29E7">
              <w:t>1.14</w:t>
            </w:r>
          </w:p>
        </w:tc>
        <w:tc>
          <w:tcPr>
            <w:tcW w:w="1559" w:type="dxa"/>
          </w:tcPr>
          <w:p w14:paraId="024248F4" w14:textId="77777777" w:rsidR="001A662D" w:rsidRPr="00E33AE2" w:rsidRDefault="001A662D" w:rsidP="007C3C71">
            <w:pPr>
              <w:pStyle w:val="Tablecontent"/>
              <w:jc w:val="center"/>
            </w:pPr>
            <w:r w:rsidRPr="00CE29E7">
              <w:t>1.54</w:t>
            </w:r>
          </w:p>
        </w:tc>
        <w:tc>
          <w:tcPr>
            <w:tcW w:w="1276" w:type="dxa"/>
            <w:shd w:val="clear" w:color="auto" w:fill="FBE4D5" w:themeFill="accent2" w:themeFillTint="33"/>
          </w:tcPr>
          <w:p w14:paraId="43F57A21" w14:textId="77777777" w:rsidR="001A662D" w:rsidRPr="0040503B" w:rsidRDefault="001A662D" w:rsidP="007C3C71">
            <w:pPr>
              <w:pStyle w:val="Tablecontent"/>
              <w:jc w:val="center"/>
            </w:pPr>
            <w:r w:rsidRPr="005F1E77">
              <w:t>1.28</w:t>
            </w:r>
          </w:p>
        </w:tc>
      </w:tr>
      <w:tr w:rsidR="001A662D" w14:paraId="2D84DAD7" w14:textId="77777777" w:rsidTr="001A662D">
        <w:trPr>
          <w:jc w:val="center"/>
        </w:trPr>
        <w:tc>
          <w:tcPr>
            <w:tcW w:w="2694" w:type="dxa"/>
          </w:tcPr>
          <w:p w14:paraId="302A06FD" w14:textId="77777777" w:rsidR="001A662D" w:rsidRPr="00B54820" w:rsidRDefault="001A662D" w:rsidP="007C3C71">
            <w:pPr>
              <w:pStyle w:val="Tablecontent"/>
              <w:rPr>
                <w:i/>
              </w:rPr>
            </w:pPr>
            <w:r w:rsidRPr="00B54820">
              <w:rPr>
                <w:i/>
              </w:rPr>
              <w:t>Haliaeetus leucocephalus</w:t>
            </w:r>
          </w:p>
        </w:tc>
        <w:tc>
          <w:tcPr>
            <w:tcW w:w="992" w:type="dxa"/>
            <w:tcBorders>
              <w:right w:val="single" w:sz="4" w:space="0" w:color="auto"/>
            </w:tcBorders>
          </w:tcPr>
          <w:p w14:paraId="575AD666" w14:textId="77777777" w:rsidR="001A662D" w:rsidRPr="00E33AE2" w:rsidRDefault="001A662D" w:rsidP="007C3C71">
            <w:pPr>
              <w:pStyle w:val="Tablecontent"/>
              <w:jc w:val="center"/>
            </w:pPr>
            <w:r w:rsidRPr="00CE29E7">
              <w:t>hleu</w:t>
            </w:r>
          </w:p>
        </w:tc>
        <w:tc>
          <w:tcPr>
            <w:tcW w:w="1134" w:type="dxa"/>
            <w:tcBorders>
              <w:left w:val="single" w:sz="4" w:space="0" w:color="auto"/>
            </w:tcBorders>
          </w:tcPr>
          <w:p w14:paraId="52DFF3A0" w14:textId="77777777" w:rsidR="001A662D" w:rsidRPr="00E33AE2" w:rsidRDefault="001A662D" w:rsidP="007C3C71">
            <w:pPr>
              <w:pStyle w:val="Tablecontent"/>
              <w:jc w:val="center"/>
            </w:pPr>
            <w:r w:rsidRPr="00CE29E7">
              <w:t>1.83</w:t>
            </w:r>
          </w:p>
        </w:tc>
        <w:tc>
          <w:tcPr>
            <w:tcW w:w="1559" w:type="dxa"/>
          </w:tcPr>
          <w:p w14:paraId="74922287" w14:textId="77777777" w:rsidR="001A662D" w:rsidRPr="00E33AE2" w:rsidRDefault="001A662D" w:rsidP="007C3C71">
            <w:pPr>
              <w:pStyle w:val="Tablecontent"/>
              <w:jc w:val="center"/>
            </w:pPr>
            <w:r w:rsidRPr="00CE29E7">
              <w:t>2.67</w:t>
            </w:r>
          </w:p>
        </w:tc>
        <w:tc>
          <w:tcPr>
            <w:tcW w:w="1276" w:type="dxa"/>
            <w:shd w:val="clear" w:color="auto" w:fill="FBE4D5" w:themeFill="accent2" w:themeFillTint="33"/>
          </w:tcPr>
          <w:p w14:paraId="25439A58" w14:textId="77777777" w:rsidR="001A662D" w:rsidRPr="0040503B" w:rsidRDefault="001A662D" w:rsidP="007C3C71">
            <w:pPr>
              <w:pStyle w:val="Tablecontent"/>
              <w:jc w:val="center"/>
            </w:pPr>
            <w:r w:rsidRPr="005F1E77">
              <w:t>1.95</w:t>
            </w:r>
          </w:p>
        </w:tc>
      </w:tr>
      <w:tr w:rsidR="001A662D" w14:paraId="65488B7F" w14:textId="77777777" w:rsidTr="001A662D">
        <w:trPr>
          <w:jc w:val="center"/>
        </w:trPr>
        <w:tc>
          <w:tcPr>
            <w:tcW w:w="2694" w:type="dxa"/>
          </w:tcPr>
          <w:p w14:paraId="5CCC3EC6" w14:textId="77777777" w:rsidR="001A662D" w:rsidRPr="00B54820" w:rsidRDefault="001A662D" w:rsidP="007C3C71">
            <w:pPr>
              <w:pStyle w:val="Tablecontent"/>
              <w:rPr>
                <w:i/>
              </w:rPr>
            </w:pPr>
            <w:r w:rsidRPr="00B54820">
              <w:rPr>
                <w:i/>
              </w:rPr>
              <w:t>Meleagris gallopavo</w:t>
            </w:r>
          </w:p>
        </w:tc>
        <w:tc>
          <w:tcPr>
            <w:tcW w:w="992" w:type="dxa"/>
            <w:tcBorders>
              <w:right w:val="single" w:sz="4" w:space="0" w:color="auto"/>
            </w:tcBorders>
          </w:tcPr>
          <w:p w14:paraId="22911583" w14:textId="77777777" w:rsidR="001A662D" w:rsidRPr="00E33AE2" w:rsidRDefault="001A662D" w:rsidP="007C3C71">
            <w:pPr>
              <w:pStyle w:val="Tablecontent"/>
              <w:jc w:val="center"/>
            </w:pPr>
            <w:r w:rsidRPr="00CE29E7">
              <w:t>mgal</w:t>
            </w:r>
          </w:p>
        </w:tc>
        <w:tc>
          <w:tcPr>
            <w:tcW w:w="1134" w:type="dxa"/>
            <w:tcBorders>
              <w:left w:val="single" w:sz="4" w:space="0" w:color="auto"/>
            </w:tcBorders>
          </w:tcPr>
          <w:p w14:paraId="32F3056D" w14:textId="77777777" w:rsidR="001A662D" w:rsidRPr="00E33AE2" w:rsidRDefault="001A662D" w:rsidP="007C3C71">
            <w:pPr>
              <w:pStyle w:val="Tablecontent"/>
              <w:jc w:val="center"/>
            </w:pPr>
            <w:r w:rsidRPr="00CE29E7">
              <w:t>1.06</w:t>
            </w:r>
          </w:p>
        </w:tc>
        <w:tc>
          <w:tcPr>
            <w:tcW w:w="1559" w:type="dxa"/>
          </w:tcPr>
          <w:p w14:paraId="30240156" w14:textId="77777777" w:rsidR="001A662D" w:rsidRPr="00E33AE2" w:rsidRDefault="001A662D" w:rsidP="007C3C71">
            <w:pPr>
              <w:pStyle w:val="Tablecontent"/>
              <w:jc w:val="center"/>
            </w:pPr>
            <w:r w:rsidRPr="00CE29E7">
              <w:t>1.76</w:t>
            </w:r>
          </w:p>
        </w:tc>
        <w:tc>
          <w:tcPr>
            <w:tcW w:w="1276" w:type="dxa"/>
          </w:tcPr>
          <w:p w14:paraId="705418CE" w14:textId="77777777" w:rsidR="001A662D" w:rsidRPr="0040503B" w:rsidRDefault="001A662D" w:rsidP="007C3C71">
            <w:pPr>
              <w:pStyle w:val="Tablecontent"/>
              <w:jc w:val="center"/>
            </w:pPr>
            <w:r w:rsidRPr="005F1E77">
              <w:t>2.80</w:t>
            </w:r>
          </w:p>
        </w:tc>
      </w:tr>
      <w:tr w:rsidR="001A662D" w14:paraId="2707DD1B" w14:textId="77777777" w:rsidTr="001A662D">
        <w:trPr>
          <w:jc w:val="center"/>
        </w:trPr>
        <w:tc>
          <w:tcPr>
            <w:tcW w:w="2694" w:type="dxa"/>
          </w:tcPr>
          <w:p w14:paraId="2B1C804C" w14:textId="77777777" w:rsidR="001A662D" w:rsidRPr="00B54820" w:rsidRDefault="001A662D" w:rsidP="007C3C71">
            <w:pPr>
              <w:pStyle w:val="Tablecontent"/>
              <w:rPr>
                <w:i/>
              </w:rPr>
            </w:pPr>
            <w:r w:rsidRPr="00B54820">
              <w:rPr>
                <w:i/>
              </w:rPr>
              <w:t>Melopsittacus undulatus</w:t>
            </w:r>
          </w:p>
        </w:tc>
        <w:tc>
          <w:tcPr>
            <w:tcW w:w="992" w:type="dxa"/>
            <w:tcBorders>
              <w:right w:val="single" w:sz="4" w:space="0" w:color="auto"/>
            </w:tcBorders>
          </w:tcPr>
          <w:p w14:paraId="7F72B26E" w14:textId="77777777" w:rsidR="001A662D" w:rsidRPr="00E33AE2" w:rsidRDefault="001A662D" w:rsidP="007C3C71">
            <w:pPr>
              <w:pStyle w:val="Tablecontent"/>
              <w:jc w:val="center"/>
            </w:pPr>
            <w:r w:rsidRPr="00CE29E7">
              <w:t>mund</w:t>
            </w:r>
          </w:p>
        </w:tc>
        <w:tc>
          <w:tcPr>
            <w:tcW w:w="1134" w:type="dxa"/>
            <w:tcBorders>
              <w:left w:val="single" w:sz="4" w:space="0" w:color="auto"/>
            </w:tcBorders>
          </w:tcPr>
          <w:p w14:paraId="6E342975" w14:textId="77777777" w:rsidR="001A662D" w:rsidRPr="00E33AE2" w:rsidRDefault="001A662D" w:rsidP="007C3C71">
            <w:pPr>
              <w:pStyle w:val="Tablecontent"/>
              <w:jc w:val="center"/>
            </w:pPr>
            <w:r w:rsidRPr="00CE29E7">
              <w:t>1.52</w:t>
            </w:r>
          </w:p>
        </w:tc>
        <w:tc>
          <w:tcPr>
            <w:tcW w:w="1559" w:type="dxa"/>
          </w:tcPr>
          <w:p w14:paraId="62276550" w14:textId="77777777" w:rsidR="001A662D" w:rsidRPr="00E33AE2" w:rsidRDefault="001A662D" w:rsidP="007C3C71">
            <w:pPr>
              <w:pStyle w:val="Tablecontent"/>
              <w:jc w:val="center"/>
            </w:pPr>
            <w:r w:rsidRPr="00CE29E7">
              <w:t>2.03</w:t>
            </w:r>
          </w:p>
        </w:tc>
        <w:tc>
          <w:tcPr>
            <w:tcW w:w="1276" w:type="dxa"/>
          </w:tcPr>
          <w:p w14:paraId="1C6698FD" w14:textId="77777777" w:rsidR="001A662D" w:rsidRPr="0040503B" w:rsidRDefault="001A662D" w:rsidP="007C3C71">
            <w:pPr>
              <w:pStyle w:val="Tablecontent"/>
              <w:jc w:val="center"/>
            </w:pPr>
            <w:r w:rsidRPr="005F1E77">
              <w:t>4.22</w:t>
            </w:r>
          </w:p>
        </w:tc>
      </w:tr>
      <w:tr w:rsidR="001A662D" w14:paraId="1EBF9EE6" w14:textId="77777777" w:rsidTr="001A662D">
        <w:trPr>
          <w:jc w:val="center"/>
        </w:trPr>
        <w:tc>
          <w:tcPr>
            <w:tcW w:w="2694" w:type="dxa"/>
          </w:tcPr>
          <w:p w14:paraId="73BA1B50" w14:textId="77777777" w:rsidR="001A662D" w:rsidRPr="00B54820" w:rsidRDefault="001A662D" w:rsidP="007C3C71">
            <w:pPr>
              <w:pStyle w:val="Tablecontent"/>
              <w:rPr>
                <w:i/>
              </w:rPr>
            </w:pPr>
            <w:r w:rsidRPr="00B54820">
              <w:rPr>
                <w:i/>
              </w:rPr>
              <w:t>Pelecanus crispus</w:t>
            </w:r>
          </w:p>
        </w:tc>
        <w:tc>
          <w:tcPr>
            <w:tcW w:w="992" w:type="dxa"/>
            <w:tcBorders>
              <w:right w:val="single" w:sz="4" w:space="0" w:color="auto"/>
            </w:tcBorders>
          </w:tcPr>
          <w:p w14:paraId="45B6C958" w14:textId="77777777" w:rsidR="001A662D" w:rsidRPr="00E33AE2" w:rsidRDefault="001A662D" w:rsidP="007C3C71">
            <w:pPr>
              <w:pStyle w:val="Tablecontent"/>
              <w:jc w:val="center"/>
            </w:pPr>
            <w:r w:rsidRPr="00CE29E7">
              <w:t>pcri</w:t>
            </w:r>
          </w:p>
        </w:tc>
        <w:tc>
          <w:tcPr>
            <w:tcW w:w="1134" w:type="dxa"/>
            <w:tcBorders>
              <w:left w:val="single" w:sz="4" w:space="0" w:color="auto"/>
            </w:tcBorders>
          </w:tcPr>
          <w:p w14:paraId="1057036C" w14:textId="77777777" w:rsidR="001A662D" w:rsidRPr="00E33AE2" w:rsidRDefault="001A662D" w:rsidP="007C3C71">
            <w:pPr>
              <w:pStyle w:val="Tablecontent"/>
              <w:jc w:val="center"/>
            </w:pPr>
            <w:r w:rsidRPr="00CE29E7">
              <w:t>1.73</w:t>
            </w:r>
          </w:p>
        </w:tc>
        <w:tc>
          <w:tcPr>
            <w:tcW w:w="1559" w:type="dxa"/>
          </w:tcPr>
          <w:p w14:paraId="752B0087" w14:textId="77777777" w:rsidR="001A662D" w:rsidRPr="00E33AE2" w:rsidRDefault="001A662D" w:rsidP="007C3C71">
            <w:pPr>
              <w:pStyle w:val="Tablecontent"/>
              <w:jc w:val="center"/>
            </w:pPr>
            <w:r w:rsidRPr="00CE29E7">
              <w:t>3.53</w:t>
            </w:r>
          </w:p>
        </w:tc>
        <w:tc>
          <w:tcPr>
            <w:tcW w:w="1276" w:type="dxa"/>
            <w:shd w:val="clear" w:color="auto" w:fill="FBE4D5" w:themeFill="accent2" w:themeFillTint="33"/>
          </w:tcPr>
          <w:p w14:paraId="0DC02106" w14:textId="77777777" w:rsidR="001A662D" w:rsidRPr="0040503B" w:rsidRDefault="001A662D" w:rsidP="007C3C71">
            <w:pPr>
              <w:pStyle w:val="Tablecontent"/>
              <w:jc w:val="center"/>
            </w:pPr>
            <w:r w:rsidRPr="005F1E77">
              <w:t>3.00</w:t>
            </w:r>
          </w:p>
        </w:tc>
      </w:tr>
      <w:tr w:rsidR="001A662D" w14:paraId="3BB0A36D" w14:textId="77777777" w:rsidTr="001A662D">
        <w:trPr>
          <w:jc w:val="center"/>
        </w:trPr>
        <w:tc>
          <w:tcPr>
            <w:tcW w:w="2694" w:type="dxa"/>
          </w:tcPr>
          <w:p w14:paraId="383FAE7A" w14:textId="77777777" w:rsidR="001A662D" w:rsidRPr="00B54820" w:rsidRDefault="001A662D" w:rsidP="007C3C71">
            <w:pPr>
              <w:pStyle w:val="Tablecontent"/>
              <w:rPr>
                <w:i/>
              </w:rPr>
            </w:pPr>
            <w:r w:rsidRPr="00B54820">
              <w:rPr>
                <w:i/>
              </w:rPr>
              <w:t>Picoides pubescens</w:t>
            </w:r>
          </w:p>
        </w:tc>
        <w:tc>
          <w:tcPr>
            <w:tcW w:w="992" w:type="dxa"/>
            <w:tcBorders>
              <w:right w:val="single" w:sz="4" w:space="0" w:color="auto"/>
            </w:tcBorders>
          </w:tcPr>
          <w:p w14:paraId="7E155EC0" w14:textId="77777777" w:rsidR="001A662D" w:rsidRPr="00E33AE2" w:rsidRDefault="001A662D" w:rsidP="007C3C71">
            <w:pPr>
              <w:pStyle w:val="Tablecontent"/>
              <w:jc w:val="center"/>
            </w:pPr>
            <w:r w:rsidRPr="00CE29E7">
              <w:t>ppub</w:t>
            </w:r>
          </w:p>
        </w:tc>
        <w:tc>
          <w:tcPr>
            <w:tcW w:w="1134" w:type="dxa"/>
            <w:tcBorders>
              <w:left w:val="single" w:sz="4" w:space="0" w:color="auto"/>
            </w:tcBorders>
          </w:tcPr>
          <w:p w14:paraId="14E0E330" w14:textId="77777777" w:rsidR="001A662D" w:rsidRPr="00E33AE2" w:rsidRDefault="001A662D" w:rsidP="007C3C71">
            <w:pPr>
              <w:pStyle w:val="Tablecontent"/>
              <w:jc w:val="center"/>
            </w:pPr>
            <w:r w:rsidRPr="00CE29E7">
              <w:t>0.59</w:t>
            </w:r>
          </w:p>
        </w:tc>
        <w:tc>
          <w:tcPr>
            <w:tcW w:w="1559" w:type="dxa"/>
          </w:tcPr>
          <w:p w14:paraId="12787099" w14:textId="77777777" w:rsidR="001A662D" w:rsidRPr="00E33AE2" w:rsidRDefault="001A662D" w:rsidP="007C3C71">
            <w:pPr>
              <w:pStyle w:val="Tablecontent"/>
              <w:jc w:val="center"/>
            </w:pPr>
            <w:r w:rsidRPr="00CE29E7">
              <w:t>1.37</w:t>
            </w:r>
          </w:p>
        </w:tc>
        <w:tc>
          <w:tcPr>
            <w:tcW w:w="1276" w:type="dxa"/>
            <w:shd w:val="clear" w:color="auto" w:fill="FBE4D5" w:themeFill="accent2" w:themeFillTint="33"/>
          </w:tcPr>
          <w:p w14:paraId="31844DFD" w14:textId="77777777" w:rsidR="001A662D" w:rsidRPr="0040503B" w:rsidRDefault="001A662D" w:rsidP="007C3C71">
            <w:pPr>
              <w:pStyle w:val="Tablecontent"/>
              <w:jc w:val="center"/>
            </w:pPr>
            <w:r w:rsidRPr="005F1E77">
              <w:t>0.94</w:t>
            </w:r>
          </w:p>
        </w:tc>
      </w:tr>
      <w:tr w:rsidR="001A662D" w14:paraId="663CBF38" w14:textId="77777777" w:rsidTr="001A662D">
        <w:trPr>
          <w:jc w:val="center"/>
        </w:trPr>
        <w:tc>
          <w:tcPr>
            <w:tcW w:w="2694" w:type="dxa"/>
          </w:tcPr>
          <w:p w14:paraId="027A4F23" w14:textId="77777777" w:rsidR="001A662D" w:rsidRPr="00B54820" w:rsidRDefault="001A662D" w:rsidP="007C3C71">
            <w:pPr>
              <w:pStyle w:val="Tablecontent"/>
              <w:rPr>
                <w:i/>
              </w:rPr>
            </w:pPr>
            <w:r w:rsidRPr="00B54820">
              <w:rPr>
                <w:i/>
              </w:rPr>
              <w:t>Pterocles gutturalis</w:t>
            </w:r>
          </w:p>
        </w:tc>
        <w:tc>
          <w:tcPr>
            <w:tcW w:w="992" w:type="dxa"/>
            <w:tcBorders>
              <w:right w:val="single" w:sz="4" w:space="0" w:color="auto"/>
            </w:tcBorders>
          </w:tcPr>
          <w:p w14:paraId="293AB095" w14:textId="77777777" w:rsidR="001A662D" w:rsidRPr="00E33AE2" w:rsidRDefault="001A662D" w:rsidP="007C3C71">
            <w:pPr>
              <w:pStyle w:val="Tablecontent"/>
              <w:jc w:val="center"/>
            </w:pPr>
            <w:r w:rsidRPr="00CE29E7">
              <w:t>pgut</w:t>
            </w:r>
          </w:p>
        </w:tc>
        <w:tc>
          <w:tcPr>
            <w:tcW w:w="1134" w:type="dxa"/>
            <w:tcBorders>
              <w:left w:val="single" w:sz="4" w:space="0" w:color="auto"/>
            </w:tcBorders>
          </w:tcPr>
          <w:p w14:paraId="4B9506D1" w14:textId="77777777" w:rsidR="001A662D" w:rsidRPr="00E33AE2" w:rsidRDefault="001A662D" w:rsidP="007C3C71">
            <w:pPr>
              <w:pStyle w:val="Tablecontent"/>
              <w:jc w:val="center"/>
            </w:pPr>
            <w:r w:rsidRPr="00CE29E7">
              <w:t>1.11</w:t>
            </w:r>
          </w:p>
        </w:tc>
        <w:tc>
          <w:tcPr>
            <w:tcW w:w="1559" w:type="dxa"/>
          </w:tcPr>
          <w:p w14:paraId="2F3363BB" w14:textId="77777777" w:rsidR="001A662D" w:rsidRPr="00E33AE2" w:rsidRDefault="001A662D" w:rsidP="007C3C71">
            <w:pPr>
              <w:pStyle w:val="Tablecontent"/>
              <w:jc w:val="center"/>
            </w:pPr>
            <w:r w:rsidRPr="00CE29E7">
              <w:t>4.27</w:t>
            </w:r>
          </w:p>
        </w:tc>
        <w:tc>
          <w:tcPr>
            <w:tcW w:w="1276" w:type="dxa"/>
            <w:shd w:val="clear" w:color="auto" w:fill="FBE4D5" w:themeFill="accent2" w:themeFillTint="33"/>
          </w:tcPr>
          <w:p w14:paraId="6185D4AC" w14:textId="77777777" w:rsidR="001A662D" w:rsidRPr="0040503B" w:rsidRDefault="001A662D" w:rsidP="007C3C71">
            <w:pPr>
              <w:pStyle w:val="Tablecontent"/>
              <w:jc w:val="center"/>
            </w:pPr>
            <w:r w:rsidRPr="005F1E77">
              <w:t>1.26</w:t>
            </w:r>
          </w:p>
        </w:tc>
      </w:tr>
      <w:tr w:rsidR="001A662D" w14:paraId="0A7AFBCE" w14:textId="77777777" w:rsidTr="001A662D">
        <w:trPr>
          <w:jc w:val="center"/>
        </w:trPr>
        <w:tc>
          <w:tcPr>
            <w:tcW w:w="2694" w:type="dxa"/>
          </w:tcPr>
          <w:p w14:paraId="4380C765" w14:textId="77777777" w:rsidR="001A662D" w:rsidRPr="00B54820" w:rsidRDefault="001A662D" w:rsidP="007C3C71">
            <w:pPr>
              <w:pStyle w:val="Tablecontent"/>
              <w:rPr>
                <w:i/>
              </w:rPr>
            </w:pPr>
            <w:r w:rsidRPr="00B54820">
              <w:rPr>
                <w:i/>
              </w:rPr>
              <w:t>Pygoscelis adeliae</w:t>
            </w:r>
          </w:p>
        </w:tc>
        <w:tc>
          <w:tcPr>
            <w:tcW w:w="992" w:type="dxa"/>
            <w:tcBorders>
              <w:right w:val="single" w:sz="4" w:space="0" w:color="auto"/>
            </w:tcBorders>
          </w:tcPr>
          <w:p w14:paraId="3E6E57CA" w14:textId="77777777" w:rsidR="001A662D" w:rsidRPr="00E33AE2" w:rsidRDefault="001A662D" w:rsidP="007C3C71">
            <w:pPr>
              <w:pStyle w:val="Tablecontent"/>
              <w:jc w:val="center"/>
            </w:pPr>
            <w:r w:rsidRPr="00CE29E7">
              <w:t>pade</w:t>
            </w:r>
          </w:p>
        </w:tc>
        <w:tc>
          <w:tcPr>
            <w:tcW w:w="1134" w:type="dxa"/>
            <w:tcBorders>
              <w:left w:val="single" w:sz="4" w:space="0" w:color="auto"/>
            </w:tcBorders>
          </w:tcPr>
          <w:p w14:paraId="2A2AC204" w14:textId="77777777" w:rsidR="001A662D" w:rsidRPr="00E33AE2" w:rsidRDefault="001A662D" w:rsidP="007C3C71">
            <w:pPr>
              <w:pStyle w:val="Tablecontent"/>
              <w:jc w:val="center"/>
            </w:pPr>
            <w:r w:rsidRPr="00CE29E7">
              <w:t>1.28</w:t>
            </w:r>
          </w:p>
        </w:tc>
        <w:tc>
          <w:tcPr>
            <w:tcW w:w="1559" w:type="dxa"/>
          </w:tcPr>
          <w:p w14:paraId="4561E0EE" w14:textId="77777777" w:rsidR="001A662D" w:rsidRPr="00E33AE2" w:rsidRDefault="001A662D" w:rsidP="007C3C71">
            <w:pPr>
              <w:pStyle w:val="Tablecontent"/>
              <w:jc w:val="center"/>
            </w:pPr>
            <w:r w:rsidRPr="00CE29E7">
              <w:t>2.69</w:t>
            </w:r>
          </w:p>
        </w:tc>
        <w:tc>
          <w:tcPr>
            <w:tcW w:w="1276" w:type="dxa"/>
            <w:shd w:val="clear" w:color="auto" w:fill="FBE4D5" w:themeFill="accent2" w:themeFillTint="33"/>
          </w:tcPr>
          <w:p w14:paraId="56FEDD41" w14:textId="77777777" w:rsidR="001A662D" w:rsidRPr="0040503B" w:rsidRDefault="001A662D" w:rsidP="007C3C71">
            <w:pPr>
              <w:pStyle w:val="Tablecontent"/>
              <w:jc w:val="center"/>
            </w:pPr>
            <w:r w:rsidRPr="005F1E77">
              <w:t>1.54</w:t>
            </w:r>
          </w:p>
        </w:tc>
      </w:tr>
      <w:tr w:rsidR="001A662D" w14:paraId="110B2BF4" w14:textId="77777777" w:rsidTr="001A662D">
        <w:trPr>
          <w:jc w:val="center"/>
        </w:trPr>
        <w:tc>
          <w:tcPr>
            <w:tcW w:w="2694" w:type="dxa"/>
          </w:tcPr>
          <w:p w14:paraId="2B1AC49C" w14:textId="77777777" w:rsidR="001A662D" w:rsidRPr="00B54820" w:rsidRDefault="001A662D" w:rsidP="007C3C71">
            <w:pPr>
              <w:pStyle w:val="Tablecontent"/>
              <w:rPr>
                <w:i/>
              </w:rPr>
            </w:pPr>
            <w:r w:rsidRPr="00B54820">
              <w:rPr>
                <w:i/>
              </w:rPr>
              <w:t>Struthio camelus australis</w:t>
            </w:r>
          </w:p>
        </w:tc>
        <w:tc>
          <w:tcPr>
            <w:tcW w:w="992" w:type="dxa"/>
            <w:tcBorders>
              <w:right w:val="single" w:sz="4" w:space="0" w:color="auto"/>
            </w:tcBorders>
          </w:tcPr>
          <w:p w14:paraId="3CF5660B" w14:textId="77777777" w:rsidR="001A662D" w:rsidRPr="00E33AE2" w:rsidRDefault="001A662D" w:rsidP="007C3C71">
            <w:pPr>
              <w:pStyle w:val="Tablecontent"/>
              <w:jc w:val="center"/>
            </w:pPr>
            <w:r w:rsidRPr="00CE29E7">
              <w:t>scam</w:t>
            </w:r>
          </w:p>
        </w:tc>
        <w:tc>
          <w:tcPr>
            <w:tcW w:w="1134" w:type="dxa"/>
            <w:tcBorders>
              <w:left w:val="single" w:sz="4" w:space="0" w:color="auto"/>
            </w:tcBorders>
          </w:tcPr>
          <w:p w14:paraId="2D5897E1" w14:textId="77777777" w:rsidR="001A662D" w:rsidRPr="00E33AE2" w:rsidRDefault="001A662D" w:rsidP="007C3C71">
            <w:pPr>
              <w:pStyle w:val="Tablecontent"/>
              <w:jc w:val="center"/>
            </w:pPr>
            <w:r w:rsidRPr="00CE29E7">
              <w:t>0.17</w:t>
            </w:r>
          </w:p>
        </w:tc>
        <w:tc>
          <w:tcPr>
            <w:tcW w:w="1559" w:type="dxa"/>
          </w:tcPr>
          <w:p w14:paraId="3AC74B16" w14:textId="77777777" w:rsidR="001A662D" w:rsidRPr="00E33AE2" w:rsidRDefault="001A662D" w:rsidP="007C3C71">
            <w:pPr>
              <w:pStyle w:val="Tablecontent"/>
              <w:jc w:val="center"/>
            </w:pPr>
            <w:r w:rsidRPr="00CE29E7">
              <w:t>0.48</w:t>
            </w:r>
          </w:p>
        </w:tc>
        <w:tc>
          <w:tcPr>
            <w:tcW w:w="1276" w:type="dxa"/>
          </w:tcPr>
          <w:p w14:paraId="0A985540" w14:textId="77777777" w:rsidR="001A662D" w:rsidRPr="0040503B" w:rsidRDefault="001A662D" w:rsidP="007C3C71">
            <w:pPr>
              <w:pStyle w:val="Tablecontent"/>
              <w:jc w:val="center"/>
            </w:pPr>
            <w:r w:rsidRPr="005F1E77">
              <w:t>1.09</w:t>
            </w:r>
          </w:p>
        </w:tc>
      </w:tr>
      <w:tr w:rsidR="001A662D" w14:paraId="4A51ADDF" w14:textId="77777777" w:rsidTr="001A662D">
        <w:trPr>
          <w:jc w:val="center"/>
        </w:trPr>
        <w:tc>
          <w:tcPr>
            <w:tcW w:w="2694" w:type="dxa"/>
          </w:tcPr>
          <w:p w14:paraId="74A1EFDA" w14:textId="77777777" w:rsidR="001A662D" w:rsidRPr="00B54820" w:rsidRDefault="001A662D" w:rsidP="007C3C71">
            <w:pPr>
              <w:pStyle w:val="Tablecontent"/>
              <w:rPr>
                <w:i/>
              </w:rPr>
            </w:pPr>
            <w:r w:rsidRPr="00B54820">
              <w:rPr>
                <w:i/>
              </w:rPr>
              <w:t>Taeniopygia guttata</w:t>
            </w:r>
          </w:p>
        </w:tc>
        <w:tc>
          <w:tcPr>
            <w:tcW w:w="992" w:type="dxa"/>
            <w:tcBorders>
              <w:right w:val="single" w:sz="4" w:space="0" w:color="auto"/>
            </w:tcBorders>
          </w:tcPr>
          <w:p w14:paraId="037B7197" w14:textId="77777777" w:rsidR="001A662D" w:rsidRPr="00E33AE2" w:rsidRDefault="001A662D" w:rsidP="007C3C71">
            <w:pPr>
              <w:pStyle w:val="Tablecontent"/>
              <w:jc w:val="center"/>
            </w:pPr>
            <w:r w:rsidRPr="00CE29E7">
              <w:t>tgua</w:t>
            </w:r>
          </w:p>
        </w:tc>
        <w:tc>
          <w:tcPr>
            <w:tcW w:w="1134" w:type="dxa"/>
            <w:tcBorders>
              <w:left w:val="single" w:sz="4" w:space="0" w:color="auto"/>
            </w:tcBorders>
          </w:tcPr>
          <w:p w14:paraId="31C156D8" w14:textId="77777777" w:rsidR="001A662D" w:rsidRPr="00E33AE2" w:rsidRDefault="001A662D" w:rsidP="007C3C71">
            <w:pPr>
              <w:pStyle w:val="Tablecontent"/>
              <w:jc w:val="center"/>
            </w:pPr>
            <w:r w:rsidRPr="00CE29E7">
              <w:t>3.54</w:t>
            </w:r>
          </w:p>
        </w:tc>
        <w:tc>
          <w:tcPr>
            <w:tcW w:w="1559" w:type="dxa"/>
          </w:tcPr>
          <w:p w14:paraId="612D5DA8" w14:textId="77777777" w:rsidR="001A662D" w:rsidRPr="00E33AE2" w:rsidRDefault="001A662D" w:rsidP="007C3C71">
            <w:pPr>
              <w:pStyle w:val="Tablecontent"/>
              <w:jc w:val="center"/>
            </w:pPr>
            <w:r w:rsidRPr="00CE29E7">
              <w:t>4.94</w:t>
            </w:r>
          </w:p>
        </w:tc>
        <w:tc>
          <w:tcPr>
            <w:tcW w:w="1276" w:type="dxa"/>
            <w:shd w:val="clear" w:color="auto" w:fill="FBE4D5" w:themeFill="accent2" w:themeFillTint="33"/>
          </w:tcPr>
          <w:p w14:paraId="246ED0EC" w14:textId="77777777" w:rsidR="001A662D" w:rsidRPr="0040503B" w:rsidRDefault="001A662D" w:rsidP="007C3C71">
            <w:pPr>
              <w:pStyle w:val="Tablecontent"/>
              <w:jc w:val="center"/>
            </w:pPr>
            <w:r w:rsidRPr="005F1E77">
              <w:t>4.50</w:t>
            </w:r>
          </w:p>
        </w:tc>
      </w:tr>
      <w:tr w:rsidR="001A662D" w14:paraId="4A88809F" w14:textId="77777777" w:rsidTr="001A662D">
        <w:trPr>
          <w:jc w:val="center"/>
        </w:trPr>
        <w:tc>
          <w:tcPr>
            <w:tcW w:w="2694" w:type="dxa"/>
          </w:tcPr>
          <w:p w14:paraId="3A88306F" w14:textId="77777777" w:rsidR="001A662D" w:rsidRPr="00B54820" w:rsidRDefault="001A662D" w:rsidP="007C3C71">
            <w:pPr>
              <w:pStyle w:val="Tablecontent"/>
              <w:rPr>
                <w:i/>
              </w:rPr>
            </w:pPr>
            <w:r w:rsidRPr="00B54820">
              <w:rPr>
                <w:i/>
              </w:rPr>
              <w:t>Tinamus guttatus</w:t>
            </w:r>
          </w:p>
        </w:tc>
        <w:tc>
          <w:tcPr>
            <w:tcW w:w="992" w:type="dxa"/>
            <w:tcBorders>
              <w:right w:val="single" w:sz="4" w:space="0" w:color="auto"/>
            </w:tcBorders>
          </w:tcPr>
          <w:p w14:paraId="15B6E5CC" w14:textId="77777777" w:rsidR="001A662D" w:rsidRPr="00E33AE2" w:rsidRDefault="001A662D" w:rsidP="007C3C71">
            <w:pPr>
              <w:pStyle w:val="Tablecontent"/>
              <w:jc w:val="center"/>
            </w:pPr>
            <w:r w:rsidRPr="00CE29E7">
              <w:t>tgus</w:t>
            </w:r>
          </w:p>
        </w:tc>
        <w:tc>
          <w:tcPr>
            <w:tcW w:w="1134" w:type="dxa"/>
            <w:tcBorders>
              <w:left w:val="single" w:sz="4" w:space="0" w:color="auto"/>
            </w:tcBorders>
          </w:tcPr>
          <w:p w14:paraId="249A83ED" w14:textId="77777777" w:rsidR="001A662D" w:rsidRPr="00E33AE2" w:rsidRDefault="001A662D" w:rsidP="007C3C71">
            <w:pPr>
              <w:pStyle w:val="Tablecontent"/>
              <w:jc w:val="center"/>
            </w:pPr>
            <w:r w:rsidRPr="00CE29E7">
              <w:t>0.21</w:t>
            </w:r>
          </w:p>
        </w:tc>
        <w:tc>
          <w:tcPr>
            <w:tcW w:w="1559" w:type="dxa"/>
          </w:tcPr>
          <w:p w14:paraId="56C3D325" w14:textId="77777777" w:rsidR="001A662D" w:rsidRPr="00E33AE2" w:rsidRDefault="001A662D" w:rsidP="007C3C71">
            <w:pPr>
              <w:pStyle w:val="Tablecontent"/>
              <w:jc w:val="center"/>
            </w:pPr>
            <w:r w:rsidRPr="00CE29E7">
              <w:t>0.61</w:t>
            </w:r>
          </w:p>
        </w:tc>
        <w:tc>
          <w:tcPr>
            <w:tcW w:w="1276" w:type="dxa"/>
          </w:tcPr>
          <w:p w14:paraId="31880730" w14:textId="77777777" w:rsidR="001A662D" w:rsidRPr="0040503B" w:rsidRDefault="001A662D" w:rsidP="007C3C71">
            <w:pPr>
              <w:pStyle w:val="Tablecontent"/>
              <w:jc w:val="center"/>
            </w:pPr>
            <w:r w:rsidRPr="005F1E77">
              <w:t>1.46</w:t>
            </w:r>
          </w:p>
        </w:tc>
      </w:tr>
      <w:tr w:rsidR="001A662D" w14:paraId="21BF3849" w14:textId="77777777" w:rsidTr="001A662D">
        <w:trPr>
          <w:jc w:val="center"/>
        </w:trPr>
        <w:tc>
          <w:tcPr>
            <w:tcW w:w="2694" w:type="dxa"/>
            <w:tcBorders>
              <w:bottom w:val="single" w:sz="4" w:space="0" w:color="auto"/>
            </w:tcBorders>
          </w:tcPr>
          <w:p w14:paraId="71BB38D6" w14:textId="77777777" w:rsidR="001A662D" w:rsidRPr="00B54820" w:rsidRDefault="001A662D" w:rsidP="007C3C71">
            <w:pPr>
              <w:pStyle w:val="Tablecontent"/>
              <w:rPr>
                <w:i/>
              </w:rPr>
            </w:pPr>
            <w:r w:rsidRPr="00B54820">
              <w:rPr>
                <w:i/>
              </w:rPr>
              <w:t>Tyto alba</w:t>
            </w:r>
          </w:p>
        </w:tc>
        <w:tc>
          <w:tcPr>
            <w:tcW w:w="992" w:type="dxa"/>
            <w:tcBorders>
              <w:bottom w:val="single" w:sz="4" w:space="0" w:color="auto"/>
              <w:right w:val="single" w:sz="4" w:space="0" w:color="auto"/>
            </w:tcBorders>
          </w:tcPr>
          <w:p w14:paraId="36806B38" w14:textId="77777777" w:rsidR="001A662D" w:rsidRPr="0040503B" w:rsidRDefault="001A662D" w:rsidP="007C3C71">
            <w:pPr>
              <w:pStyle w:val="Tablecontent"/>
              <w:jc w:val="center"/>
            </w:pPr>
            <w:r w:rsidRPr="00CE29E7">
              <w:t>talb</w:t>
            </w:r>
          </w:p>
        </w:tc>
        <w:tc>
          <w:tcPr>
            <w:tcW w:w="1134" w:type="dxa"/>
            <w:tcBorders>
              <w:left w:val="single" w:sz="4" w:space="0" w:color="auto"/>
              <w:bottom w:val="single" w:sz="4" w:space="0" w:color="auto"/>
            </w:tcBorders>
          </w:tcPr>
          <w:p w14:paraId="779E1862" w14:textId="77777777" w:rsidR="001A662D" w:rsidRPr="0040503B" w:rsidRDefault="001A662D" w:rsidP="007C3C71">
            <w:pPr>
              <w:pStyle w:val="Tablecontent"/>
              <w:jc w:val="center"/>
            </w:pPr>
            <w:r w:rsidRPr="00CE29E7">
              <w:t>1.51</w:t>
            </w:r>
          </w:p>
        </w:tc>
        <w:tc>
          <w:tcPr>
            <w:tcW w:w="1559" w:type="dxa"/>
            <w:tcBorders>
              <w:bottom w:val="single" w:sz="4" w:space="0" w:color="auto"/>
            </w:tcBorders>
          </w:tcPr>
          <w:p w14:paraId="071A6E07" w14:textId="77777777" w:rsidR="001A662D" w:rsidRPr="0040503B" w:rsidRDefault="001A662D" w:rsidP="007C3C71">
            <w:pPr>
              <w:pStyle w:val="Tablecontent"/>
              <w:jc w:val="center"/>
            </w:pPr>
            <w:r w:rsidRPr="00CE29E7">
              <w:t>2.67</w:t>
            </w:r>
          </w:p>
        </w:tc>
        <w:tc>
          <w:tcPr>
            <w:tcW w:w="1276" w:type="dxa"/>
            <w:tcBorders>
              <w:bottom w:val="single" w:sz="4" w:space="0" w:color="auto"/>
            </w:tcBorders>
            <w:shd w:val="clear" w:color="auto" w:fill="FBE4D5" w:themeFill="accent2" w:themeFillTint="33"/>
          </w:tcPr>
          <w:p w14:paraId="1BFBB0ED" w14:textId="77777777" w:rsidR="001A662D" w:rsidRPr="00067E9D" w:rsidRDefault="001A662D" w:rsidP="007C3C71">
            <w:pPr>
              <w:pStyle w:val="Tablecontent"/>
              <w:jc w:val="center"/>
            </w:pPr>
            <w:r w:rsidRPr="005F1E77">
              <w:t>1.56</w:t>
            </w:r>
          </w:p>
        </w:tc>
      </w:tr>
    </w:tbl>
    <w:p w14:paraId="6AB88ACE" w14:textId="51523D5E" w:rsidR="006F3A9B" w:rsidRDefault="006F3A9B" w:rsidP="00391005">
      <w:pPr>
        <w:pStyle w:val="ListParagraph"/>
      </w:pPr>
    </w:p>
    <w:p w14:paraId="04E1B0E3" w14:textId="2F023B47" w:rsidR="001A662D" w:rsidRDefault="00AF071A" w:rsidP="00391005">
      <w:pPr>
        <w:pStyle w:val="ListParagraph"/>
      </w:pPr>
      <w:r>
        <w:lastRenderedPageBreak/>
        <w:t>These findings do not undermine the general results presented as part o</w:t>
      </w:r>
      <w:r w:rsidR="00982F0D">
        <w:t xml:space="preserve">f my paper published last year </w:t>
      </w:r>
      <w:r w:rsidR="00982F0D">
        <w:fldChar w:fldCharType="begin" w:fldLock="1"/>
      </w:r>
      <w:r w:rsidR="003C26C8">
        <w:instrText>ADDIN CSL_CITATION { "citationItems" : [ { "id" : "ITEM-1", "itemData" : { "DOI" : "10.1186/s12864-016-3043-1", "ISSN" : "1471-2164", "PMID" : "27577548", "author" : [ { "dropping-particle" : "", "family" : "Mason", "given" : "Andrew S.", "non-dropping-particle" : "", "parse-names" : false, "suffix" : "" }, { "dropping-particle" : "", "family" : "Fulton", "given" : "Janet E.", "non-dropping-particle" : "", "parse-names" : false, "suffix" : "" }, { "dropping-particle" : "", "family" : "Hocking", "given" : "Paul M.", "non-dropping-particle" : "", "parse-names" : false, "suffix" : "" }, { "dropping-particle" : "", "family" : "Burt", "given" : "David W.", "non-dropping-particle" : "", "parse-names" : false, "suffix" : "" } ], "container-title" : "BMC Genomics", "id" : "ITEM-1", "issue" : "1", "issued" : { "date-parts" : [ [ "2016" ] ] }, "page" : "688", "publisher" : "BMC Genomics", "title" : "A new look at the LTR retrotransposon content of the chicken genome", "type" : "article-journal", "volume" : "17" }, "uris" : [ "http://www.mendeley.com/documents/?uuid=50d1cb38-1fc0-48ac-98ad-d43df46d7782" ] } ], "mendeley" : { "formattedCitation" : "(Mason et al. 2016)", "plainTextFormattedCitation" : "(Mason et al. 2016)", "previouslyFormattedCitation" : "(Mason et al. 2016)" }, "properties" : { "noteIndex" : 0 }, "schema" : "https://github.com/citation-style-language/schema/raw/master/csl-citation.json" }</w:instrText>
      </w:r>
      <w:r w:rsidR="00982F0D">
        <w:fldChar w:fldCharType="separate"/>
      </w:r>
      <w:r w:rsidR="00982F0D" w:rsidRPr="00982F0D">
        <w:rPr>
          <w:noProof/>
        </w:rPr>
        <w:t>(Mason et al. 2016)</w:t>
      </w:r>
      <w:r w:rsidR="00982F0D">
        <w:fldChar w:fldCharType="end"/>
      </w:r>
      <w:r>
        <w:t>, but they do highlight the need for strict filtering of LINE elements during annotation of LTR retrotransposons. Even under the stricter filtering used in LocaTR, identi</w:t>
      </w:r>
      <w:r w:rsidR="00C4330D">
        <w:t>fication of CR1 elements remained</w:t>
      </w:r>
      <w:r>
        <w:t xml:space="preserve"> an issue, and further work is needed to reduce the likelihood of false positives without limiting the detection ability of the pipeline.</w:t>
      </w:r>
    </w:p>
    <w:p w14:paraId="0ABF0F5F" w14:textId="77777777" w:rsidR="00A96CEC" w:rsidRDefault="00A96CEC" w:rsidP="00391005">
      <w:pPr>
        <w:pStyle w:val="ListParagraph"/>
      </w:pPr>
    </w:p>
    <w:p w14:paraId="705DEC66" w14:textId="65F08409" w:rsidR="0060481D" w:rsidRDefault="0060481D" w:rsidP="0060481D">
      <w:pPr>
        <w:pStyle w:val="Heading2"/>
      </w:pPr>
      <w:bookmarkStart w:id="301" w:name="_Toc485721614"/>
      <w:bookmarkStart w:id="302" w:name="_Toc486787194"/>
      <w:bookmarkStart w:id="303" w:name="_Toc486787342"/>
      <w:r>
        <w:t>Discussion</w:t>
      </w:r>
      <w:bookmarkEnd w:id="301"/>
      <w:bookmarkEnd w:id="302"/>
      <w:bookmarkEnd w:id="303"/>
    </w:p>
    <w:p w14:paraId="32099EA3" w14:textId="31C54977" w:rsidR="00025B2A" w:rsidRDefault="00D00937" w:rsidP="00D00937">
      <w:pPr>
        <w:pStyle w:val="Heading3"/>
      </w:pPr>
      <w:bookmarkStart w:id="304" w:name="_Toc485721615"/>
      <w:bookmarkStart w:id="305" w:name="_Toc486787195"/>
      <w:bookmarkStart w:id="306" w:name="_Toc486787343"/>
      <w:r>
        <w:t>The LTR retrotransposons of the chicken genome</w:t>
      </w:r>
      <w:bookmarkEnd w:id="304"/>
      <w:bookmarkEnd w:id="305"/>
      <w:bookmarkEnd w:id="306"/>
    </w:p>
    <w:p w14:paraId="2BEA8CF0" w14:textId="3F727C75" w:rsidR="00D00937" w:rsidRDefault="000C4C16" w:rsidP="00391005">
      <w:pPr>
        <w:pStyle w:val="ListParagraph"/>
      </w:pPr>
      <w:r>
        <w:t xml:space="preserve">The LocaTR analysis of the new </w:t>
      </w:r>
      <w:r w:rsidR="00925474">
        <w:t xml:space="preserve">chicken </w:t>
      </w:r>
      <w:r>
        <w:t xml:space="preserve">Galgal5 assembly identified an additional 3.7 Mb of LTR retrotransposon-derived sequence in the genome compared to Galgal4, taking the total content to 35.2 Mb (2.86 % of the genome). </w:t>
      </w:r>
      <w:r w:rsidR="00925474">
        <w:t xml:space="preserve">Overall, this means that the annotated LTR retrotransposon content of the chicken has been doubled during this </w:t>
      </w:r>
      <w:r w:rsidR="003F5F27">
        <w:t xml:space="preserve">PhD </w:t>
      </w:r>
      <w:r w:rsidR="00925474">
        <w:t>project. This includes the identification of 1,295 structurally intact LTR retrotransposons</w:t>
      </w:r>
      <w:r w:rsidR="00A66917">
        <w:t xml:space="preserve"> (222 more than in Galgal4)</w:t>
      </w:r>
      <w:r w:rsidR="00925474">
        <w:t xml:space="preserve">, 40.23 % of which are in clusters unrelated by insertion age or genera. </w:t>
      </w:r>
    </w:p>
    <w:p w14:paraId="48B0376B" w14:textId="5B270E65" w:rsidR="00926418" w:rsidRDefault="00925474" w:rsidP="00391005">
      <w:pPr>
        <w:pStyle w:val="ListParagraph"/>
      </w:pPr>
      <w:r>
        <w:t xml:space="preserve">Compared to Galgal4, </w:t>
      </w:r>
      <w:r w:rsidR="00A66917">
        <w:t xml:space="preserve">the </w:t>
      </w:r>
      <w:r>
        <w:t xml:space="preserve">Galgal5 </w:t>
      </w:r>
      <w:r w:rsidR="00A66917">
        <w:t xml:space="preserve">assembly </w:t>
      </w:r>
      <w:r>
        <w:t>is 183.3 Mb longer, with a ten-fol</w:t>
      </w:r>
      <w:r w:rsidR="00F72399">
        <w:t>d greater contig N50 length, and now includes</w:t>
      </w:r>
      <w:r>
        <w:t xml:space="preserve"> chromosomes 30, 31 and 33, as well as improved assemblies of chromosomes 16, 25 and W </w:t>
      </w:r>
      <w:r>
        <w:fldChar w:fldCharType="begin" w:fldLock="1"/>
      </w:r>
      <w:r w:rsidR="003D1B35">
        <w:instrText>ADDIN CSL_CITATION { "citationItems" : [ { "id" : "ITEM-1", "itemData" : { "DOI" : "10.1534/g3.116.035923", "ISSN" : "2160-1836", "PMID" : "27852011", "abstract" : "The importance of the Gallus gallus (chicken) as a model organism and agricultural animal merits a continuation of sequence assembly improvement efforts. We present a new version of the chicken genome assembly (Gallus_gallus-5.0; GCA_000002315.3) built from combined long single molecule sequencing technology, finished BACs, and improved physical maps. In overall assembled bases, we see a gain of 183 Mb including 16.4 Mb in placed chromosomes with a corresponding gain in the percentage of intact repeat elements characterized. Of the 1.21 Gb genome, we include three previously missing autosomes, GGA30, 31 and 33 and improve sequence contig length 10-fold over the previous Gallus_gallus-4.0. Despite the significant base representation improvements made, 138 Mb of sequence is not yet located to chromosomes. Gallus_gallus-5.0 when annotated for gene content shows an increase of 4,679 annotated genes, 2,768 non-coding and 1,911 protein-coding, over those in Gallus_gallus-4.0. We also revisited the question of what genes are missing in the avian lineage, as assessed by the highest quality avian genome assembly to date, and found that a large fraction of the original set of missing genes are still absent in sequenced bird species. Finally, our new data support a detailed map of MHC-B encompassing two segments; one with a highly stable gene copy number and another in which the gene copy number is highly variable. The chicken model has been a critical resource for many other fields of study, and this new reference assembly will substantially further these efforts.", "author" : [ { "dropping-particle" : "", "family" : "Warren", "given" : "Wesley C", "non-dropping-particle" : "", "parse-names" : false, "suffix" : "" }, { "dropping-particle" : "", "family" : "Hillier", "given" : "LaDeana W", "non-dropping-particle" : "", "parse-names" : false, "suffix" : "" }, { "dropping-particle" : "", "family" : "Tomlinson", "given" : "Chad", "non-dropping-particle" : "", "parse-names" : false, "suffix" : "" }, { "dropping-particle" : "", "family" : "Minx", "given" : "Patrick", "non-dropping-particle" : "", "parse-names" : false, "suffix" : "" }, { "dropping-particle" : "", "family" : "Kremitzki", "given" : "Milinn", "non-dropping-particle" : "", "parse-names" : false, "suffix" : "" }, { "dropping-particle" : "", "family" : "Graves", "given" : "Tina", "non-dropping-particle" : "", "parse-names" : false, "suffix" : "" }, { "dropping-particle" : "", "family" : "Markovic", "given" : "Chris", "non-dropping-particle" : "", "parse-names" : false, "suffix" : "" }, { "dropping-particle" : "", "family" : "Bouk", "given" : "Nathan", "non-dropping-particle" : "", "parse-names" : false, "suffix" : "" }, { "dropping-particle" : "", "family" : "Pruitt", "given" : "Kim D",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"Mansour", "given" : "Tamer A", "non-dropping-particle" : "", "parse-names" : false, "suffix" : "" }, { "dropping-particle" : "", "family" : "Brown", "given" : "C Titus", "non-dropping-particle" : "", "parse-names" : false, "suffix" : "" }, { "dropping-particle" : "", "family" : "Zimin", "given" : "Aleksey", "non-dropping-particle" : "", "parse-names" : false, "suffix" : "" }, { "dropping-particle" : "", "family" : "Hawken", "given" : "Rachel", "non-dropping-particle" : "", "parse-names" : false, "suffix" : "" }, { "dropping-particle" : "", "family" : "Abrahamsen", "given" : "Mitch", "non-dropping-particle" : "", "parse-names" : false, "suffix" : "" }, { "dropping-particle" : "", "family" : "Pyrkosz", "given" : "Alexis B", "non-dropping-particle" : "", "parse-names" : false, "suffix" : "" }, { "dropping-particle" : "", "family" : "Morisson", "given" : "Mireille", "non-dropping-particle" : "", "parse-names" : false, "suffix" : "" }, { "dropping-particle" : "", "family" : "Fillon", "given" : "Valerie", "non-dropping-particle" : "", "parse-names" : false, "suffix" : "" }, { "dropping-particle" : "", "family" : "Vignal", "given" : "Alain", "non-dropping-particle" : "", "parse-names" : false, "suffix" : "" }, { "dropping-particle" : "", "family" : "Chow", "given" : "William", "non-dropping-particle" : "", "parse-names" : false, "suffix" : "" }, { "dropping-particle" : "", "family" : "Howe", "given" : "Kerstin", "non-dropping-particle" : "", "parse-names" : false, "suffix" : "" }, { "dropping-particle" : "", "family" : "Fulton", "given" : "Janet E", "non-dropping-particle" : "", "parse-names" : false, "suffix" : "" }, { "dropping-particle" : "", "family" : "Miller", "given" : "Marcia M", "non-dropping-particle" : "", "parse-names" : false, "suffix" : "" }, { "dropping-particle" : "", "family" : "Lovell", "given" : "Peter", "non-dropping-particle" : "", "parse-names" : false, "suffix" : "" }, { "dropping-particle" : "V", "family" : "Mello", "given" : "Claudio", "non-dropping-particle" : "", "parse-names" : false, "suffix" : "" }, { "dropping-particle" : "", "family" : "Wirthlin", "given" : "Morgan", "non-dropping-particle" : "", "parse-names" : false, "suffix" : "" }, { "dropping-particle" : "", "family" : "Mason", "given" : "Andrew S", "non-dropping-particle" : "", "parse-names" : false, "suffix" : "" }, { "dropping-particle" : "", "family" : "Kuo", "given" : "Richard", "non-dropping-particle" : "", "parse-names" : false, "suffix" : "" }, { "dropping-particle" : "", "family" : "Burt", "given" : "David W", "non-dropping-particle" : "", "parse-names" : false, "suffix" : "" }, { "dropping-particle" : "", "family" : "Dodgson", "given" : "Jerry B", "non-dropping-particle" : "", "parse-names" : false, "suffix" : "" }, { "dropping-particle" : "", "family" : "Cheng", "given" : "Hans H", "non-dropping-particle" : "", "parse-names" : false, "suffix" : "" } ], "container-title" : "G3 (Bethesda, Md.)", "id" : "ITEM-1", "issue" : "January", "issued" : { "date-parts" : [ [ "2017" ] ] }, "page" : "g3.116.035923", "title" : "A New Chicken Genome Assembly Provides Insight into Avian Genome Structure.", "type" : "article-journal", "volume" : "7" }, "uris" : [ "http://www.mendeley.com/documents/?uuid=0333b8f9-3b6f-4eee-aa95-22b74aba53b7" ] } ], "mendeley" : { "formattedCitation" : "(Warren et al. 2017)", "plainTextFormattedCitation" : "(Warren et al. 2017)", "previouslyFormattedCitation" : "(Warren et al. 2017)" }, "properties" : { "noteIndex" : 0 }, "schema" : "https://github.com/citation-style-language/schema/raw/master/csl-citation.json" }</w:instrText>
      </w:r>
      <w:r>
        <w:fldChar w:fldCharType="separate"/>
      </w:r>
      <w:r w:rsidRPr="00925474">
        <w:rPr>
          <w:noProof/>
        </w:rPr>
        <w:t>(Warren et al. 2017)</w:t>
      </w:r>
      <w:r>
        <w:fldChar w:fldCharType="end"/>
      </w:r>
      <w:r>
        <w:t xml:space="preserve">. </w:t>
      </w:r>
      <w:r w:rsidR="00762126">
        <w:t>Given these improvements, and the previously observed effects on repeat annotation between the Galgal3 and Galgal4 assemblies, it was unsurprising that the LTR retrotransposon content was i</w:t>
      </w:r>
      <w:r w:rsidR="00F03E67">
        <w:t>ncreased. However, the totals</w:t>
      </w:r>
      <w:r w:rsidR="00762126">
        <w:t xml:space="preserve"> identified on the macrochromosomes (particularly of SIEs) were lower in Galgal5 than in Galgal4, likely due to repeats collapsing, and unplaced contigs being correctly included. The improved W chromosome assembly counteracted this effect</w:t>
      </w:r>
      <w:r w:rsidR="00F03E67">
        <w:t xml:space="preserve"> with its high repeat content</w:t>
      </w:r>
      <w:r w:rsidR="00762126">
        <w:t>, as did the elevated LTR retrotransposon content observed on the microchromosomes. This created a bimodal relationship between chromosome length and total LTR retrotransposon content, which, in Galgal4, was a simple linear relationship</w:t>
      </w:r>
      <w:r w:rsidR="00F72399">
        <w:t>,</w:t>
      </w:r>
      <w:r w:rsidR="00762126">
        <w:t xml:space="preserve"> where longer chromosomes had higher content. In Galgal5, the macrochromosomes exhibited </w:t>
      </w:r>
      <w:r w:rsidR="00762126">
        <w:lastRenderedPageBreak/>
        <w:t xml:space="preserve">this effect, but this was lost on the microchromosomes, with content independent of chromosome length. </w:t>
      </w:r>
    </w:p>
    <w:p w14:paraId="4170B3B2" w14:textId="1881DD88" w:rsidR="006B6545" w:rsidRDefault="00926418" w:rsidP="00391005">
      <w:pPr>
        <w:pStyle w:val="ListParagraph"/>
      </w:pPr>
      <w:r>
        <w:t>This bimodal result is much more biologically representative than the ‘one model fits all’</w:t>
      </w:r>
      <w:r w:rsidR="006B6545">
        <w:t xml:space="preserve"> Galgal4 result, especially when you consider each integration as an independent event, rather than only looking at the current, total distribution and content. As the macrochromosomes account for a large proportion of the total genome size individually, recurrent independent integrations will accumulate based on the probability of inserting within a sequence of that size. However, for microchromosomes which account for approximately 1 % of the genome each, the number of integrations is largely due to chance. The observation that microchromosome integrations follow a random </w:t>
      </w:r>
      <w:r w:rsidR="008C3D66">
        <w:t xml:space="preserve">distribution relative to genes </w:t>
      </w:r>
      <w:r w:rsidR="006B6545">
        <w:t>is related to this insertion probability</w:t>
      </w:r>
      <w:r w:rsidR="008C3D66">
        <w:t>,</w:t>
      </w:r>
      <w:r w:rsidR="00F72399">
        <w:t xml:space="preserve"> as well as the higher microchromosome gene density</w:t>
      </w:r>
      <w:r w:rsidR="006B6545">
        <w:t>.</w:t>
      </w:r>
    </w:p>
    <w:p w14:paraId="0A162C40" w14:textId="14B05A5B" w:rsidR="000C4C16" w:rsidRDefault="00F72399" w:rsidP="00391005">
      <w:pPr>
        <w:pStyle w:val="ListParagraph"/>
      </w:pPr>
      <w:r>
        <w:t xml:space="preserve">Overall, the distribution of LTR retrotransposons relative to gene features was very similar between the two assemblies, even with the recent augmentation of the annotation file. </w:t>
      </w:r>
      <w:r w:rsidR="003D1B35">
        <w:t>Interestingly,</w:t>
      </w:r>
      <w:r>
        <w:t xml:space="preserve"> seventy-two SIEs significantly overlapped with recently identified lncRNA genes </w:t>
      </w:r>
      <w:r w:rsidR="003D1B35">
        <w:fldChar w:fldCharType="begin" w:fldLock="1"/>
      </w:r>
      <w:r w:rsidR="003D1B35">
        <w:instrText>ADDIN CSL_CITATION { "citationItems" : [ { "id" : "ITEM-1", "itemData" : { "DOI" : "10.1186/s12864-017-3691-9", "ISSN" : "1471-2164", "author" : [ { "dropping-particle" : "", "family" : "Kuo", "given" : "RI", "non-dropping-particle" : "", "parse-names" : false, "suffix" : "" }, { "dropping-particle" : "", "family" : "Tseng", "given" : "E", "non-dropping-particle" : "", "parse-names" : false, "suffix" : "" }, { "dropping-particle" : "", "family" : "Eory", "given" : "L", "non-dropping-particle" : "", "parse-names" : false, "suffix" : "" }, { "dropping-particle" : "", "family" : "Paton", "given" : "IR", "non-dropping-particle" : "", "parse-names" : false, "suffix" : "" }, { "dropping-particle" : "", "family" : "Archibald", "given" : "AL", "non-dropping-particle" : "", "parse-names" : false, "suffix" : "" }, { "dropping-particle" : "", "family" : "Burt", "given" : "DW", "non-dropping-particle" : "", "parse-names" : false, "suffix" : "" } ], "container-title" : "BMC Genomics", "id" : "ITEM-1", "issue" : "323", "issued" : { "date-parts" : [ [ "2017" ] ] }, "page" : "1-19", "publisher" : "BMC Genomics", "title" : "Normalized long-read RNA sequencing in chicken reveals transcriptome complexity similar to human", "type" : "article-journal", "volume" : "18" }, "uris" : [ "http://www.mendeley.com/documents/?uuid=1948590f-a9d1-4ea9-bc2a-52a9154df6c4" ] } ], "mendeley" : { "formattedCitation" : "(Kuo et al. 2017)", "plainTextFormattedCitation" : "(Kuo et al. 2017)", "previouslyFormattedCitation" : "(Kuo et al. 2017)" }, "properties" : { "noteIndex" : 0 }, "schema" : "https://github.com/citation-style-language/schema/raw/master/csl-citation.json" }</w:instrText>
      </w:r>
      <w:r w:rsidR="003D1B35">
        <w:fldChar w:fldCharType="separate"/>
      </w:r>
      <w:r w:rsidR="003D1B35" w:rsidRPr="003D1B35">
        <w:rPr>
          <w:noProof/>
        </w:rPr>
        <w:t>(Kuo et al. 2017)</w:t>
      </w:r>
      <w:r w:rsidR="003D1B35">
        <w:fldChar w:fldCharType="end"/>
      </w:r>
      <w:r>
        <w:t xml:space="preserve">, </w:t>
      </w:r>
      <w:r w:rsidR="003D1B35">
        <w:t>and over half of these were</w:t>
      </w:r>
      <w:r>
        <w:t xml:space="preserve"> SIEs within clusters</w:t>
      </w:r>
      <w:r w:rsidR="003D1B35">
        <w:t>, significantly more than expected by chance</w:t>
      </w:r>
      <w:r>
        <w:t xml:space="preserve">. </w:t>
      </w:r>
      <w:r w:rsidR="003D1B35">
        <w:t>In their Galgal3 analysis of LTR retrotransposons, Bolisetty and colleagues (2012) hypothesised that the clusters had cellular functions, either as conserved cytoskeletal binding regions or sites which promoted recombination. In chapter 3, I instead suggested that these sites were simply regions where insertions had limited negative effects on the hosts, so could be maintained</w:t>
      </w:r>
      <w:r w:rsidR="008C3D66">
        <w:t xml:space="preserve"> and expanded</w:t>
      </w:r>
      <w:r w:rsidR="003D1B35">
        <w:t xml:space="preserve"> over time. </w:t>
      </w:r>
      <w:r w:rsidR="009D4A5F">
        <w:t>Furthermore, absence</w:t>
      </w:r>
      <w:r w:rsidR="003D1B35">
        <w:t xml:space="preserve"> of constrained sites and low recombination </w:t>
      </w:r>
      <w:r w:rsidR="009D4A5F">
        <w:t xml:space="preserve">rates </w:t>
      </w:r>
      <w:r w:rsidR="003D1B35">
        <w:t>in the clusters provided no support for Bolisetty’s hypotheses. However, it is possible that the long-</w:t>
      </w:r>
      <w:r w:rsidR="009D4A5F">
        <w:t>term maintenance of structural</w:t>
      </w:r>
      <w:r w:rsidR="003D1B35">
        <w:t xml:space="preserve"> integrity in the clusters facilitates the co-option of these integrations as cellular lncRNAs. As lncRNAs are gene</w:t>
      </w:r>
      <w:r w:rsidR="003F5F27">
        <w:t>rally species-specific, this may</w:t>
      </w:r>
      <w:r w:rsidR="003D1B35">
        <w:t xml:space="preserve"> explain the functional role of clusters which lack evidence of phylogenetic constraint </w:t>
      </w:r>
      <w:r w:rsidR="003D1B35">
        <w:fldChar w:fldCharType="begin" w:fldLock="1"/>
      </w:r>
      <w:r w:rsidR="001C19A9">
        <w:instrText>ADDIN CSL_CITATION { "citationItems" : [ { "id" : "ITEM-1", "itemData" : { "DOI" : "10.1371/journal.pgen.1003470", "ISSN" : "1553-7404", "PMID" : "23637635", "abstract" : "Advances in vertebrate genomics have uncovered thousands of loci encoding long noncoding RNAs (lncRNAs). While progress has been made in elucidating the regulatory functions of lncRNAs, little is known about their origins and evolution. Here we explore the contribution of transposable elements (TEs) to the makeup and regulation of lncRNAs in human, mouse, and zebrafish. Surprisingly, TEs occur in more than two thirds of mature lncRNA transcripts and account for a substantial portion of total lncRNA sequence (~30% in human), whereas they seldom occur in protein-coding transcripts. While TEs contribute less to lncRNA exons than expected, several TE families are strongly enriched in lncRNAs. There is also substantial interspecific variation in the coverage and types of TEs embedded in lncRNAs, partially reflecting differences in the TE landscapes of the genomes surveyed. In human, TE sequences in lncRNAs evolve under greater evolutionary constraint than their non-TE sequences, than their intronic TEs, or than random DNA. Consistent with functional constraint, we found that TEs contribute signals essential for the biogenesis of many lncRNAs, including ~30,000 unique sites for transcription initiation, splicing, or polyadenylation in human. In addition, we identified ~35,000 TEs marked as open chromatin located within 10 kb upstream of lncRNA genes. The density of these marks in one cell type correlate with elevated expression of the downstream lncRNA in the same cell type, suggesting that these TEs contribute to cis-regulation. These global trends are recapitulated in several lncRNAs with established functions. Finally a subset of TEs embedded in lncRNAs are subject to RNA editing and predicted to form secondary structures likely important for function. In conclusion, TEs are nearly ubiquitous in lncRNAs and have played an important role in the lineage-specific diversification of vertebrate lncRNA repertoires.", "author" : [ { "dropping-particle" : "", "family" : "Kapusta", "given" : "Aur\u00e9lie", "non-dropping-particle" : "", "parse-names" : false, "suffix" : "" }, { "dropping-particle" : "", "family" : "Kronenberg", "given" : "Zev", "non-dropping-particle" : "", "parse-names" : false, "suffix" : "" }, { "dropping-particle" : "", "family" : "Lynch", "given" : "Vincent J", "non-dropping-particle" : "", "parse-names" : false, "suffix" : "" }, { "dropping-particle" : "", "family" : "Zhuo", "given" : "Xiaoyu", "non-dropping-particle" : "", "parse-names" : false, "suffix" : "" }, { "dropping-particle" : "", "family" : "Ramsay", "given" : "LeeAnn", "non-dropping-particle" : "", "parse-names" : false, "suffix" : "" }, { "dropping-particle" : "", "family" : "Bourque", "given" : "Guillaume", "non-dropping-particle" : "", "parse-names" : false, "suffix" : "" }, { "dropping-particle" : "", "family" : "Yandell", "given" : "Mark", "non-dropping-particle" : "", "parse-names" : false, "suffix" : "" }, { "dropping-particle" : "", "family" : "Feschotte", "given" : "C\u00e9dric", "non-dropping-particle" : "", "parse-names" : false, "suffix" : "" } ], "container-title" : "PLoS genetics", "id" : "ITEM-1", "issue" : "4", "issued" : { "date-parts" : [ [ "2013", "4" ] ] }, "page" : "e1003470", "title" : "Transposable elements are major contributors to the origin, diversification, and regulation of vertebrate long noncoding RNAs.", "type" : "article-journal", "volume" : "9" }, "uris" : [ "http://www.mendeley.com/documents/?uuid=ea88d2e5-ef5f-4b0f-a84f-617f7ca660f9" ] }, { "id" : "ITEM-2", "itemData" : { "DOI" : "10.1186/s12864-017-3691-9", "ISSN" : "1471-2164", "author" : [ { "dropping-particle" : "", "family" : "Kuo", "given" : "RI", "non-dropping-particle" : "", "parse-names" : false, "suffix" : "" }, { "dropping-particle" : "", "family" : "Tseng", "given" : "E", "non-dropping-particle" : "", "parse-names" : false, "suffix" : "" }, { "dropping-particle" : "", "family" : "Eory", "given" : "L", "non-dropping-particle" : "", "parse-names" : false, "suffix" : "" }, { "dropping-particle" : "", "family" : "Paton", "given" : "IR", "non-dropping-particle" : "", "parse-names" : false, "suffix" : "" }, { "dropping-particle" : "", "family" : "Archibald", "given" : "AL", "non-dropping-particle" : "", "parse-names" : false, "suffix" : "" }, { "dropping-particle" : "", "family" : "Burt", "given" : "DW", "non-dropping-particle" : "", "parse-names" : false, "suffix" : "" } ], "container-title" : "BMC Genomics", "id" : "ITEM-2", "issue" : "323", "issued" : { "date-parts" : [ [ "2017" ] ] }, "page" : "1-19", "publisher" : "BMC Genomics", "title" : "Normalized long-read RNA sequencing in chicken reveals transcriptome complexity similar to human", "type" : "article-journal", "volume" : "18" }, "uris" : [ "http://www.mendeley.com/documents/?uuid=1948590f-a9d1-4ea9-bc2a-52a9154df6c4" ] } ], "mendeley" : { "formattedCitation" : "(Kapusta et al. 2013; Kuo et al. 2017)", "plainTextFormattedCitation" : "(Kapusta et al. 2013; Kuo et al. 2017)", "previouslyFormattedCitation" : "(Kapusta et al. 2013; Kuo et al. 2017)" }, "properties" : { "noteIndex" : 0 }, "schema" : "https://github.com/citation-style-language/schema/raw/master/csl-citation.json" }</w:instrText>
      </w:r>
      <w:r w:rsidR="003D1B35">
        <w:fldChar w:fldCharType="separate"/>
      </w:r>
      <w:r w:rsidR="003D1B35" w:rsidRPr="003D1B35">
        <w:rPr>
          <w:noProof/>
        </w:rPr>
        <w:t>(Kapusta et al. 2013; Kuo et al. 2017)</w:t>
      </w:r>
      <w:r w:rsidR="003D1B35">
        <w:fldChar w:fldCharType="end"/>
      </w:r>
      <w:r w:rsidR="003D1B35">
        <w:t>.</w:t>
      </w:r>
      <w:r w:rsidR="00DB3AAC">
        <w:t xml:space="preserve"> Further work is needed to fully characterise the cellular effects of these LTR retrotransposon-derived lncRNAs, and it is </w:t>
      </w:r>
      <w:r w:rsidR="009D4A5F">
        <w:t>likely</w:t>
      </w:r>
      <w:r w:rsidR="00DB3AAC">
        <w:t xml:space="preserve"> that some non-SIEs also overlap with lncRNA genes.</w:t>
      </w:r>
    </w:p>
    <w:p w14:paraId="01BA4BF3" w14:textId="2ABF97DC" w:rsidR="00D00937" w:rsidRDefault="00D00937" w:rsidP="00391005">
      <w:pPr>
        <w:pStyle w:val="ListParagraph"/>
      </w:pPr>
    </w:p>
    <w:p w14:paraId="4BEDDFCE" w14:textId="17C4ADEC" w:rsidR="00D00937" w:rsidRDefault="008F7355" w:rsidP="008F7355">
      <w:pPr>
        <w:pStyle w:val="Heading3"/>
      </w:pPr>
      <w:bookmarkStart w:id="307" w:name="_Toc485721616"/>
      <w:bookmarkStart w:id="308" w:name="_Toc486787196"/>
      <w:bookmarkStart w:id="309" w:name="_Toc486787344"/>
      <w:r>
        <w:lastRenderedPageBreak/>
        <w:t>Heterogeneous LTR retrotransposon content across the avian lineage</w:t>
      </w:r>
      <w:bookmarkEnd w:id="307"/>
      <w:bookmarkEnd w:id="308"/>
      <w:bookmarkEnd w:id="309"/>
    </w:p>
    <w:p w14:paraId="4A0C6324" w14:textId="787EF141" w:rsidR="003476F1" w:rsidRDefault="003476F1" w:rsidP="00391005">
      <w:pPr>
        <w:pStyle w:val="ListParagraph"/>
      </w:pPr>
      <w:r>
        <w:t>In birds, the LTR retrotransposon content is highly heterogeneous, ranging from 0.48 % to 4.77 %. In general, the reptilian outgroups had more LTR retrotransposon-derived sequence, although this distinction was lost when content was scaled for genome size. The number of structurally intact elements also varied considerably across the analysed genomes, ranging from 11 to 6,760 (equating to 9.1 SIEs per Gb to 3,757.3 SIEs per Gb when scaled to genome size), and much of this variatio</w:t>
      </w:r>
      <w:r w:rsidR="00BA74AF">
        <w:t xml:space="preserve">n was likely due to </w:t>
      </w:r>
      <w:r w:rsidR="008C3D66">
        <w:t xml:space="preserve">the </w:t>
      </w:r>
      <w:r w:rsidR="00BA74AF">
        <w:t>highly variable</w:t>
      </w:r>
      <w:r>
        <w:t xml:space="preserve"> assembly quality (see below). </w:t>
      </w:r>
    </w:p>
    <w:p w14:paraId="6AEDCB4E" w14:textId="09965F53" w:rsidR="003476F1" w:rsidRDefault="003476F1" w:rsidP="00391005">
      <w:pPr>
        <w:pStyle w:val="ListParagraph"/>
      </w:pPr>
      <w:r>
        <w:t xml:space="preserve">The distribution of genomic content is highly lineage specific, with much of the variation explained by broad taxonomic groupings present at the K/T extinction event approximately 65 million years ago. Representation of species within these groups is not equal, but neither is the extant diversity of these groups. The observed broad phylogenetic effect is reduced in some lineages by very different LTR retrotransposon content values, even between very closely related species. This may be an accurate biological representation of very narrow lineage-specific expansions and contractions, but could </w:t>
      </w:r>
      <w:r w:rsidR="00BA74AF">
        <w:t xml:space="preserve">also be due to issues with the </w:t>
      </w:r>
      <w:r>
        <w:t xml:space="preserve">assembly. Further lineage-specific resolution could be gained through construction of a phylogenetic tree based on multiple sequences and features, although such trees have recently been shown to exhibit a hard polytomy at the base of the Neoaves, corresponding to the rapid superorder diversification after the K/T extinction event </w:t>
      </w:r>
      <w:r>
        <w:fldChar w:fldCharType="begin" w:fldLock="1"/>
      </w:r>
      <w:r w:rsidR="001125DA">
        <w:instrText>ADDIN CSL_CITATION { "citationItems" : [ { "id" : "ITEM-1", "itemData" : { "DOI" : "10.1371/journal.pbio.1002224", "ISSN" : "1545-7885", "PMID" : "26284513", "abstract" : "The diversification of neoavian birds is one of the most rapid adaptive radiations of extant organisms. Recent whole-genome sequence analyses have much improved the resolution of the neoavian radiation and suggest concurrence with the Cretaceous-Paleogene (K-Pg) boundary, yet the causes of the remaining genome-level irresolvabilities appear unclear. Here we show that genome-level analyses of 2,118 retrotransposon presence/absence markers converge at a largely consistent Neoaves phylogeny and detect a highly differential temporal prevalence of incomplete lineage sorting (ILS), i.e., the persistence of ancestral genetic variation as polymorphisms during speciation events. We found that ILS-derived incongruences are spread over the genome and involve 35% and 34% of the analyzed loci on the autosomes and the Z chromosome, respectively. Surprisingly, Neoaves diversification comprises three adaptive radiations, an initial near-K-Pg super-radiation with highly discordant phylogenetic signals from near-simultaneous speciation events, followed by two post-K-Pg radiations of core landbirds and core waterbirds with much less pronounced ILS. We provide evidence that, given the extreme level of up to 100% ILS per branch in super-radiations, particularly rapid speciation events may neither resemble a fully bifurcating tree nor are they resolvable as such. As a consequence, their complex demographic history is more accurately represented as local networks within a species tree.", "author" : [ { "dropping-particle" : "", "family" : "Suh", "given" : "Alexander", "non-dropping-particle" : "", "parse-names" : false, "suffix" : "" }, { "dropping-particle" : "", "family" : "Smeds", "given" : "Linn\u00e9a", "non-dropping-particle" : "", "parse-names" : false, "suffix" : "" }, { "dropping-particle" : "", "family" : "Ellegren", "given" : "Hans", "non-dropping-particle" : "", "parse-names" : false, "suffix" : "" } ], "container-title" : "PLoS biology", "id" : "ITEM-1", "issue" : "8", "issued" : { "date-parts" : [ [ "2015", "8" ] ] }, "page" : "e1002224", "title" : "The Dynamics of Incomplete Lineage Sorting across the Ancient Adaptive Radiation of Neoavian Birds.", "type" : "article-journal", "volume" : "13" }, "uris" : [ "http://www.mendeley.com/documents/?uuid=a622332a-6b4b-4dbd-b803-efc73d686483" ] }, { "id" : "ITEM-2", "itemData" : { "DOI" : "10.1111/zsc.12213", "ISSN" : "14636409", "author" : [ { "dropping-particle" : "", "family" : "Suh", "given" : "Alexander", "non-dropping-particle" : "", "parse-names" : false, "suffix" : "" } ], "container-title" : "Zoologica Scripta", "id" : "ITEM-2", "issue" : "October", "issued" : { "date-parts" : [ [ "2016" ] ] }, "page" : "50-62", "title" : "The phylogenomic forest of bird trees contains a hard polytomy at the root of Neoaves", "type" : "article-journal", "volume" : "45" }, "uris" : [ "http://www.mendeley.com/documents/?uuid=c693cb77-1f94-43e1-94bd-65908eba3671" ] } ], "mendeley" : { "formattedCitation" : "(Suh et al. 2015; Suh 2016)", "plainTextFormattedCitation" : "(Suh et al. 2015; Suh 2016)", "previouslyFormattedCitation" : "(Suh et al. 2015; Suh 2016)" }, "properties" : { "noteIndex" : 0 }, "schema" : "https://github.com/citation-style-language/schema/raw/master/csl-citation.json" }</w:instrText>
      </w:r>
      <w:r>
        <w:fldChar w:fldCharType="separate"/>
      </w:r>
      <w:r w:rsidRPr="003476F1">
        <w:rPr>
          <w:noProof/>
        </w:rPr>
        <w:t>(Suh et al. 2015; Suh 2016)</w:t>
      </w:r>
      <w:r>
        <w:fldChar w:fldCharType="end"/>
      </w:r>
      <w:r>
        <w:t xml:space="preserve">. Further analysis is needed to quantify the specific ERVs responsible for contraction/expansion in each lineage, and to date these periods of potentially rapid genome evolution. </w:t>
      </w:r>
    </w:p>
    <w:p w14:paraId="2C2361B0" w14:textId="5C31939F" w:rsidR="00BA74AF" w:rsidRDefault="001125DA" w:rsidP="00391005">
      <w:pPr>
        <w:pStyle w:val="ListParagraph"/>
      </w:pPr>
      <w:r>
        <w:t xml:space="preserve">The observed heterogeneity of LTR retrotransposon content across the avian lineage does not support the previously proposed hypothesis that there is a deficit of these elements in galliform birds </w:t>
      </w:r>
      <w:r>
        <w:fldChar w:fldCharType="begin" w:fldLock="1"/>
      </w:r>
      <w:r w:rsidR="00C936BA">
        <w:instrText>ADDIN CSL_CITATION { "citationItems" : [ { "id" : "ITEM-1", "itemData" : { "DOI" : "10.1128/mBio.00344-12.Editor", "abstract" : "Endogenous retroviruses (ERVs) were identified and characterized in three avian genomes to gain insight into early retroviral evolution. Using the computer program RetroTector to detect relatively intact ERVs, we identified 500 ERVs in the chicken genome, 150 in the turkey genome, and 1,200 in the zebra finch genome. Previous studies suggested that endogenous alpharetroviruses were present in chicken genomes. In this analysis, a small number of alpharetroviruses were seen in the chicken and turkey genomes; however, these were greatly outnumbered by beta-like, gamma-like, and alphabeta proviruses. While the avian ERVs belonged to the same major groups as mammalian ERVs, they were more heterogeneous. In particular, the beta-like viruses revealed an evolutionary continuum with the gradual acquisition and loss of betaretroviral markers and a tran- sition from beta to alphabeta and then to alpharetroviruses. Thus, it appears that birds may resemble a melting pot for early ERV evolution. Many of the ERVs were integrated in clusters on chromosomes, often near centromeres. About 25% of the chicken ERVs were in or near cellular transcription units; this is nearly random. The majority of these integrations were in the sense ori- entation in introns. A higher-than-random number of integrations were&gt;100 kb from the nearest gene. Deep-sequencing stud- ies of chicken embryo fibroblasts revealed that about 20% of the 500 ERVs were transcribed and translated. A subset of these were also transcribed in vivo in chickens, showing tissue-specific patterns of expression.", "author" : [ { "dropping-particle" : "", "family" : "Bolisetty", "given" : "Mohan", "non-dropping-particle" : "", "parse-names" : false, "suffix" : "" }, { "dropping-particle" : "", "family" : "Blomberg", "given" : "Jonas", "non-dropping-particle" : "", "parse-names" : false, "suffix" : "" }, { "dropping-particle" : "", "family" : "Benachenhou", "given" : "Farid", "non-dropping-particle" : "", "parse-names" : false, "suffix" : "" } ], "container-title" : "MBio", "id" : "ITEM-1", "issue" : "5", "issued" : { "date-parts" : [ [ "2012" ] ] }, "note" : "Chicken (and turkey) have lower ERV density than most vertebrates (inc passerine birds). Alpharetroviruses seem to have evolved from beta-like retrovirsues late in avian evolution. \nLargely random insertion found \u2013 apart from when within 100kb of a transcription unit (these areas are selected against \u2013 presumably due to cis regulatory element conservation etc. Confirms integration near or within genes is likely to be recent integration. Of those near they are mostly within promoter regions or in the introns \u2013 77% of the intron insertion are sense so could alter gene expression (alternative splicing, differential polyadenylation etc.) \nERVs are observed to cluster on the chromosome. Would expect one integration per 2x106 bp \u2013 some of the clusters have seven ERVs in this distance. Clusters found in gene poor areas (40% of ERVs are in clusters) \u2013 no suggestion of clusters arising by duplication (no correlation of age or genera). \nInteresting \u2013 but generalised to all chicken ERVs, not just Ev etc. This means the results of Borisenko et al (2004) may still stand. \n\n\n\n\nSupplementary - http://mbio.asm.org/content/3/5/e00344-12.full.html#sec-17", "title" : "Unexpected Diversity and Expression of Avian Endogenous Retroviruses", "type" : "article-journal", "volume" : "3" }, "uris" : [ "http://www.mendeley.com/documents/?uuid=6793a7b4-dd64-41a3-b149-0c084a6a1748" ] } ], "mendeley" : { "formattedCitation" : "(Bolisetty et al. 2012)", "plainTextFormattedCitation" : "(Bolisetty et al. 2012)", "previouslyFormattedCitation" : "(Bolisetty et al. 2012)" }, "properties" : { "noteIndex" : 0 }, "schema" : "https://github.com/citation-style-language/schema/raw/master/csl-citation.json" }</w:instrText>
      </w:r>
      <w:r>
        <w:fldChar w:fldCharType="separate"/>
      </w:r>
      <w:r w:rsidRPr="001125DA">
        <w:rPr>
          <w:noProof/>
        </w:rPr>
        <w:t>(Bolisetty et al. 2012)</w:t>
      </w:r>
      <w:r>
        <w:fldChar w:fldCharType="end"/>
      </w:r>
      <w:r>
        <w:t xml:space="preserve">. Whilst the </w:t>
      </w:r>
      <w:r w:rsidR="00196FEB">
        <w:t>average content</w:t>
      </w:r>
      <w:r>
        <w:t xml:space="preserve"> in</w:t>
      </w:r>
      <w:r w:rsidR="00196FEB">
        <w:t xml:space="preserve"> the</w:t>
      </w:r>
      <w:r>
        <w:t xml:space="preserve"> galliforms (and the Galloanserae more </w:t>
      </w:r>
      <w:r w:rsidR="00196FEB">
        <w:t>widely) is</w:t>
      </w:r>
      <w:r>
        <w:t xml:space="preserve"> lower than the average values in three other broad taxonomic groupings (the </w:t>
      </w:r>
      <w:r w:rsidRPr="001125DA">
        <w:t>Caprimulgiformes and Otidimorphae, Cursorimorphae and Opisthocomiformes, and Australaves</w:t>
      </w:r>
      <w:r>
        <w:t xml:space="preserve">), there is no consistent pattern to support higher general LTR retrotransposon content in the Neoaves. </w:t>
      </w:r>
    </w:p>
    <w:p w14:paraId="60563836" w14:textId="53CEED99" w:rsidR="00D00937" w:rsidRDefault="001125DA" w:rsidP="00391005">
      <w:pPr>
        <w:pStyle w:val="ListParagraph"/>
      </w:pPr>
      <w:r>
        <w:t xml:space="preserve">Consistent with the literature on wider repeat content </w:t>
      </w:r>
      <w:r>
        <w:fldChar w:fldCharType="begin" w:fldLock="1"/>
      </w:r>
      <w:r>
        <w:instrText>ADDIN CSL_CITATION { "citationItems" : [ { "id" : "ITEM-1", "itemData" : { "DOI" : "10.1111/nyas.13295", "ISBN" : "0077-8923", "ISSN" : "00778923", "author" : [ { "dropping-particle" : "", "family" : "Kapusta", "given" : "Aur\u00e9lie", "non-dropping-particle" : "", "parse-names" : false, "suffix" : "" }, { "dropping-particle" : "", "family" : "Suh", "given" : "Alexander", "non-dropping-particle" : "", "parse-names" : false, "suffix" : "" } ], "container-title" : "Annals of the New York Academy of Sciences", "id" : "ITEM-1", "issued" : { "date-parts" : [ [ "2017" ] ] }, "page" : "164-185", "title" : "Evolution of bird genomes-a transposon's-eye view", "type" : "article-journal", "volume" : "1389" }, "uris" : [ "http://www.mendeley.com/documents/?uuid=d0418c78-accb-41f0-9ecc-c4f757790c0f" ] } ], "mendeley" : { "formattedCitation" : "(Kapusta &amp; Suh 2017)", "plainTextFormattedCitation" : "(Kapusta &amp; Suh 2017)", "previouslyFormattedCitation" : "(Kapusta &amp; Suh 2017)" }, "properties" : { "noteIndex" : 0 }, "schema" : "https://github.com/citation-style-language/schema/raw/master/csl-citation.json" }</w:instrText>
      </w:r>
      <w:r>
        <w:fldChar w:fldCharType="separate"/>
      </w:r>
      <w:r w:rsidRPr="001125DA">
        <w:rPr>
          <w:noProof/>
        </w:rPr>
        <w:t>(Kapusta &amp; Suh 2017)</w:t>
      </w:r>
      <w:r>
        <w:fldChar w:fldCharType="end"/>
      </w:r>
      <w:r>
        <w:t xml:space="preserve">, the Paleognathae exhibit some of the lowest annotated LTR retrotransposon values, despite </w:t>
      </w:r>
      <w:r>
        <w:lastRenderedPageBreak/>
        <w:t xml:space="preserve">having some of the largest avian genomes. </w:t>
      </w:r>
      <w:r w:rsidR="00196FEB">
        <w:t xml:space="preserve">Recently published work by Kapusta and colleagues (2017) related the larger genome sizes in flightless birds (including penguins) to reduced rates of medium and large scale deletions, and the presence of generally </w:t>
      </w:r>
      <w:r w:rsidR="00BA74AF">
        <w:t>older</w:t>
      </w:r>
      <w:r w:rsidR="00196FEB">
        <w:t xml:space="preserve"> transposable elements, rather than increased genome size reflecting new transposable element activity. The results obtained here support these findings, although the LTR retrotransposon content for penguins (afor and pade; </w:t>
      </w:r>
      <w:r w:rsidR="00196FEB">
        <w:fldChar w:fldCharType="begin" w:fldLock="1"/>
      </w:r>
      <w:r w:rsidR="00196FEB">
        <w:instrText xml:space="preserve"> REF _Ref482549943 \h </w:instrText>
      </w:r>
      <w:r w:rsidR="00196FEB">
        <w:fldChar w:fldCharType="separate"/>
      </w:r>
      <w:r w:rsidR="002C549C">
        <w:t xml:space="preserve">Figure </w:t>
      </w:r>
      <w:r w:rsidR="002C549C">
        <w:rPr>
          <w:noProof/>
        </w:rPr>
        <w:t>4</w:t>
      </w:r>
      <w:r w:rsidR="002C549C">
        <w:t>.</w:t>
      </w:r>
      <w:r w:rsidR="002C549C">
        <w:rPr>
          <w:noProof/>
        </w:rPr>
        <w:t>5</w:t>
      </w:r>
      <w:r w:rsidR="00196FEB">
        <w:fldChar w:fldCharType="end"/>
      </w:r>
      <w:r w:rsidR="00196FEB">
        <w:t>) appears representative within its taxonomic group</w:t>
      </w:r>
      <w:r w:rsidR="00BA74AF">
        <w:t>ing</w:t>
      </w:r>
      <w:r w:rsidR="00196FEB">
        <w:t>. However, loss of flight in penguins occurred following the Neoaves diversification</w:t>
      </w:r>
      <w:r w:rsidR="00BA74AF">
        <w:t xml:space="preserve"> (</w:t>
      </w:r>
      <w:r w:rsidR="008C3D66">
        <w:t>t</w:t>
      </w:r>
      <w:r w:rsidR="00BA74AF">
        <w:t>he potential</w:t>
      </w:r>
      <w:r w:rsidR="008C3D66">
        <w:t xml:space="preserve"> time of repeat group expansion</w:t>
      </w:r>
      <w:r w:rsidR="00BA74AF">
        <w:t xml:space="preserve">), and the </w:t>
      </w:r>
      <w:r w:rsidR="00196FEB">
        <w:t xml:space="preserve">penguin genomes exhibit moderate LTR retrotransposon levels </w:t>
      </w:r>
      <w:r w:rsidR="00BA74AF">
        <w:t>with</w:t>
      </w:r>
      <w:r w:rsidR="00196FEB">
        <w:t>in their group, but have</w:t>
      </w:r>
      <w:r w:rsidR="00BA74AF">
        <w:t xml:space="preserve"> relatively contiguous genomes. Again, further characterisation of the representative ERVs and their ages would clarify periods of r</w:t>
      </w:r>
      <w:r w:rsidR="008C3D66">
        <w:t xml:space="preserve">etrotransposon activity and itheir </w:t>
      </w:r>
      <w:r w:rsidR="00BA74AF">
        <w:t xml:space="preserve">potential contribution to genome evolution. </w:t>
      </w:r>
    </w:p>
    <w:p w14:paraId="6A066846" w14:textId="2A191601" w:rsidR="008F7355" w:rsidRDefault="008F7355" w:rsidP="00391005">
      <w:pPr>
        <w:pStyle w:val="ListParagraph"/>
      </w:pPr>
    </w:p>
    <w:p w14:paraId="1F6DEC4C" w14:textId="1FC4577E" w:rsidR="008F7355" w:rsidRDefault="008F7355" w:rsidP="00E92CBE">
      <w:pPr>
        <w:pStyle w:val="Heading4"/>
      </w:pPr>
      <w:r>
        <w:t>The effect of assembly quality on annotated LTR retrotransposon content</w:t>
      </w:r>
    </w:p>
    <w:p w14:paraId="261091DA" w14:textId="0C55C705" w:rsidR="008F7355" w:rsidRDefault="00E92CBE" w:rsidP="00391005">
      <w:pPr>
        <w:pStyle w:val="ListParagraph"/>
      </w:pPr>
      <w:r>
        <w:t>Across the avian genomes, LTR retrotransposon content was not correlated with genome size, but there were positive correlations between the number of identified SIEs and genome assembly contiguity. Identification of few</w:t>
      </w:r>
      <w:r w:rsidR="00D7609C">
        <w:t xml:space="preserve"> SIEs limit</w:t>
      </w:r>
      <w:r>
        <w:t>s the total annotated content directly, but also reduces the additive effect of the secondary BLAST protocol. This effect was evident between chicken genome assemblies, and sister species with markedly different SIE number and total LTR retrotransposon content.</w:t>
      </w:r>
      <w:r w:rsidR="00D7609C">
        <w:t xml:space="preserve"> Due to lineage-specific effects, there was no clear difference in LTR retrotransposon content based purely on genome contiguity, but it was a significant variable in the fitted GLM</w:t>
      </w:r>
      <w:r w:rsidR="00A051C7">
        <w:t>,</w:t>
      </w:r>
      <w:r w:rsidR="00D7609C">
        <w:t xml:space="preserve"> second to the taxonomic grouping. </w:t>
      </w:r>
    </w:p>
    <w:p w14:paraId="7DF317C2" w14:textId="4E60F3C5" w:rsidR="00D7609C" w:rsidRDefault="00E92CBE" w:rsidP="00391005">
      <w:pPr>
        <w:pStyle w:val="ListParagraph"/>
      </w:pPr>
      <w:r>
        <w:t>Many of the analysed genomes were first draft publications based on short read sequencing technology, and consequently exhibited low N50 values</w:t>
      </w:r>
      <w:r w:rsidR="001C19A9">
        <w:t xml:space="preserve"> </w:t>
      </w:r>
      <w:r w:rsidR="001C19A9">
        <w:fldChar w:fldCharType="begin" w:fldLock="1"/>
      </w:r>
      <w:r w:rsidR="001C19A9">
        <w:instrText>ADDIN CSL_CITATION { "citationItems" : [ { "id" : "ITEM-1", "itemData" : { "DOI" : "10.1126/science.1251385", "abstract" : "birds phylogeny bi334", "author" : [ { "dropping-particle" : "", "family" : "Jarvis", "given" : "Erich D", "non-dropping-particle" : "", "parse-names" : false, "suffix" : "" } ], "container-title" : "Science", "id" : "ITEM-1", "issue" : "6215", "issued" : { "date-parts" : [ [ "2014" ] ] }, "page" : "1126-1138", "title" : "Whole-genome analyses resolve early branches in the tree of life of modern birds", "type" : "article-journal", "volume" : "346" }, "uris" : [ "http://www.mendeley.com/documents/?uuid=2b527e6a-3595-42f9-ae80-ae726adb1ae4" ] } ], "mendeley" : { "formattedCitation" : "(Jarvis 2014)", "plainTextFormattedCitation" : "(Jarvis 2014)", "previouslyFormattedCitation" : "(Jarvis 2014)" }, "properties" : { "noteIndex" : 0 }, "schema" : "https://github.com/citation-style-language/schema/raw/master/csl-citation.json" }</w:instrText>
      </w:r>
      <w:r w:rsidR="001C19A9">
        <w:fldChar w:fldCharType="separate"/>
      </w:r>
      <w:r w:rsidR="001C19A9" w:rsidRPr="001C19A9">
        <w:rPr>
          <w:noProof/>
        </w:rPr>
        <w:t>(Jarvis 2014)</w:t>
      </w:r>
      <w:r w:rsidR="001C19A9">
        <w:fldChar w:fldCharType="end"/>
      </w:r>
      <w:r>
        <w:t xml:space="preserve">. </w:t>
      </w:r>
      <w:r w:rsidR="001C19A9">
        <w:t xml:space="preserve">Some of the more recent avian genome sequencing projects (including Japanese quail, great tit, and the Galgal5 assembly) made use of PacBio long read sequencing which generates much more contiguous assemblies. Long read sequencing is now one of a series of tools, including Hi-C (sequencing of sites with chromatin interactions) and BioNano high resolution optic mapping (creation of long physical maps for scaffold joining), which are being implemented to create high quality, contiguous genome assemblies at a fraction of </w:t>
      </w:r>
      <w:r w:rsidR="001C19A9">
        <w:lastRenderedPageBreak/>
        <w:t xml:space="preserve">the cost required for the ‘finishing’ of genomes such as human and mouse </w:t>
      </w:r>
      <w:r w:rsidR="001C19A9">
        <w:fldChar w:fldCharType="begin" w:fldLock="1"/>
      </w:r>
      <w:r w:rsidR="001C19A9">
        <w:instrText>ADDIN CSL_CITATION { "citationItems" : [ { "id" : "ITEM-1", "itemData" : { "DOI" : "10.1038/nature12593", "ISBN" : "1476-4687 (Electronic)\\r0028-0836 (Linking)", "ISSN" : "0028-0836", "PMID" : "24067610", "abstract" : "Large-scale chromosome structure and spatial nuclear arrangement have been linked to control of gene expression and DNA replication and repair. Genomic techniques based on chromosome conformation capture (3C) assess contacts for millions of loci simultaneously, but do so by averaging chromosome conformations from millions of nuclei. Here we introduce single-cell Hi-C, combined with genome-wide statistical analysis and structural modelling of single-copy X chromosomes, to show that individual chromosomes maintain domain organization at the megabase scale, but show variable cell-to-cell chromosome structures at larger scales. Despite this structural stochasticity, localization of active gene domains to boundaries of chromosome territories is a hallmark of chromosomal conformation. Single-cell Hi-C data bridge current gaps between genomics and microscopy studies of chromosomes, demonstrating how modular organization underlies dynamic chromosome structure, and how this structure is probabilistically linked with genome activity patterns.", "author" : [ { "dropping-particle" : "", "family" : "Nagano", "given" : "Takashi", "non-dropping-particle" : "", "parse-names" : false, "suffix" : "" }, { "dropping-particle" : "", "family" : "Lubling", "given" : "Yaniv", "non-dropping-particle" : "", "parse-names" : false, "suffix" : "" }, { "dropping-particle" : "", "family" : "Stevens", "given" : "Tim J.", "non-dropping-particle" : "", "parse-names" : false, "suffix" : "" }, { "dropping-particle" : "", "family" : "Schoenfelder", "given" : "Stefan", "non-dropping-particle" : "", "parse-names" : false, "suffix" : "" }, { "dropping-particle" : "", "family" : "Yaffe", "given" : "Eitan", "non-dropping-particle" : "", "parse-names" : false, "suffix" : "" }, { "dropping-particle" : "", "family" : "Dean", "given" : "Wendy", "non-dropping-particle" : "", "parse-names" : false, "suffix" : "" }, { "dropping-particle" : "", "family" : "Laue", "given" : "Ernest D.", "non-dropping-particle" : "", "parse-names" : false, "suffix" : "" }, { "dropping-particle" : "", "family" : "Tanay", "given" : "Amos", "non-dropping-particle" : "", "parse-names" : false, "suffix" : "" }, { "dropping-particle" : "", "family" : "Fraser", "given" : "Peter", "non-dropping-particle" : "", "parse-names" : false, "suffix" : "" } ], "container-title" : "Nature", "id" : "ITEM-1", "issue" : "7469", "issued" : { "date-parts" : [ [ "2013" ] ] }, "page" : "59-64", "publisher" : "Nature Publishing Group", "title" : "Single-cell Hi-C reveals cell-to-cell variability in chromosome structure", "type" : "article-journal", "volume" : "502" }, "uris" : [ "http://www.mendeley.com/documents/?uuid=4a79ebcb-52f9-4206-8d20-18d9632e22d7" ] }, { "id" : "ITEM-2", "itemData" : { "DOI" : "10.1186/2047-217X-3-34", "ISBN" : "2047-217X", "ISSN" : "2047-217X", "PMID" : "25671094", "abstract" : "Background: Structural variants (SVs) are less common than single nucleotide polymorphisms and indels in the population, but collectively account for a significant fraction of genetic polymorphism and diseases. Base pair differences arising from SVs are on a much higher order (&gt;100 fold) than point mutations; however, none of the current detection methods are comprehensive, and currently available methodologies are incapable of providing sufficient resolution and unambiguous information across complex regions in the human genome. To address these challenges, we applied a high-throughput, cost-effective genome mapping technology to comprehensively discover genome-wide SVs and characterize complex regions of the YH genome using long single molecules (&gt;150 kb) in a global fashion. Results: Utilizing nanochannel-based genome mapping technology, we obtained 708 insertions/deletions and 17 inversions larger than 1 kb. Excluding the 59 SVs (54 insertions/deletions, 5 inversions) that overlap with N-base gaps in the reference assembly hg19, 666 non-gap SVs remained, and 396 of them (60%) were verified by paired-end data from whole-genome sequencing-based re-sequencing or de novo assembly sequence from fosmid data. Of the remaining 270 SVs, 260 are insertions and 213 overlap known SVs in the Database of Genomic Variants. Overall, 609 out of 666 (90%) variants were supported by experimental orthogonal methods or historical evidence in public databases. At the same time, genome mapping also provides valuable information for complex regions with haplotypes in a straightforward fashion. In addition, with long single-molecule labeling patterns, exogenous viral sequences were mapped on a whole-genome scale, and sample heterogeneity was analyzed at a new level. Conclusion: Our study highlights genome mapping technology as a comprehensive and cost-effective method for detecting structural variation and studying complex regions in the human genome, as well as deciphering viral integration into the host genome.", "author" : [ { "dropping-particle" : "", "family" : "Cao", "given" : "Hongzhi", "non-dropping-particle" : "", "parse-names" : false, "suffix" : "" }, { "dropping-particle" : "", "family" : "Hastie", "given" : "Alex R", "non-dropping-particle" : "", "parse-names" : false, "suffix" : "" }, { "dropping-particle" : "", "family" : "Cao", "given" : "Dandan", "non-dropping-particle" : "", "parse-names" : false, "suffix" : "" }, { "dropping-particle" : "", "family" : "Lam", "given" : "Ernest T", "non-dropping-particle" : "", "parse-names" : false, "suffix" : "" }, { "dropping-particle" : "", "family" : "Sun", "given" : "Yuhui", "non-dropping-particle" : "", "parse-names" : false, "suffix" : "" }, { "dropping-particle" : "", "family" : "Huang", "given" : "Haodong", "non-dropping-particle" : "", "parse-names" : false, "suffix" : "" }, { "dropping-particle" : "", "family" : "Liu", "given" : "Xiao", "non-dropping-particle" : "", "parse-names" : false, "suffix" : "" }, { "dropping-particle" : "", "family" : "Lin", "given" : "Liya", "non-dropping-particle" : "", "parse-names" : false, "suffix" : "" }, { "dropping-particle" : "", "family" : "Andrews", "given" : "Warren", "non-dropping-particle" : "", "parse-names" : false, "suffix" : "" }, { "dropping-particle" : "", "family" : "Chan", "given" : "Saki", "non-dropping-particle" : "", "parse-names" : false, "suffix" : "" }, { "dropping-particle" : "", "family" : "Huang", "given" : "Shujia", "non-dropping-particle" : "", "parse-names" : false, "suffix" : "" }, { "dropping-particle" : "", "family" : "Tong", "given" : "Xin", "non-dropping-particle" : "", "parse-names" : false, "suffix" : "" }, { "dropping-particle" : "", "family" : "Requa", "given" : "Michael", "non-dropping-particle" : "", "parse-names" : false, "suffix" : "" }, { "dropping-particle" : "", "family" : "Anantharaman", "given" : "Thomas", "non-dropping-particle" : "", "parse-names" : false, "suffix" : "" }, { "dropping-particle" : "", "family" : "Krogh", "given" : "Anders", "non-dropping-particle" : "", "parse-names" : false, "suffix" : "" }, { "dropping-particle" : "", "family" : "Yang", "given" : "Huanming", "non-dropping-particle" : "", "parse-names" : false, "suffix" : "" }, { "dropping-particle" : "", "family" : "Cao", "given" : "Han", "non-dropping-particle" : "", "parse-names" : false, "suffix" : "" }, { "dropping-particle" : "", "family" : "Xu", "given" : "Xun", "non-dropping-particle" : "", "parse-names" : false, "suffix" : "" } ], "container-title" : "GigaScience", "id" : "ITEM-2", "issue" : "1", "issued" : { "date-parts" : [ [ "2014" ] ] }, "page" : "34", "title" : "Rapid detection of structural variation in a human genome using nanochannel-based genome mapping technology", "type" : "article-journal", "volume" : "3" }, "uris" : [ "http://www.mendeley.com/documents/?uuid=88a65aee-c915-41d6-aa32-337e559208cf" ] }, { "id" : "ITEM-3", "itemData" : { "DOI" : "10.1186/s13742-015-0052-y", "ISSN" : "2047-217X", "PMID" : "25789164", "abstract" : "Optical mapping is a technology that gathers long-range information on genome sequences similar to ordered restriction digest maps. Because it is not subject to cloning, amplification, hybridisation or sequencing bias, it is ideally suited to the improvement of fragmented genome assemblies that can no longer be improved by classical methods. In addition, its low cost and rapid turnaround make it equally useful during the scaffolding process of de novo assembly from high throughput sequencing reads. We describe how optical mapping has been used in practice to produce high quality vertebrate genome assemblies. In particular, we detail the efforts undertaken by the Genome Reference Consortium (GRC), which maintains the reference genomes for human, mouse, zebrafish and chicken, and uses different optical mapping platforms for genome curation.", "author" : [ { "dropping-particle" : "", "family" : "Howe", "given" : "Kerstin", "non-dropping-particle" : "", "parse-names" : false, "suffix" : "" }, { "dropping-particle" : "", "family" : "Wood", "given" : "Jonathan MD", "non-dropping-particle" : "", "parse-names" : false, "suffix" : "" } ], "container-title" : "GigaScience", "id" : "ITEM-3", "issue" : "1", "issued" : { "date-parts" : [ [ "2015" ] ] }, "page" : "10", "title" : "Using optical mapping data for the improvement of vertebrate genome assemblies", "type" : "article-journal", "volume" : "4" }, "uris" : [ "http://www.mendeley.com/documents/?uuid=50e8440a-a72e-4126-a15c-1bfb2d1bad91" ] }, { "id" : "ITEM-4", "itemData" : { "DOI" : "10.1534/genetics.115.183483", "ISBN" : "0115072012", "ISSN" : "19432631", "PMID" : "26510793", "abstract" : "Comprehensive whole genome structural variation detection is challenging with current approaches. With diploid cells as DNA source and the presence of numerous repetitive elements, short read DNA sequencing cannot be used to detect structural variation efficiently. In this report, we show that genome mapping with long, fluorescently labeled DNA molecules imaged on nanochannel arrays can be used for whole genome structural variation detection without sequencing. While whole genome haplotyping is not achieved, local phasing (across &gt;150 kb regions) is routine, as molecules from the parental chromosomes are examined separately. In one experiment, we generated genome maps from a trio from the 1000 Genomes Project, compared the maps against that derived from the reference human genome, and identified structural variation that are &gt;5 kb in size. We find that these individuals have many more structural variants than those published, including some with the potential of disrupting gene function or regulation.", "author" : [ { "dropping-particle" : "", "family" : "Mak", "given" : "Angel C Y", "non-dropping-particle" : "", "parse-names" : false, "suffix" : "" }, { "dropping-particle" : "", "family" : "Lai", "given" : "Yvonne Y Y", "non-dropping-particle" : "", "parse-names" : false, "suffix" : "" }, { "dropping-particle" : "", "family" : "Lam", "given" : "Ernest T.", "non-dropping-particle" : "", "parse-names" : false, "suffix" : "" }, { "dropping-particle" : "", "family" : "Kwok", "given" : "Tsz Piu", "non-dropping-particle" : "", "parse-names" : false, "suffix" : "" }, { "dropping-particle" : "", "family" : "Leung", "given" : "Alden K Y", "non-dropping-particle" : "", "parse-names" : false, "suffix" : "" }, { "dropping-particle" : "", "family" : "Poon", "given" : "Annie", "non-dropping-particle" : "", "parse-names" : false, "suffix" : "" }, { "dropping-particle" : "", "family" : "Mostovoy", "given" : "Yulia", "non-dropping-particle" : "", "parse-names" : false, "suffix" : "" }, { "dropping-particle" : "", "family" : "Hastie", "given" : "Alex R.", "non-dropping-particle" : "", "parse-names" : false, "suffix" : "" }, { "dropping-particle" : "", "family" : "Stedman", "given" : "William", "non-dropping-particle" : "", "parse-names" : false, "suffix" : "" }, { "dropping-particle" : "", "family" : "Anantharaman", "given" : "Thomas", "non-dropping-particle" : "", "parse-names" : false, "suffix" : "" }, { "dropping-particle" : "", "family" : "Andrews", "given" : "Warren", "non-dropping-particle" : "", "parse-names" : false, "suffix" : "" }, { "dropping-particle" : "", "family" : "Zhou", "given" : "Xiang", "non-dropping-particle" : "", "parse-names" : false, "suffix" : "" }, { "dropping-particle" : "", "family" : "Pang", "given" : "Andy W C", "non-dropping-particle" : "", "parse-names" : false, "suffix" : "" }, { "dropping-particle" : "", "family" : "Dai", "given" : "Heng", "non-dropping-particle" : "", "parse-names" : false, "suffix" : "" }, { "dropping-particle" : "", "family" : "Chu", "given" : "Catherine", "non-dropping-particle" : "", "parse-names" : false, "suffix" : "" }, { "dropping-particle" : "", "family" : "Lin", "given" : "Chin", "non-dropping-particle" : "", "parse-names" : false, "suffix" : "" }, { "dropping-particle" : "", "family" : "Wu", "given" : "Jacob J K", "non-dropping-particle" : "", "parse-names" : false, "suffix" : "" }, { "dropping-particle" : "", "family" : "Li", "given" : "Catherine M L", "non-dropping-particle" : "", "parse-names" : false, "suffix" : "" }, { "dropping-particle" : "", "family" : "Li", "given" : "Jing Woei", "non-dropping-particle" : "", "parse-names" : false, "suffix" : "" }, { "dropping-particle" : "", "family" : "Yim", "given" : "Aldrin K Y", "non-dropping-particle" : "", "parse-names" : false, "suffix" : "" }, { "dropping-particle" : "", "family" : "Chan", "given" : "Saki", "non-dropping-particle" : "", "parse-names" : false, "suffix" : "" }, { "dropping-particle" : "", "family" : "Sibert", "given" : "Justin", "non-dropping-particle" : "", "parse-names" : false, "suffix" : "" }, { "dropping-particle" : "", "family" : "D??akula", "given" : "??eljko", "non-dropping-particle" : "", "parse-names" : false, "suffix" : "" }, { "dropping-particle" : "", "family" : "Cao", "given" : "Han", "non-dropping-particle" : "", "parse-names" : false, "suffix" : "" }, { "dropping-particle" : "", "family" : "Yiu", "given" : "Siu Ming", "non-dropping-particle" : "", "parse-names" : false, "suffix" : "" }, { "dropping-particle" : "", "family" : "Chan", "given" : "Ting Fung", "non-dropping-particle" : "", "parse-names" : false, "suffix" : "" }, { "dropping-particle" : "", "family" : "Yip", "given" : "Kevin Y.", "non-dropping-particle" : "", "parse-names" : false, "suffix" : "" }, { "dropping-particle" : "", "family" : "Xiao", "given" : "Ming", "non-dropping-particle" : "", "parse-names" : false, "suffix" : "" }, { "dropping-particle" : "", "family" : "Kwok", "given" : "Pui Yan", "non-dropping-particle" : "", "parse-names" : false, "suffix" : "" } ], "container-title" : "Genetics", "id" : "ITEM-4", "issue" : "1", "issued" : { "date-parts" : [ [ "2016" ] ] }, "page" : "351-362", "title" : "Genome-wide structural variation detection by genome mapping on nanochannel arrays", "type" : "article-journal", "volume" : "202" }, "uris" : [ "http://www.mendeley.com/documents/?uuid=903e887f-337f-4f0a-8b6c-fed55639ad60" ] }, { "id" : "ITEM-5", "itemData" : { "DOI" : "10.1038/ng.3824", "ISSN" : "1061-4036", "author" : [ { "dropping-particle" : "", "family" : "Worley", "given" : "Kim C", "non-dropping-particle" : "", "parse-names" : false, "suffix" : "" } ], "container-title" : "Nature Genetics", "id" : "ITEM-5", "issue" : "4", "issued" : { "date-parts" : [ [ "2017" ] ] }, "page" : "485-486", "publisher" : "Nature Publishing Group", "title" : "A golden goat genome", "type" : "article-journal", "volume" : "49" }, "uris" : [ "http://www.mendeley.com/documents/?uuid=58b042f0-3ea8-4680-9aff-7eb5eecd0f70" ] } ], "mendeley" : { "formattedCitation" : "(Nagano et al. 2013; Cao et al. 2014; Howe &amp; Wood 2015; Mak et al. 2016; Worley 2017)", "plainTextFormattedCitation" : "(Nagano et al. 2013; Cao et al. 2014; Howe &amp; Wood 2015; Mak et al. 2016; Worley 2017)", "previouslyFormattedCitation" : "(Nagano et al. 2013; Cao et al. 2014; Howe &amp; Wood 2015; Mak et al. 2016; Worley 2017)" }, "properties" : { "noteIndex" : 0 }, "schema" : "https://github.com/citation-style-language/schema/raw/master/csl-citation.json" }</w:instrText>
      </w:r>
      <w:r w:rsidR="001C19A9">
        <w:fldChar w:fldCharType="separate"/>
      </w:r>
      <w:r w:rsidR="001C19A9" w:rsidRPr="001C19A9">
        <w:rPr>
          <w:noProof/>
        </w:rPr>
        <w:t>(Nagano et al. 2013; Cao et al. 2014; Howe &amp; Wood 2015; Mak et al. 2016; Worley 2017)</w:t>
      </w:r>
      <w:r w:rsidR="001C19A9">
        <w:fldChar w:fldCharType="end"/>
      </w:r>
      <w:r w:rsidR="001C19A9">
        <w:t xml:space="preserve">. These techniques have recently been used on a diverse range of species to create ‘gold standard’ genomes </w:t>
      </w:r>
      <w:r w:rsidR="001C19A9">
        <w:fldChar w:fldCharType="begin" w:fldLock="1"/>
      </w:r>
      <w:r w:rsidR="00A051C7">
        <w:instrText>ADDIN CSL_CITATION { "citationItems" : [ { "id" : "ITEM-1", "itemData" : { "DOI" : "10.1038/ncomms12065", "ISBN" : "2041-1723 (Electronic)\r2041-1723 (Linking)", "ISSN" : "2041-1723", "PMID" : "27356984", "abstract" : "Short-read sequencing has enabled the de novo assembly of several individual human genomes, but with inherent limitations in characterizing repeat elements. Here we sequence a Chinese individual HX1 by single-molecule real-time (SMRT) long-read sequencing, construct a physical map by NanoChannel arrays and generate a de novo assembly of 2.93[thinsp]Gb (contig N50: 8.3[thinsp]Mb, scaffold N50: 22.0[thinsp]Mb, including 39.3[thinsp]Mb N-bases), together with 206[thinsp]Mb of alternative haplotypes. The assembly fully or partially fills 274 (28.4%) N-gaps in the reference genome GRCh38. Comparison to GRCh38 reveals 12.8[thinsp]Mb of HX1-specific sequences, including 4.1[thinsp]Mb that are not present in previously reported Asian genomes. Furthermore, long-read sequencing of the transcriptome reveals novel spliced genes that are not annotated in GENCODE and are missed by short-read RNA-Seq. Our results imply that improved characterization of genome functional variation may require the use of a range of genomic technologies on diverse human populations.", "author" : [ { "dropping-particle" : "", "family" : "Shi", "given" : "Lingling", "non-dropping-particle" : "", "parse-names" : false, "suffix" : "" }, { "dropping-particle" : "", "family" : "Guo", "given" : "Yunfei", "non-dropping-particle" : "", "parse-names" : false, "suffix" : "" }, { "dropping-particle" : "", "family" : "Dong", "given" : "Chengliang", "non-dropping-particle" : "", "parse-names" : false, "suffix" : "" }, { "dropping-particle" : "", "family" : "Huddleston", "given" : "John", "non-dropping-particle" : "", "parse-names" : false, "suffix" : "" }, { "dropping-particle" : "", "family" : "Yang", "given" : "Hui", "non-dropping-particle" : "", "parse-names" : false, "suffix" : "" }, { "dropping-particle" : "", "family" : "Han", "given" : "Xiaolu", "non-dropping-particle" : "", "parse-names" : false, "suffix" : "" }, { "dropping-particle" : "", "family" : "Fu", "given" : "Aisi", "non-dropping-particle" : "", "parse-names" : false, "suffix" : "" }, { "dropping-particle" : "", "family" : "Li", "given" : "Quan", "non-dropping-particle" : "", "parse-names" : false, "suffix" : "" }, { "dropping-particle" : "", "family" : "Li", "given" : "Na", "non-dropping-particle" : "", "parse-names" : false, "suffix" : "" }, { "dropping-particle" : "", "family" : "Gong", "given" : "Siyi", "non-dropping-particle" : "", "parse-names" : false, "suffix" : "" }, { "dropping-particle" : "", "family" : "Lintner", "given" : "Katherine E.", "non-dropping-particle" : "", "parse-names" : false, "suffix" : "" }, { "dropping-particle" : "", "family" : "Ding", "given" : "Qiong", "non-dropping-particle" : "", "parse-names" : false, "suffix" : "" }, { "dropping-particle" : "", "family" : "Wang", "given" : "Zou", "non-dropping-particle" : "", "parse-names" : false, "suffix" : "" }, { "dropping-particle" : "", "family" : "Hu", "given" : "Jiang", "non-dropping-particle" : "", "parse-names" : false, "suffix" : "" }, { "dropping-particle" : "", "family" : "Wang", "given" : "Depeng", "non-dropping-particle" : "", "parse-names" : false, "suffix" : "" }, { "dropping-particle" : "", "family" : "Wang", "given" : "Feng", "non-dropping-particle" : "", "parse-names" : false, "suffix" : "" }, { "dropping-particle" : "", "family" : "Wang", "given" : "Lin", "non-dropping-particle" : "", "parse-names" : false, "suffix" : "" }, { "dropping-particle" : "", "family" : "Lyon", "given" : "Gholson J.", "non-dropping-particle" : "", "parse-names" : false, "suffix" : "" }, { "dropping-particle" : "", "family" : "Guan", "given" : "Yongtao", "non-dropping-particle" : "", "parse-names" : false, "suffix" : "" }, { "dropping-particle" : "", "family" : "Shen", "given" : "Yufeng", "non-dropping-particle" : "", "parse-names" : false, "suffix" : "" }, { "dropping-particle" : "V.", "family" : "Evgrafov", "given" : "Oleg", "non-dropping-particle" : "", "parse-names" : false, "suffix" : "" }, { "dropping-particle" : "", "family" : "Knowles", "given" : "James A.", "non-dropping-particle" : "", "parse-names" : false, "suffix" : "" }, { "dropping-particle" : "", "family" : "Thibaud-Nissen", "given" : "Francoise", "non-dropping-particle" : "", "parse-names" : false, "suffix" : "" }, { "dropping-particle" : "", "family" : "Schneider", "given" : "Valerie", "non-dropping-particle" : "", "parse-names" : false, "suffix" : "" }, { "dropping-particle" : "", "family" : "Yu", "given" : "Chack-Yung", "non-dropping-particle" : "", "parse-names" : false, "suffix" : "" }, { "dropping-particle" : "", "family" : "Zhou", "given" : "Libing", "non-dropping-particle" : "", "parse-names" : false, "suffix" : "" }, { "dropping-particle" : "", "family" : "Eichler", "given" : "Evan E.", "non-dropping-particle" : "", "parse-names" : false, "suffix" : "" }, { "dropping-particle" : "", "family" : "So", "given" : "Kwok-Fai", "non-dropping-particle" : "", "parse-names" : false, "suffix" : "" }, { "dropping-particle" : "", "family" : "Wang", "given" : "Kai", "non-dropping-particle" : "", "parse-names" : false, "suffix" : "" } ], "container-title" : "Nature Communications", "id" : "ITEM-1", "issue" : "May", "issued" : { "date-parts" : [ [ "2016" ] ] }, "page" : "12065", "title" : "Long-read sequencing and de novo assembly of a Chinese genome", "type" : "article-journal", "volume" : "7" }, "uris" : [ "http://www.mendeley.com/documents/?uuid=333e9d90-ef4f-456d-807e-c33c664fbc41" ] }, { "id" : "ITEM-2", "itemData" : { "DOI" : "10.1038/ng.3802", "ISBN" : "9788578110796", "ISSN" : "1061-4036", "PMID" : "28263316", "abstract" : "Acinetobacter baumannii contains RND-family efflux systems AdeABC and AdeIJK, which pump out a wide range of antimicrobial compounds, as judged from the MIC changes occurring upon deletion of the responsible genes. However, these studies may miss changes because of the high backgrounds generated by the remaining pumps and by \u03b2-lactamases, and it is unclear how the activities of these pumps compare quantitatively with those of the well-studied AcrAB-TolC system of Escherichia coli. We expressed adeABC and adeIJK of A. baumannii, as well as E. coli acrAB, in an E. coli host from which acrAB was deleted. The A. baumannii pumps were functional in E. coli, and the MIC changes that were observed largely confirmed the substrate range already reported, with important differences. Thus, the AdeABC system pumped out all \u03b2-lactams, an activity that was often missed in deletion studies. When the expression level of the pump genes was adjusted to a similar level for a comparison with AcrAB-TolC, we found that both A. baumannii efflux systems pumped out a wide range of compounds, but AdeABC was less effective than AcrAB-TolC in the extrusion of lipophilic \u03b2-lactams, novobiocin, and ethidium bromide, although it was more effective at tetracycline efflux. AdeIJK was remarkably more effective than a similar level of AcrAB-TolC in the efflux of \u03b2-lactams, novobiocin, and ethidium bromide, although it was less so in the efflux of erythromycin. These results thus allow us to compare these efflux systems on a quantitative basis, if we can assume that the heterologous systems are fully functional in the E. coli host.", "author" : [ { "dropping-particle" : "", "family" : "Bickhart", "given" : "Derek M", "non-dropping-particle" : "", "parse-names" : false, "suffix" : "" }, { "dropping-particle" : "", "family" : "Rosen", "given" : "Benjamin D", "non-dropping-particle" : "", "parse-names" : false, "suffix" : "" }, { "dropping-particle" : "", "family" : "Koren", "given" : "Sergey", "non-dropping-particle" : "", "parse-names" : false, "suffix" : "" }, { "dropping-particle" : "", "family" : "Sayre", "given" : "Brian L", "non-dropping-particle" : "", "parse-names" : false, "suffix" : "" }, { "dropping-particle" : "", "family" : "Hastie", "given" : "Alex R", "non-dropping-particle" : "", "parse-names" : false, "suffix" : "" }, { "dropping-particle" : "", "family" : "Chan", "given" : "Saki", "non-dropping-particle" : "", "parse-names" : false, "suffix" : "" }, { "dropping-particle" : "", "family" : "Lee", "given" : "Joyce", "non-dropping-particle" : "", "parse-names" : false, "suffix" : "" }, { "dropping-particle" : "", "family" : "Lam", "given" : "Ernest T", "non-dropping-particle" : "", "parse-names" : false, "suffix" : "" }, { "dropping-particle" : "", "family" : "Liachko", "given" : "Ivan", "non-dropping-particle" : "", "parse-names" : false, "suffix" : "" }, { "dropping-particle" : "", "family" : "Sullivan", "given" : "Shawn T", "non-dropping-particle" : "", "parse-names" : false, "suffix" : "" }, { "dropping-particle" : "", "family" : "Burton", "given" : "Joshua N", "non-dropping-particle" : "", "parse-names" : false, "suffix" : "" }, { "dropping-particle" : "", "family" : "Huson", "given" : "Heather J", "non-dropping-particle" : "", "parse-names" : false, "suffix" : "" }, { "dropping-particle" : "", "family" : "Nystrom", "given" : "John C", "non-dropping-particle" : "", "parse-names" : false, "suffix" : "" }, { "dropping-particle" : "", "family" : "Kelley", "given" : "Christy M", "non-dropping-particle" : "", "parse-names" : false, "suffix" : "" }, { "dropping-particle" : "", "family" : "Hutchison", "given" : "Jana L", "non-dropping-particle" : "", "parse-names" : false, "suffix" : "" }, { "dropping-particle" : "", "family" : "Zhou", "given" : "Yang", "non-dropping-particle" : "", "parse-names" : false, "suffix" : "" }, { "dropping-particle" : "", "family" : "Sun", "given" : "Jiajie", "non-dropping-particle" : "", "parse-names" : false, "suffix" : "" }, { "dropping-particle" : "", "family" : "Cris\u00e0", "given" : "Alessandra", "non-dropping-particle" : "", "parse-names" : false, "suffix" : "" }, { "dropping-particle" : "", "family" : "Ponce de Le\u00f3n", "given" : "F Abel", "non-dropping-particle" : "", "parse-names" : false, "suffix" : "" }, { "dropping-particle" : "", "family" : "Schwartz", "given" : "John C", "non-dropping-particle" : "", "parse-names" : false, "suffix" : "" }, { "dropping-particle" : "", "family" : "Hammond", "given" : "John A", "non-dropping-particle" : "", "parse-names" : false, "suffix" : "" }, { "dropping-particle" : "", "family" : "Waldbieser", "given" : "Geoffrey C", "non-dropping-particle" : "", "parse-names" : false, "suffix" : "" }, { "dropping-particle" : "", "family" : "Schroeder", "given" : "Steven G", "non-dropping-particle" : "", "parse-names" : false, "suffix" : "" }, { "dropping-particle" : "", "family" : "Liu", "given" : "George E", "non-dropping-particle" : "", "parse-names" : false, "suffix" : "" }, { "dropping-particle" : "", "family" : "Dunham", "given" : "Maitreya J", "non-dropping-particle" : "", "parse-names" : false, "suffix" : "" }, { "dropping-particle" : "", "family" : "Shendure", "given" : "Jay", "non-dropping-particle" : "", "parse-names" : false, "suffix" : "" }, { "dropping-particle" : "", "family" : "Sonstegard", "given" : "Tad S", "non-dropping-particle" : "", "parse-names" : false, "suffix" : "" }, { "dropping-particle" : "", "family" : "Phillippy", "given" : "Adam M", "non-dropping-particle" : "", "parse-names" : false, "suffix" : "" }, { "dropping-particle" : "", "family" : "Tassell", "given" : "Curtis P", "non-dropping-particle" : "Van", "parse-names" : false, "suffix" : "" }, { "dropping-particle" : "", "family" : "Smith", "given" : "Timothy P L", "non-dropping-particle" : "", "parse-names" : false, "suffix" : "" } ], "container-title" : "Nature Genetics", "id" : "ITEM-2", "issue" : "4", "issued" : { "date-parts" : [ [ "2017" ] ] }, "page" : "643-650", "publisher" : "Nature Publishing Group", "title" : "Single-molecule sequencing and chromatin conformation capture enable de novo reference assembly of the domestic goat genome", "type" : "article-journal", "volume" : "49" }, "uris" : [ "http://www.mendeley.com/documents/?uuid=e013d76f-1627-40ac-8f56-fcb4be94597d" ] }, { "id" : "ITEM-3", "itemData" : { "DOI" : "10.1101/gr.213652.116", "ISBN" : "1088-9051", "ISSN" : "1088-9051", "PMID" : "28159771", "abstract" : "Long-read sequencing can overcome the weaknesses of short reads in the assembly of eukaryotic genomes, however, at present additional scaffolding is needed to achieve chromosome-level assemblies. We generated PacBio long-read data of the genomes of three relatives of the model plant Arabidopsis thaliana and assembled all three genomes into only a few hundred contigs. To improve the contiguities of these assemblies, we generated BioNano Genomics optical mapping and Dovetail Genomics chromosome conformation capture data for genome scaffolding. Despite their technical differences, optical mapping and chromosome conformation capture performed similarly and doubled N50 values. After improving both integration methods, assembly contiguity reached chromosome-arm-levels. We rigorously assessed the quality of contigs and scaffolds using Illumina mate-pair libraries and genetic map information. This showed that PacBio assemblies have high sequence accuracy but can contain several misassemblies, which join unlinked regions of the genome. Most, but not all of these mis-joints were removed during the integration of the optical mapping and chromosome conformation capture data. Even though none of the centromeres was fully assembled, the scaffolds revealed large parts of some centromeric regions, even including some of the heterochromatic regions, which are not present in gold standard reference sequences.", "author" : [ { "dropping-particle" : "", "family" : "Jiao", "given" : "Wen-Biao", "non-dropping-particle" : "", "parse-names" : false, "suffix" : "" }, { "dropping-particle" : "", "family" : "Garcia Accinelli", "given" : "Gonzalo", "non-dropping-particle" : "", "parse-names" : false, "suffix" : "" }, { "dropping-particle" : "", "family" : "Hartwig", "given" : "Benjamin", "non-dropping-particle" : "", "parse-names" : false, "suffix" : "" }, { "dropping-particle" : "", "family" : "Kiefer", "given" : "Christiane", "non-dropping-particle" : "", "parse-names" : false, "suffix" : "" }, { "dropping-particle" : "", "family" : "Baker", "given" : "David", "non-dropping-particle" : "", "parse-names" : false, "suffix" : "" }, { "dropping-particle" : "", "family" : "Severing", "given" : "Edouard", "non-dropping-particle" : "", "parse-names" : false, "suffix" : "" }, { "dropping-particle" : "", "family" : "Willing", "given" : "Eva-Maria", "non-dropping-particle" : "", "parse-names" : false, "suffix" : "" }, { "dropping-particle" : "", "family" : "Piednoel", "given" : "Mathieu", "non-dropping-particle" : "", "parse-names" : false, "suffix" : "" }, { "dropping-particle" : "", "family" : "Woetzel", "given" : "Stefan", "non-dropping-particle" : "", "parse-names" : false, "suffix" : "" }, { "dropping-particle" : "", "family" : "Madrid-Herrero", "given" : "Eva", "non-dropping-particle" : "", "parse-names" : false, "suffix" : "" }, { "dropping-particle" : "", "family" : "Huettel", "given" : "Bruno", "non-dropping-particle" : "", "parse-names" : false, "suffix" : "" }, { "dropping-particle" : "", "family" : "H\u00fcmann", "given" : "Ulrike", "non-dropping-particle" : "", "parse-names" : false, "suffix" : "" }, { "dropping-particle" : "", "family" : "Reinhard", "given" : "Richard", "non-dropping-particle" : "", "parse-names" : false, "suffix" : "" }, { "dropping-particle" : "", "family" : "Koch", "given" : "Marcus A", "non-dropping-particle" : "", "parse-names" : false, "suffix" : "" }, { "dropping-particle" : "", "family" : "Swan", "given" : "Daniel", "non-dropping-particle" : "", "parse-names" : false, "suffix" : "" }, { "dropping-particle" : "", "family" : "Clavijo", "given" : "Bernardo", "non-dropping-particle" : "", "parse-names" : false, "suffix" : "" }, { "dropping-particle" : "", "family" : "Coupland", "given" : "George", "non-dropping-particle" : "", "parse-names" : false, "suffix" : "" }, { "dropping-particle" : "", "family" : "Schneeberger", "given" : "Korbinian", "non-dropping-particle" : "", "parse-names" : false, "suffix" : "" } ], "container-title" : "Genome Research", "id" : "ITEM-3", "issue" : "5", "issued" : { "date-parts" : [ [ "2017" ] ] }, "page" : "778-786", "title" : "Improving and correcting the contiguity of long-read genome assemblies of three plant species using optical mapping and chromosome conformation capture data", "type" : "article-journal", "volume" : "27" }, "uris" : [ "http://www.mendeley.com/documents/?uuid=b1c5abeb-a246-4d26-a470-42b330436f04" ] }, { "id" : "ITEM-4", "itemData" : { "DOI" : "10.1101/128348", "abstract" : "Geoffrey McDermott\u200f @gmcderm Improved, high quality, low cost mammalian de novo Genome Assembly using @10xgenomics and @bionanogenomics Current short-read methods have come to dominate genome sequencing because they are cost-effective, rapid, and accurate. However, short reads are most applicable when data can be aligned to a known reference. Two new methods for de novo assembly are linked-reads and restriction-site labeled optical maps. We combined commercial applications of these technologies for genome assembly of an endangered mammal, the Hawaiian Monk seal. We show that the linked-reads produced with 10X Genomics Chromium chemistry and assembled with Supernova v1.1 software produced scaffolds with an N50 of 22.23 Mbp with the longest individual scaffold of 84.06 Mbp. When combined with Bionano Genomics optical maps using Bionano RefAligner, the scaffold N50 increased to 29.65 Mbp for a total of 170 hybrid scaffolds, the longest of which was 84.78 Mbp. These results were 161X and 215X, respectively, improved over DISCOVAR de novo assemblies. The quality of the scaffolds was assessed using conserved synteny analysis of both the DNA sequence and predicted seal proteins relative to the genomes of humans and other species. We found large blocks of conserved synteny suggesting that the hybrid scaffolds were high quality. An inversion in one scaffold complementary to human chromosome 6 was found and confirmed by optical maps. The complementarity of linked-reads and optical maps is likely to make the production of high quality genomes more routine and economical and, by doing so, significantly improve our understanding of comparative genome biology.", "author" : [ { "dropping-particle" : "", "family" : "Mohr", "given" : "DW", "non-dropping-particle" : "", "parse-names" : false, "suffix" : "" }, { "dropping-particle" : "", "family" : "Naguib", "given" : "A", "non-dropping-particle" : "", "parse-names" : false, "suffix" : "" }, { "dropping-particle" : "", "family" : "Weisenfeld", "given" : "N", "non-dropping-particle" : "", "parse-names" : false, "suffix" : "" }, { "dropping-particle" : "", "family" : "Kumar", "given" : "V", "non-dropping-particle" : "", "parse-names" : false, "suffix" : "" }, { "dropping-particle" : "", "family" : "Shah", "given" : "P", "non-dropping-particle" : "", "parse-names" : false, "suffix" : "" }, { "dropping-particle" : "", "family" : "Church", "given" : "D", "non-dropping-particle" : "", "parse-names" : false, "suffix" : "" }, { "dropping-particle" : "", "family" : "Jaffe", "given" : "D", "non-dropping-particle" : "", "parse-names" : false, "suffix" : "" }, { "dropping-particle" : "", "family" : "Scott", "given" : "A F", "non-dropping-particle" : "", "parse-names" : false, "suffix" : "" } ], "container-title" : "bioRxiv", "id" : "ITEM-4", "issued" : { "date-parts" : [ [ "2017" ] ] }, "page" : "128348", "title" : "Improved de novo Genome Assembly : Synthetic long read sequencing combined with optical mapping produce a high quality mammalian genome at relatively low cost", "type" : "article-journal" }, "uris" : [ "http://www.mendeley.com/documents/?uuid=e7af98a4-cdfb-4b39-9916-c03611167e15" ] }, { "id" : "ITEM-5", "itemData" : { "DOI" : "10.1101/gr.213405.116", "ISSN" : "1549-5469", "PMID" : "28130360", "abstract" : "LLong sequencing reads generated by single-molecule sequencing technology offer the possibility of dramatically improving the contiguity of genome assemblies. The biggest challenge today is that long reads have relatively high error rates, currently around 15%. The high error rates make it difficult to use this data alone, particularly with highly repetitive plant genomes. Errors in the raw data can lead to insertion or deletion errors (indels) in the consensus genome sequence, which in turn create significant problems for downstream analysis; for example, a single indel may shift the reading frame and incorrectly truncate a protein sequence. Here we describe an algorithm that solves the high error rate problem by combining long, high-error reads with shorter but much more accurate Illumina sequencing reads, whose error rates average &lt;1%. Our hybrid assembly algorithm combines these two types of reads to construct mega-reads, which are both long and accurate, and then assembles the mega-reads using the CABOG assembler, which was designed for long reads. We apply this technique to a large data set of Illumina and PacBio sequences from the species Aegilops tauschii, a large and extremely repetitive plant genome that has resisted previous attempts at assembly. We show that the resulting assembled contigs are far larger than in any previous assembly, with an N50 contig size of 486,807 nucleotides. We compare the contigs to independently produced optical maps to evaluate their large-scale accuracy, and to a set of high-quality bacterial artificial chromosome (BAC)-based assemblies to evaluate base-level accuracy.", "author" : [ { "dropping-particle" : "V", "family" : "Zimin", "given" : "Aleksey", "non-dropping-particle" : "", "parse-names" : false, "suffix" : "" }, { "dropping-particle" : "", "family" : "Puiu", "given" : "Daniela", "non-dropping-particle" : "", "parse-names" : false, "suffix" : "" }, { "dropping-particle" : "", "family" : "Luo", "given" : "Ming-Cheng", "non-dropping-particle" : "", "parse-names" : false, "suffix" : "" }, { "dropping-particle" : "", "family" : "Zhu", "given" : "Tingting", "non-dropping-particle" : "", "parse-names" : false, "suffix" : "" }, { "dropping-particle" : "", "family" : "Koren", "given" : "Sergey", "non-dropping-particle" : "", "parse-names" : false, "suffix" : "" }, { "dropping-particle" : "", "family" : "Marcais", "given" : "Guillaume", "non-dropping-particle" : "", "parse-names" : false, "suffix" : "" }, { "dropping-particle" : "", "family" : "Yorke", "given" : "James A", "non-dropping-particle" : "", "parse-names" : false, "suffix" : "" }, { "dropping-particle" : "", "family" : "Dvorak", "given" : "Jan", "non-dropping-particle" : "", "parse-names" : false, "suffix" : "" }, { "dropping-particle" : "", "family" : "Salzberg", "given" : "Steven L", "non-dropping-particle" : "", "parse-names" : false, "suffix" : "" } ], "container-title" : "Genome research", "id" : "ITEM-5", "issue" : "5", "issued" : { "date-parts" : [ [ "2017" ] ] }, "page" : "787-792", "title" : "Hybrid assembly of the large and highly repetitive genome of Aegilops tauschii, a progenitor of bread wheat, with the mega-reads algorithm.", "type" : "article-journal", "volume" : "27" }, "uris" : [ "http://www.mendeley.com/documents/?uuid=7caea0e7-9bf8-4f83-a5d8-70f80e87490d" ] } ], "mendeley" : { "formattedCitation" : "(Shi et al. 2016; Bickhart et al. 2017; Jiao et al. 2017; Mohr et al. 2017; Zimin et al. 2017)", "plainTextFormattedCitation" : "(Shi et al. 2016; Bickhart et al. 2017; Jiao et al. 2017; Mohr et al. 2017; Zimin et al. 2017)", "previouslyFormattedCitation" : "(Shi et al. 2016; Bickhart et al. 2017; Jiao et al. 2017; Mohr et al. 2017; Zimin et al. 2017)" }, "properties" : { "noteIndex" : 0 }, "schema" : "https://github.com/citation-style-language/schema/raw/master/csl-citation.json" }</w:instrText>
      </w:r>
      <w:r w:rsidR="001C19A9">
        <w:fldChar w:fldCharType="separate"/>
      </w:r>
      <w:r w:rsidR="001C19A9" w:rsidRPr="001C19A9">
        <w:rPr>
          <w:noProof/>
        </w:rPr>
        <w:t>(Shi et al. 2016; Bickhart et al. 2017; Jiao et al. 2017; Mohr et al. 2017; Zimin et al. 2017)</w:t>
      </w:r>
      <w:r w:rsidR="001C19A9">
        <w:fldChar w:fldCharType="end"/>
      </w:r>
      <w:r w:rsidR="001C19A9">
        <w:t xml:space="preserve">. </w:t>
      </w:r>
    </w:p>
    <w:p w14:paraId="0386294B" w14:textId="74C09F04" w:rsidR="00E92CBE" w:rsidRDefault="00D7609C" w:rsidP="00391005">
      <w:pPr>
        <w:pStyle w:val="ListParagraph"/>
      </w:pPr>
      <w:r>
        <w:t xml:space="preserve">Similar improvements to many of the avian genomes would greatly facilitate the accurate annotation of repetitive DNA, as these sections often ‘collapse’ during </w:t>
      </w:r>
      <w:r>
        <w:rPr>
          <w:i/>
        </w:rPr>
        <w:t>de novo</w:t>
      </w:r>
      <w:r>
        <w:t xml:space="preserve"> </w:t>
      </w:r>
      <w:r w:rsidR="00A051C7">
        <w:t xml:space="preserve">short read </w:t>
      </w:r>
      <w:r>
        <w:t>assembly</w:t>
      </w:r>
      <w:r w:rsidR="00A051C7">
        <w:t>, but are resolved in long read sequencing or optic</w:t>
      </w:r>
      <w:r w:rsidR="003F5F27">
        <w:t>al</w:t>
      </w:r>
      <w:r w:rsidR="00A051C7">
        <w:t xml:space="preserve"> mapping</w:t>
      </w:r>
      <w:r>
        <w:t xml:space="preserve"> </w:t>
      </w:r>
      <w:r w:rsidR="00A051C7">
        <w:fldChar w:fldCharType="begin" w:fldLock="1"/>
      </w:r>
      <w:r w:rsidR="00C9061A">
        <w:instrText>ADDIN CSL_CITATION { "citationItems" : [ { "id" : "ITEM-1", "itemData" : { "DOI" : "10.1093/bib/bbm048", "ISSN" : "1477-4054", "PMID" : "17932080", "abstract" : "The contribution of transposable elements (TEs) to genome structure and evolution as well as their impact on genome sequencing, assembly, annotation and alignment has generated increasing interest in developing new methods for their computational analysis. Here we review the diversity of innovative approaches to identify and annotate TEs in the post-genomic era, covering both the discovery of new TE families and the detection of individual TE copies in genome sequences. These approaches span a broad spectrum in computational biology including de novo, homology-based, structure-based and comparative genomic methods. We conclude that the integration and visualization of multiple approaches and the development of new conceptual representations for TE annotation will further advance the computational analysis of this dynamic component of the genome.", "author" : [ { "dropping-particle" : "", "family" : "Bergman", "given" : "Casey M", "non-dropping-particle" : "", "parse-names" : false, "suffix" : "" }, { "dropping-particle" : "", "family" : "Quesneville", "given" : "Hadi", "non-dropping-particle" : "", "parse-names" : false, "suffix" : "" } ], "container-title" : "Briefings in bioinformatics", "id" : "ITEM-1", "issue" : "6", "issued" : { "date-parts" : [ [ "2007", "11" ] ] }, "note" : "Review approaches to identify and annotate TEs.\n\n        \nStructure based methods:\n- rely on detecting specific models of architecture, rather than the results of transposition\n- less biased by similarity to known elements\n- individual models must be built for each type of TE and some types of TE are more strongly structured than others", "page" : "382-92", "title" : "Discovering and detecting transposable elements in genome sequences.", "type" : "article-journal", "volume" : "8" }, "uris" : [ "http://www.mendeley.com/documents/?uuid=06b49abf-cfcf-4eb5-b43d-bdac6ac6ccd1" ] }, { "id" : "ITEM-2", "itemData" : { "DOI" : "10.1038/nrg2958", "ISBN" : "1471-0064 (Electronic)\\n1471-0056 (Linking)", "ISSN" : "1471-0064", "PMID" : "21358748", "abstract" : "Comparisons of human genomes show that more base pairs are altered as a result of structural variation - including copy number variation - than as a result of point mutations. Here we review advances and challenges in the discovery and genotyping of structural variation. The recent application of massively parallel sequencing methods has complemented microarray-based methods and has led to an exponential increase in the discovery of smaller structural-variation events. Some global discovery biases remain, but the integration of experimental and computational approaches is proving fruitful for accurate characterization of the copy, content and structure of variable regions. We argue that the long-term goal should be routine, cost-effective and high quality de novo assembly of human genomes to comprehensively assess all classes of structural variation.", "author" : [ { "dropping-particle" : "", "family" : "Alkan", "given" : "Can", "non-dropping-particle" : "", "parse-names" : false, "suffix" : "" }, { "dropping-particle" : "", "family" : "Coe", "given" : "Bradley P", "non-dropping-particle" : "", "parse-names" : false, "suffix" : "" }, { "dropping-particle" : "", "family" : "Eichler", "given" : "Evan E", "non-dropping-particle" : "", "parse-names" : false, "suffix" : "" } ], "container-title" : "Nature reviews. Genetics", "id" : "ITEM-2", "issue" : "5", "issued" : { "date-parts" : [ [ "2011" ] ] }, "page" : "363-76", "title" : "Genome structural variation discovery and genotyping.", "type" : "article-journal", "volume" : "12" }, "uris" : [ "http://www.mendeley.com/documents/?uuid=95ee2af2-f708-441c-bbef-e67f2708a2d6" ] }, { "id" : "ITEM-3", "itemData" : { "DOI" : "10.1371/journal.pone.0017915", "ISBN" : "1111111111", "ISSN" : "19326203", "PMID" : "21423806", "abstract" : "The advent of next-generation sequencing technologies is accompanied with the development of many whole-genome sequence assembly methods and software, especially for de novo fragment assembly. Due to the poor knowledge about the applicability and performance of these software tools, choosing a befitting assembler becomes a tough task. Here, we provide the information of adaptivity for each program, then above all, compare the performance of eight distinct tools against eight groups of simulated datasets from Solexa sequencing platform. Considering the computational time, maximum random access memory (RAM) occupancy, assembly accuracy and integrity, our study indicate that string-based assemblers, overlap-layout-consensus (OLC) assemblers are well-suited for very short reads and longer reads of small genomes respectively. For large datasets of more than hundred millions of short reads, De Bruijn graph-based assemblers would be more appropriate. In terms of software implementation, string-based assemblers are superior to graph-based ones, of which SOAPdenovo is complex for the creation of configuration file. Our comparison study will assist researchers in selecting a well-suited assembler and offer essential information for the improvement of existing assemblers or the developing of novel assemblers.", "author" : [ { "dropping-particle" : "", "family" : "Zhang", "given" : "Wenyu", "non-dropping-particle" : "", "parse-names" : false, "suffix" : "" }, { "dropping-particle" : "", "family" : "Chen", "given" : "Jiajia", "non-dropping-particle" : "", "parse-names" : false, "suffix" : "" }, { "dropping-particle" : "", "family" : "Yang", "given" : "Yang", "non-dropping-particle" : "", "parse-names" : false, "suffix" : "" }, { "dropping-particle" : "", "family" : "Tang", "given" : "Yifei", "non-dropping-particle" : "", "parse-names" : false, "suffix" : "" }, { "dropping-particle" : "", "family" : "Shang", "given" : "Jing", "non-dropping-particle" : "", "parse-names" : false, "suffix" : "" }, { "dropping-particle" : "", "family" : "Shen", "given" : "Bairong", "non-dropping-particle" : "", "parse-names" : false, "suffix" : "" } ], "container-title" : "PLoS ONE", "id" : "ITEM-3", "issue" : "3", "issued" : { "date-parts" : [ [ "2011" ] ] }, "title" : "A practical comparison of De Novo genome assembly software tools for next-generation sequencing technologies", "type" : "article-journal", "volume" : "6" }, "uris" : [ "http://www.mendeley.com/documents/?uuid=d11b4d19-c130-4ea8-bf63-55ccc4bca239" ] }, { "id" : "ITEM-4", "itemData" : { "DOI" : "10.1186/gb4015", "ISBN" : "1465-6914 (Electronic)\\n1465-6906 (Linking)", "ISSN" : "1465-6906", "PMID" : "22546054", "abstract" : "Genome sequencing is now affordable, but assembling plant genomes de novo remains challenging. We assess the state of the art of assembly and review the best practices for the community.", "author" : [ { "dropping-particle" : "", "family" : "Schatz", "given" : "Michael C", "non-dropping-particle" : "", "parse-names" : false, "suffix" : "" }, { "dropping-particle" : "", "family" : "Witkowski", "given" : "Jan", "non-dropping-particle" : "", "parse-names" : false, "suffix" : "" }, { "dropping-particle" : "", "family" : "McCombie", "given" : "W Richard", "non-dropping-particle" : "", "parse-names" : false, "suffix" : "" } ], "container-title" : "Genome Biology", "id" : "ITEM-4", "issue" : "4", "issued" : { "date-parts" : [ [ "2012" ] ] }, "page" : "243", "title" : "Current challenges in de novo plant genome sequencing and assembly", "type" : "article-journal", "volume" : "13" }, "uris" : [ "http://www.mendeley.com/documents/?uuid=66fee89e-f774-47cf-8b38-3bd81e164c50" ] }, { "id" : "ITEM-5", "itemData" : { "DOI" : "10.1186/s13742-015-0052-y", "ISSN" : "2047-217X", "PMID" : "25789164", "abstract" : "Optical mapping is a technology that gathers long-range information on genome sequences similar to ordered restriction digest maps. Because it is not subject to cloning, amplification, hybridisation or sequencing bias, it is ideally suited to the improvement of fragmented genome assemblies that can no longer be improved by classical methods. In addition, its low cost and rapid turnaround make it equally useful during the scaffolding process of de novo assembly from high throughput sequencing reads. We describe how optical mapping has been used in practice to produce high quality vertebrate genome assemblies. In particular, we detail the efforts undertaken by the Genome Reference Consortium (GRC), which maintains the reference genomes for human, mouse, zebrafish and chicken, and uses different optical mapping platforms for genome curation.", "author" : [ { "dropping-particle" : "", "family" : "Howe", "given" : "Kerstin", "non-dropping-particle" : "", "parse-names" : false, "suffix" : "" }, { "dropping-particle" : "", "family" : "Wood", "given" : "Jonathan MD", "non-dropping-particle" : "", "parse-names" : false, "suffix" : "" } ], "container-title" : "GigaScience", "id" : "ITEM-5", "issue" : "1", "issued" : { "date-parts" : [ [ "2015" ] ] }, "page" : "10", "title" : "Using optical mapping data for the improvement of vertebrate genome assemblies", "type" : "article-journal", "volume" : "4" }, "uris" : [ "http://www.mendeley.com/documents/?uuid=50e8440a-a72e-4126-a15c-1bfb2d1bad91" ] }, { "id" : "ITEM-6", "itemData" : { "DOI" : "10.1016/j.pbi.2015.02.002", "ISBN" : "1369-5266", "ISSN" : "13695266", "PMID" : "25703261", "abstract" : "The availability of plant reference genomes has ushered in a new era of crop genomics. More than 100 plant genomes have been sequenced since 2000, 63% of which are crop species. These genome sequences provide insight into architecture, evolution and novel aspects of crop genomes such as the retention of key agronomic traits after whole genome duplication events. Some crops have very large, polyploid, repeat-rich genomes, which require innovative strategies for sequencing, assembly and analysis. Even low quality reference genomes have the potential to improve crop germplasm through genome-wide molecular markers, which decrease expensive phenotyping and breeding cycles. The next stage of plant genomics will require draft genome refinement, building resources for crop wild relatives, resequencing broad diversity panels, and plant ENCODE projects to better understand the complexities of these highly diverse genomes.", "author" : [ { "dropping-particle" : "", "family" : "Michael", "given" : "Todd P.", "non-dropping-particle" : "", "parse-names" : false, "suffix" : "" }, { "dropping-particle" : "", "family" : "VanBuren", "given" : "Robert", "non-dropping-particle" : "", "parse-names" : false, "suffix" : "" } ], "container-title" : "Current Opinion in Plant Biology", "id" : "ITEM-6", "issued" : { "date-parts" : [ [ "2015" ] ] }, "page" : "71-81", "publisher" : "Elsevier Ltd", "title" : "Progress, challenges and the future of crop genomes", "type" : "article-journal", "volume" : "24" }, "uris" : [ "http://www.mendeley.com/documents/?uuid=9ea9e84e-5e5a-48d1-8277-863235b49e33" ] }, { "id" : "ITEM-7", "itemData" : { "DOI" : "10.1101/gr.215095.116", "ISSN" : "1088-9051", "PMID" : "28360231", "abstract" : "@alexander_suh Excited that our paper on centromeric (?) tandem repeats in crows made it into this special issue!\r\n\r\nAccurate and contiguous genome assembly is key to a comprehensive understanding of the processes shaping genomic diversity and evolution. Yet, it is frequently constrained by constitutive heterochromatin, usually characterized by highly repetitive DNA. As a key feature of genome architecture associated with centromeric and subtelomeric regions, it locally influences meiotic recombination. In this study, we assess the impact of large tandem repeat arrays on the recombination rate landscape in an avian speciation model, the Eurasian crow. We assembled two high-quality genome references using single-molecule real-time sequencing (long-read assembly [LR]) and single-molecule optical maps (optical map assembly [OM]). A three-way comparison including the published short-read assembly (SR) constructed for the same individual allowed assessing assembly properties and pinpointing misassemblies. By combining information from all three assemblies, we characterized 36 previously unidentified large repetitive regions in the proximity of sequence assembly breakpoints, the majority of which contained complex arrays of a 14-kb satellite repeat or its 1.2-kb subunit. Using whole-genome population resequencing data, we estimated the population-scaled recombination rate (\u03c1) and found it to be significantly reduced in these regions. These findings are consistent with an effect of low recombination in regions adjacent to centromeric or subtelomeric heterochromatin and add to our understanding of the processes generating widespread heterogeneity in genetic diversity and differentiation along the genome. By combining three different technologies, our results highlight the importance of adding a layer of information on genome structure that is inaccessible to each approach independently.", "author" : [ { "dropping-particle" : "", "family" : "Weissensteiner", "given" : "Matthias H.", "non-dropping-particle" : "", "parse-names" : false, "suffix" : "" }, { "dropping-particle" : "", "family" : "Pang", "given" : "Andy W.C.", "non-dropping-particle" : "", "parse-names" : false, "suffix" : "" }, { "dropping-particle" : "", "family" : "Bunikis", "given" : "Ignas", "non-dropping-particle" : "", "parse-names" : false, "suffix" : "" }, { "dropping-particle" : "", "family" : "H\u00f6ijer", "given" : "Ida", "non-dropping-particle" : "", "parse-names" : false, "suffix" : "" }, { "dropping-particle" : "", "family" : "Vinnere-Petterson", "given" : "Olga", "non-dropping-particle" : "", "parse-names" : false, "suffix" : "" }, { "dropping-particle" : "", "family" : "Suh", "given" : "Alexander", "non-dropping-particle" : "", "parse-names" : false, "suffix" : "" }, { "dropping-particle" : "", "family" : "Wolf", "given" : "Jochen B.W.", "non-dropping-particle" : "", "parse-names" : false, "suffix" : "" } ], "container-title" : "Genome Research", "id" : "ITEM-7", "issued" : { "date-parts" : [ [ "2017" ] ] }, "page" : "697-708", "title" : "Combination of short-read, long-read, and optical mapping assemblies reveals large-scale tandem repeat arrays with population genetic implications", "type" : "article-journal" }, "uris" : [ "http://www.mendeley.com/documents/?uuid=e445daa5-e053-4bbf-b1fe-6e04dbe798ab" ] } ], "mendeley" : { "formattedCitation" : "(Bergman &amp; Quesneville 2007; Alkan et al. 2011; Zhang et al. 2011; Schatz et al. 2012; Howe &amp; Wood 2015; Michael &amp; VanBuren 2015; Weissensteiner et al. 2017)", "plainTextFormattedCitation" : "(Bergman &amp; Quesneville 2007; Alkan et al. 2011; Zhang et al. 2011; Schatz et al. 2012; Howe &amp; Wood 2015; Michael &amp; VanBuren 2015; Weissensteiner et al. 2017)", "previouslyFormattedCitation" : "(Bergman &amp; Quesneville 2007; Alkan et al. 2011; Zhang et al. 2011; Schatz et al. 2012; Howe &amp; Wood 2015; Michael &amp; VanBuren 2015; Weissensteiner et al. 2017)" }, "properties" : { "noteIndex" : 0 }, "schema" : "https://github.com/citation-style-language/schema/raw/master/csl-citation.json" }</w:instrText>
      </w:r>
      <w:r w:rsidR="00A051C7">
        <w:fldChar w:fldCharType="separate"/>
      </w:r>
      <w:r w:rsidR="00C936BA" w:rsidRPr="00C936BA">
        <w:rPr>
          <w:noProof/>
        </w:rPr>
        <w:t>(Bergman &amp; Quesneville 2007; Alkan et al. 2011; Zhang et al. 2011; Schatz et al. 2012; Howe &amp; Wood 2015; Michael &amp; VanBuren 2015; Weissensteiner et al. 2017)</w:t>
      </w:r>
      <w:r w:rsidR="00A051C7">
        <w:fldChar w:fldCharType="end"/>
      </w:r>
      <w:r>
        <w:t xml:space="preserve">. </w:t>
      </w:r>
      <w:r w:rsidR="00A051C7">
        <w:t>It is therefore possible that future analyses of LTR retrotransposon content in birds could reveal a deficit in the Galliformes compared to other lineages. However, the evidence presented here does not support that hypothesised deficit, and it is likely that future work would further characterise the lineage-specificity of LTR retrotransposon repeat content across different phyla. Further characterisation of the proportion of different ERV genera, and their subsequent expansion and contraction across the lineage, is needed to better understand retrotransposon dynamics, periods of co-infection with exogenous retrovirus relatives, and the role these elements play in genome evolution.</w:t>
      </w:r>
    </w:p>
    <w:p w14:paraId="203FC79C" w14:textId="77777777" w:rsidR="00D00937" w:rsidRDefault="00D00937" w:rsidP="00391005">
      <w:pPr>
        <w:pStyle w:val="ListParagraph"/>
      </w:pPr>
    </w:p>
    <w:p w14:paraId="03D5E0B9" w14:textId="1B32DDA0" w:rsidR="00025B2A" w:rsidRDefault="00D00937" w:rsidP="00D00937">
      <w:pPr>
        <w:pStyle w:val="Heading3"/>
      </w:pPr>
      <w:bookmarkStart w:id="310" w:name="_Ref485044795"/>
      <w:bookmarkStart w:id="311" w:name="_Toc485721617"/>
      <w:bookmarkStart w:id="312" w:name="_Toc486787197"/>
      <w:bookmarkStart w:id="313" w:name="_Toc486787345"/>
      <w:r>
        <w:t>A</w:t>
      </w:r>
      <w:r w:rsidR="00025B2A">
        <w:t>nalysis of multiple genomes</w:t>
      </w:r>
      <w:r>
        <w:t xml:space="preserve"> with LocaTR</w:t>
      </w:r>
      <w:bookmarkEnd w:id="310"/>
      <w:bookmarkEnd w:id="311"/>
      <w:bookmarkEnd w:id="312"/>
      <w:bookmarkEnd w:id="313"/>
    </w:p>
    <w:p w14:paraId="3F1ADC6B" w14:textId="77777777" w:rsidR="00025B2A" w:rsidRDefault="00025B2A" w:rsidP="00391005">
      <w:pPr>
        <w:pStyle w:val="ListParagraph"/>
      </w:pPr>
      <w:r>
        <w:t xml:space="preserve">No issues were experienced moving from analysis of just the chicken genome to analysis of multiple species. All custom-built scripts in the pipeline were written to ensure that variable sequence naming systems were handled appropriately, although the large numbers of small contigs in some assemblies did increase the processing time of the structure-based identification methods, particularly LTR_STRUC. Validating the identified SIEs was the most computationally intensive part of each analysis, usually due to the large numbers of putative sites identified by LTR Harvest, where the false positive rate (as with chicken) was commonly over 90 %. </w:t>
      </w:r>
    </w:p>
    <w:p w14:paraId="0486CC17" w14:textId="7283B025" w:rsidR="00025B2A" w:rsidRDefault="00025B2A" w:rsidP="00391005">
      <w:pPr>
        <w:pStyle w:val="ListParagraph"/>
      </w:pPr>
      <w:r>
        <w:t>Most sections of the pipeline were highly parallel, but RetroTecto</w:t>
      </w:r>
      <w:r w:rsidR="00A66917">
        <w:t>r and LTR_STRUC required desktop</w:t>
      </w:r>
      <w:r>
        <w:t xml:space="preserve"> architecture. The programs could be run simultaneously on the same </w:t>
      </w:r>
      <w:r w:rsidR="008C3D66">
        <w:lastRenderedPageBreak/>
        <w:t>machine, but only one genome</w:t>
      </w:r>
      <w:r>
        <w:t xml:space="preserve"> at a time. Consequently, the homology-based protocols, and</w:t>
      </w:r>
      <w:r w:rsidR="00D00937">
        <w:t xml:space="preserve"> the</w:t>
      </w:r>
      <w:r>
        <w:t xml:space="preserve"> MGEScan_LTR and LTR Harvest identifications were completed within a fortnight, but the LTR_STRUC and RetroTector identifications took over six months using multiple machines. For such large, multi-species analyses it would be beneficial to re-write these programs as Linux-based tools, but this </w:t>
      </w:r>
      <w:r w:rsidR="008C3D66">
        <w:t xml:space="preserve">is </w:t>
      </w:r>
      <w:r>
        <w:t xml:space="preserve">unlikely to happen due to issues with source code availability, and the requirement for access and management of SQL databases for RetroTector. If a quick analysis of multiple genomes is required, it may be necessary to host multiple virtual machines on a cloud-based service to complete the analyses in parallel. Alternatively, these </w:t>
      </w:r>
      <w:r w:rsidR="00A66917">
        <w:t xml:space="preserve">program </w:t>
      </w:r>
      <w:r>
        <w:t>analyses could be ignored, but, as seen with the chicken</w:t>
      </w:r>
      <w:r w:rsidR="00D00937">
        <w:t xml:space="preserve"> analysis in chapter 3</w:t>
      </w:r>
      <w:r>
        <w:t xml:space="preserve">, both LTR_STRUC and RetroTector identified LTR retrotransposons not found by other programs. </w:t>
      </w:r>
    </w:p>
    <w:p w14:paraId="42505251" w14:textId="08B5BEDA" w:rsidR="00025B2A" w:rsidRDefault="00025B2A" w:rsidP="00391005">
      <w:pPr>
        <w:pStyle w:val="ListParagraph"/>
      </w:pPr>
      <w:r>
        <w:t>The unwanted identification of LINEs (such as CR1) rema</w:t>
      </w:r>
      <w:r w:rsidR="00D00937">
        <w:t>ins an issue with LocaTR. This wa</w:t>
      </w:r>
      <w:r>
        <w:t xml:space="preserve">s particularly evident during the tBLASTx searches of the homology-based protocols, as these detect </w:t>
      </w:r>
      <w:r>
        <w:rPr>
          <w:i/>
        </w:rPr>
        <w:t>reverse transcriptase</w:t>
      </w:r>
      <w:r>
        <w:t xml:space="preserve"> from all retrotransposon classes. Great effort has been taken to remove LINE-homologous sequences, but some are still annotated as LTR retrotransposons. E-value thresholds could be adapted to see if this reduces LINE detection. It would also be beneficial to add LINE-specific pHMMs to the validation process, as these could highlight sites which have a greater homology to these elements than LTR retrotransposons. As with any annotation process, manual checks and tests by the </w:t>
      </w:r>
      <w:r w:rsidR="00D00937">
        <w:t>user are recommended. T</w:t>
      </w:r>
      <w:r>
        <w:t>his should include identi</w:t>
      </w:r>
      <w:r w:rsidR="003F5F27">
        <w:t>fication of the percentage of ambiguous bases (Ns)</w:t>
      </w:r>
      <w:r>
        <w:t xml:space="preserve"> in any annotated element, and plotting the distribution of putative element lengths.</w:t>
      </w:r>
    </w:p>
    <w:p w14:paraId="64EDD70C" w14:textId="0CB5FAF6" w:rsidR="003A2766" w:rsidRDefault="00025B2A" w:rsidP="00391005">
      <w:pPr>
        <w:pStyle w:val="ListParagraph"/>
      </w:pPr>
      <w:r>
        <w:t xml:space="preserve">More generally, the LocaTR pipeline would benefit from some code revisions to improve efficiency. Much of the coding was completed towards the start of this PhD project, and could certainly be improved. This would include better memory, loop and function management, and the handling of intermediary files. Any improvements would avoid the use of accessory software, as one of the major benefits of LocaTR is that it is largely self-contained. One major revision would be to use standardised BED formats for positions files, rather than the custom file organisation used throughout. This would make the output files more standardised and immediately transferrable to other software or to genome browsers such as Ensembl.  </w:t>
      </w:r>
    </w:p>
    <w:p w14:paraId="5CBE663E" w14:textId="79AD27BD" w:rsidR="003A2766" w:rsidRDefault="003A2766" w:rsidP="003A2766">
      <w:pPr>
        <w:pStyle w:val="Heading2"/>
      </w:pPr>
      <w:bookmarkStart w:id="314" w:name="_Toc485721618"/>
      <w:bookmarkStart w:id="315" w:name="_Toc486787198"/>
      <w:bookmarkStart w:id="316" w:name="_Toc486787346"/>
      <w:r>
        <w:lastRenderedPageBreak/>
        <w:t>Concluding remarks</w:t>
      </w:r>
      <w:bookmarkEnd w:id="314"/>
      <w:bookmarkEnd w:id="315"/>
      <w:bookmarkEnd w:id="316"/>
    </w:p>
    <w:p w14:paraId="0AAA801C" w14:textId="7CB6079C" w:rsidR="003A2766" w:rsidRDefault="00290DE3" w:rsidP="00391005">
      <w:pPr>
        <w:pStyle w:val="ListParagraph"/>
      </w:pPr>
      <w:r>
        <w:t>This broad analysis of LTR retrotransposons across the avian lineage does not support the</w:t>
      </w:r>
      <w:r w:rsidR="00C80138">
        <w:t xml:space="preserve"> previously</w:t>
      </w:r>
      <w:r>
        <w:t xml:space="preserve"> proposed deficit of these elements in galliform birds compared to </w:t>
      </w:r>
      <w:r w:rsidR="00C80138">
        <w:t xml:space="preserve">the </w:t>
      </w:r>
      <w:r>
        <w:t>Neoaves. Overall, LTR retrotransposon content is highly variable</w:t>
      </w:r>
      <w:r w:rsidR="0061301B">
        <w:t>,</w:t>
      </w:r>
      <w:r>
        <w:t xml:space="preserve"> but shows the effects of lineage specificity as far back as the </w:t>
      </w:r>
      <w:r w:rsidR="0061301B">
        <w:t>r</w:t>
      </w:r>
      <w:r>
        <w:t xml:space="preserve">apid </w:t>
      </w:r>
      <w:r w:rsidR="0061301B">
        <w:t>diversification</w:t>
      </w:r>
      <w:r>
        <w:t xml:space="preserve"> after the K/T </w:t>
      </w:r>
      <w:r w:rsidR="0061301B">
        <w:t xml:space="preserve">mass </w:t>
      </w:r>
      <w:r w:rsidR="00C80138">
        <w:t>extinction</w:t>
      </w:r>
      <w:r>
        <w:t xml:space="preserve">. However, these findings may be confounded by the variability in genome assembly quality, so </w:t>
      </w:r>
      <w:r w:rsidR="0061301B">
        <w:t xml:space="preserve">annotated content </w:t>
      </w:r>
      <w:r w:rsidR="00C80138">
        <w:t>will likely increase</w:t>
      </w:r>
      <w:r>
        <w:t xml:space="preserve"> as assembly quality improves</w:t>
      </w:r>
      <w:r w:rsidR="0061301B">
        <w:t xml:space="preserve">. Concordantly, the updated Galgal5 chicken genome assembly had a higher total LTR retrotransposon content and more </w:t>
      </w:r>
      <w:r w:rsidR="00C80138">
        <w:t xml:space="preserve">identifiable </w:t>
      </w:r>
      <w:r w:rsidR="0061301B">
        <w:t xml:space="preserve">intact elements than </w:t>
      </w:r>
      <w:r w:rsidR="00C80138">
        <w:t>in</w:t>
      </w:r>
      <w:r w:rsidR="0061301B">
        <w:t xml:space="preserve"> Galgal4.</w:t>
      </w:r>
      <w:r>
        <w:t xml:space="preserve"> </w:t>
      </w:r>
    </w:p>
    <w:p w14:paraId="31C4906F" w14:textId="0F9F7574" w:rsidR="0060481D" w:rsidRDefault="00290DE3" w:rsidP="00391005">
      <w:pPr>
        <w:pStyle w:val="ListParagraph"/>
      </w:pPr>
      <w:r>
        <w:t xml:space="preserve">The LocaTR pipeline was used successfully across multiple genomes, </w:t>
      </w:r>
      <w:r w:rsidR="0061301B">
        <w:t xml:space="preserve">although such a large-scale analysis highlighted several areas for pipeline improvement. Specifically, the implementation of LTR_STRUC and RetroTector, and </w:t>
      </w:r>
      <w:r w:rsidR="00BA0E08">
        <w:t>comprehensive</w:t>
      </w:r>
      <w:r w:rsidR="0061301B">
        <w:t xml:space="preserve"> handling of false positives </w:t>
      </w:r>
      <w:r w:rsidR="00BA0E08">
        <w:t>exhibiting</w:t>
      </w:r>
      <w:r w:rsidR="0061301B">
        <w:t xml:space="preserve"> LINE homology. </w:t>
      </w:r>
    </w:p>
    <w:p w14:paraId="52F2081B" w14:textId="28D4ADDD" w:rsidR="00920FC5" w:rsidRDefault="00920FC5" w:rsidP="00391005">
      <w:pPr>
        <w:pStyle w:val="ListParagraph"/>
      </w:pPr>
    </w:p>
    <w:p w14:paraId="021EC657" w14:textId="7075F030" w:rsidR="00FE2022" w:rsidRDefault="00FE2022" w:rsidP="00391005">
      <w:pPr>
        <w:pStyle w:val="ListParagraph"/>
      </w:pPr>
    </w:p>
    <w:p w14:paraId="778C5520" w14:textId="05EEB97B" w:rsidR="00FE2022" w:rsidRDefault="00FE2022" w:rsidP="00391005">
      <w:pPr>
        <w:pStyle w:val="ListParagraph"/>
      </w:pPr>
    </w:p>
    <w:p w14:paraId="324E4EC5" w14:textId="0724BE6E" w:rsidR="00FE2022" w:rsidRDefault="00FE2022" w:rsidP="00391005">
      <w:pPr>
        <w:pStyle w:val="ListParagraph"/>
      </w:pPr>
    </w:p>
    <w:p w14:paraId="27AA3750" w14:textId="15AE4716" w:rsidR="00FE2022" w:rsidRDefault="00FE2022" w:rsidP="00391005">
      <w:pPr>
        <w:pStyle w:val="ListParagraph"/>
      </w:pPr>
    </w:p>
    <w:p w14:paraId="59E9C359" w14:textId="6C8F85F2" w:rsidR="00FE2022" w:rsidRDefault="00FE2022" w:rsidP="00391005">
      <w:pPr>
        <w:pStyle w:val="ListParagraph"/>
      </w:pPr>
    </w:p>
    <w:p w14:paraId="59128CB9" w14:textId="124AFF3E" w:rsidR="00FE2022" w:rsidRDefault="00FE2022" w:rsidP="00391005">
      <w:pPr>
        <w:pStyle w:val="ListParagraph"/>
      </w:pPr>
    </w:p>
    <w:p w14:paraId="622EA3FF" w14:textId="3F9B9419" w:rsidR="00FE2022" w:rsidRDefault="00FE2022" w:rsidP="00391005">
      <w:pPr>
        <w:pStyle w:val="ListParagraph"/>
      </w:pPr>
    </w:p>
    <w:p w14:paraId="4E8D65D6" w14:textId="504730D1" w:rsidR="00FE2022" w:rsidRDefault="00FE2022" w:rsidP="00391005">
      <w:pPr>
        <w:pStyle w:val="ListParagraph"/>
      </w:pPr>
    </w:p>
    <w:p w14:paraId="5628A581" w14:textId="2DAE5434" w:rsidR="00FE2022" w:rsidRDefault="00FE2022" w:rsidP="00391005">
      <w:pPr>
        <w:pStyle w:val="ListParagraph"/>
      </w:pPr>
    </w:p>
    <w:p w14:paraId="13E11ACC" w14:textId="09FD93AC" w:rsidR="00FE2022" w:rsidRDefault="00FE2022" w:rsidP="00391005">
      <w:pPr>
        <w:pStyle w:val="ListParagraph"/>
      </w:pPr>
    </w:p>
    <w:p w14:paraId="6016D8F1" w14:textId="4C56480F" w:rsidR="00FE2022" w:rsidRDefault="00FE2022" w:rsidP="00391005">
      <w:pPr>
        <w:pStyle w:val="ListParagraph"/>
      </w:pPr>
    </w:p>
    <w:p w14:paraId="25174A6E" w14:textId="04E04098" w:rsidR="00FE2022" w:rsidRDefault="00FE2022" w:rsidP="00391005">
      <w:pPr>
        <w:pStyle w:val="ListParagraph"/>
      </w:pPr>
    </w:p>
    <w:p w14:paraId="2A1AC7E2" w14:textId="3BC90663" w:rsidR="00FE2022" w:rsidRDefault="00FE2022" w:rsidP="00391005">
      <w:pPr>
        <w:pStyle w:val="ListParagraph"/>
      </w:pPr>
    </w:p>
    <w:p w14:paraId="2A06DBA2" w14:textId="77777777" w:rsidR="00FE2022" w:rsidRDefault="00FE2022" w:rsidP="00391005">
      <w:pPr>
        <w:pStyle w:val="ListParagraph"/>
        <w:sectPr w:rsidR="00FE2022" w:rsidSect="00504068">
          <w:pgSz w:w="11906" w:h="16838"/>
          <w:pgMar w:top="1134" w:right="1418" w:bottom="2268" w:left="2268" w:header="709" w:footer="1066" w:gutter="0"/>
          <w:cols w:space="708"/>
          <w:docGrid w:linePitch="360"/>
        </w:sectPr>
      </w:pPr>
    </w:p>
    <w:p w14:paraId="2A2DD392" w14:textId="14D4A487" w:rsidR="00920FC5" w:rsidRDefault="00F84444" w:rsidP="00920FC5">
      <w:pPr>
        <w:pStyle w:val="Heading1"/>
      </w:pPr>
      <w:r>
        <w:lastRenderedPageBreak/>
        <w:t xml:space="preserve"> </w:t>
      </w:r>
      <w:bookmarkStart w:id="317" w:name="_Toc485721619"/>
      <w:bookmarkStart w:id="318" w:name="_Toc486787199"/>
      <w:bookmarkStart w:id="319" w:name="_Toc486787347"/>
      <w:r w:rsidR="00C54CB1">
        <w:t>Materials and Methods (ii)</w:t>
      </w:r>
      <w:bookmarkEnd w:id="317"/>
      <w:bookmarkEnd w:id="318"/>
      <w:bookmarkEnd w:id="319"/>
    </w:p>
    <w:p w14:paraId="79333F92" w14:textId="1414BBFD" w:rsidR="006A0DAC" w:rsidRDefault="00D502A8" w:rsidP="00391005">
      <w:pPr>
        <w:pStyle w:val="ListParagraph"/>
      </w:pPr>
      <w:r>
        <w:t xml:space="preserve">This chapter outlines the methodology used for </w:t>
      </w:r>
      <w:r w:rsidR="00785596">
        <w:t>chapters 6 and 7</w:t>
      </w:r>
      <w:r>
        <w:t>. These chapters move away from the annotation of all LTR retrotransposon elements in assembled genomes, to instead focus on a single class of endogenous alpharetroviruses - Avian Leukosis Virus subgroup E (ALVEs) – and their identification in unassembled</w:t>
      </w:r>
      <w:r w:rsidR="00CB010F">
        <w:t>,</w:t>
      </w:r>
      <w:r>
        <w:t xml:space="preserve"> </w:t>
      </w:r>
      <w:r w:rsidR="00CB010F">
        <w:t>whole genome (re)sequencing (WGS)</w:t>
      </w:r>
      <w:r>
        <w:t xml:space="preserve"> data. </w:t>
      </w:r>
    </w:p>
    <w:p w14:paraId="56007533" w14:textId="77777777" w:rsidR="000D6D4C" w:rsidRDefault="000D6D4C" w:rsidP="00391005">
      <w:pPr>
        <w:pStyle w:val="ListParagraph"/>
      </w:pPr>
    </w:p>
    <w:p w14:paraId="3E1AAFDC" w14:textId="134EEBB1" w:rsidR="006A0DAC" w:rsidRPr="00F84444" w:rsidRDefault="00F84444" w:rsidP="00D4225A">
      <w:pPr>
        <w:pStyle w:val="Heading2"/>
      </w:pPr>
      <w:bookmarkStart w:id="320" w:name="_Toc485721620"/>
      <w:bookmarkStart w:id="321" w:name="_Toc486787200"/>
      <w:bookmarkStart w:id="322" w:name="_Toc486787348"/>
      <w:r w:rsidRPr="00F84444">
        <w:t>Development of an ALVE identification pipeline using Hy-Line and Roslin J-Line DNA re-sequencing data</w:t>
      </w:r>
      <w:bookmarkEnd w:id="320"/>
      <w:bookmarkEnd w:id="321"/>
      <w:bookmarkEnd w:id="322"/>
    </w:p>
    <w:p w14:paraId="20D97373" w14:textId="6E4754FD" w:rsidR="00410069" w:rsidRDefault="00410069" w:rsidP="00410069">
      <w:pPr>
        <w:pStyle w:val="Heading3"/>
      </w:pPr>
      <w:bookmarkStart w:id="323" w:name="_Toc485721621"/>
      <w:bookmarkStart w:id="324" w:name="_Toc486787201"/>
      <w:bookmarkStart w:id="325" w:name="_Toc486787349"/>
      <w:r>
        <w:t>Genomic Resources</w:t>
      </w:r>
      <w:bookmarkEnd w:id="323"/>
      <w:bookmarkEnd w:id="324"/>
      <w:bookmarkEnd w:id="325"/>
    </w:p>
    <w:p w14:paraId="512EC52A" w14:textId="3834C280" w:rsidR="00410069" w:rsidRDefault="00410069" w:rsidP="00391005">
      <w:pPr>
        <w:pStyle w:val="ListParagraph"/>
      </w:pPr>
      <w:r>
        <w:t>Whole genome resequencing data from eight Hy-Li</w:t>
      </w:r>
      <w:r w:rsidR="008B6FE1">
        <w:t xml:space="preserve">ne (HL) elite commercial lines </w:t>
      </w:r>
      <w:r>
        <w:t xml:space="preserve">was used with permission from Hy-Line International following its use in the development of the 600K chicken SNP array </w:t>
      </w:r>
      <w:r>
        <w:fldChar w:fldCharType="begin" w:fldLock="1"/>
      </w:r>
      <w:r w:rsidR="0089010C">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"plainTextFormattedCitation" : "(Kranis et al. 2013)", "previouslyFormattedCitation" : "(Kranis et al. 2013)" }, "properties" : { "noteIndex" : 0 }, "schema" : "https://github.com/citation-style-language/schema/raw/master/csl-citation.json" }</w:instrText>
      </w:r>
      <w:r>
        <w:fldChar w:fldCharType="separate"/>
      </w:r>
      <w:r w:rsidR="00547116" w:rsidRPr="00547116">
        <w:rPr>
          <w:noProof/>
        </w:rPr>
        <w:t>(Kranis et al. 2013)</w:t>
      </w:r>
      <w:r>
        <w:fldChar w:fldCharType="end"/>
      </w:r>
      <w:r>
        <w:t>. Sequencing data for each line</w:t>
      </w:r>
      <w:r w:rsidR="00252348">
        <w:t xml:space="preserve"> came from pooled libraries of</w:t>
      </w:r>
      <w:r>
        <w:t xml:space="preserve"> ten individuals. All sequenced lines </w:t>
      </w:r>
      <w:r w:rsidR="00C12778">
        <w:t>we</w:t>
      </w:r>
      <w:r>
        <w:t xml:space="preserve">re from one of three well described commercial breeds: White Leghorn (WL; </w:t>
      </w:r>
      <w:r w:rsidR="008B6FE1">
        <w:t>named WL1-5</w:t>
      </w:r>
      <w:r>
        <w:t>), White P</w:t>
      </w:r>
      <w:r w:rsidR="008B6FE1">
        <w:t>lymouth Rock (WPR; sister lines named WPR1 and WPR2</w:t>
      </w:r>
      <w:r>
        <w:t>), a</w:t>
      </w:r>
      <w:r w:rsidR="008B6FE1">
        <w:t>nd Rhode Island Red (RIR</w:t>
      </w:r>
      <w:r>
        <w:t>).</w:t>
      </w:r>
      <w:r w:rsidR="00901D4B">
        <w:t xml:space="preserve"> </w:t>
      </w:r>
      <w:r w:rsidR="008B6FE1">
        <w:t xml:space="preserve">Three of the sequenced lines (WL2, WL3 and WPR1) used pools of solely females, and the other five lines used only males. </w:t>
      </w:r>
    </w:p>
    <w:p w14:paraId="0A4EB38E" w14:textId="77777777" w:rsidR="00410069" w:rsidRDefault="00410069" w:rsidP="00391005">
      <w:pPr>
        <w:pStyle w:val="ListParagraph"/>
      </w:pPr>
      <w:r>
        <w:t>In addition, individual whole genome resequencing data</w:t>
      </w:r>
      <w:r w:rsidR="006E53A2">
        <w:t xml:space="preserve"> was used</w:t>
      </w:r>
      <w:r>
        <w:t xml:space="preserve"> from nine Roslin J-Li</w:t>
      </w:r>
      <w:r w:rsidR="006E53A2">
        <w:t>ne (JL) females (</w:t>
      </w:r>
      <w:r w:rsidR="00542768">
        <w:t xml:space="preserve">EBI </w:t>
      </w:r>
      <w:r w:rsidR="006E53A2">
        <w:t>ENA: PRJEB15189) and a ten male JL pool (sequenced for the 600K chicken SNP array)</w:t>
      </w:r>
      <w:r>
        <w:t xml:space="preserve">. This line is a Brown Leghorn (BL) created from a mixture of six experimental lines (originally derived from the same ancestral population) which underwent differential selection for over fifty years, now retained at the Roslin Institute, UK </w:t>
      </w:r>
      <w:r>
        <w:fldChar w:fldCharType="begin" w:fldLock="1"/>
      </w:r>
      <w:r w:rsidR="0089010C">
        <w:instrText>ADDIN CSL_CITATION { "citationItems" : [ { "id" : "ITEM-1", "itemData" : { "DOI" : "10.1079/WPS19540029", "ISSN" : "17434777", "author" : [ { "dropping-particle" : "", "family" : "Blyth", "given" : "JSS", "non-dropping-particle" : "", "parse-names" : false, "suffix" : "" } ], "container-title" : "World's poultry science journal", "id" : "ITEM-1", "issue" : "2", "issued" : { "date-parts" : [ [ "1954" ] ] }, "page" : "140-143", "title" : "Notes on the poultry research centre flock of brown leghorns", "type" : "article-journal", "volume" : "10" }, "uris" : [ "http://www.mendeley.com/documents/?uuid=15a1f5c3-08f7-464e-8768-04aa3ea1cd59" ] }, { "id" : "ITEM-2", "itemData" : { "DOI" : "10.1080/00071666508415577", "ISSN" : "14695073", "author" : [ { "dropping-particle" : "", "family" : "Blyth", "given" : "JSS", "non-dropping-particle" : "", "parse-names" : false, "suffix" : "" }, { "dropping-particle" : "", "family" : "Sang", "given" : "JH", "non-dropping-particle" : "", "parse-names" : false, "suffix" : "" } ], "id" : "ITEM-2", "issued" : { "date-parts" : [ [ "1960" ] ] }, "page" : "408-421", "title" : "Survey of line crosses in a Brown Leghorn flock", "type" : "article-journal" }, "uris" : [ "http://www.mendeley.com/documents/?uuid=95b497ce-1e2e-4868-8aa4-758f27ac5242" ] } ], "mendeley" : { "formattedCitation" : "(Blyth 1954; Blyth &amp; Sang 1960)", "plainTextFormattedCitation" : "(Blyth 1954; Blyth &amp; Sang 1960)", "previouslyFormattedCitation" : "(Blyth 1954; Blyth &amp; Sang 1960)" }, "properties" : { "noteIndex" : 0 }, "schema" : "https://github.com/citation-style-language/schema/raw/master/csl-citation.json" }</w:instrText>
      </w:r>
      <w:r>
        <w:fldChar w:fldCharType="separate"/>
      </w:r>
      <w:r w:rsidR="00547116" w:rsidRPr="00547116">
        <w:rPr>
          <w:noProof/>
        </w:rPr>
        <w:t>(Blyth 1954; Blyth &amp; Sang 1960)</w:t>
      </w:r>
      <w:r>
        <w:fldChar w:fldCharType="end"/>
      </w:r>
      <w:r w:rsidR="006E53A2">
        <w:t xml:space="preserve">. </w:t>
      </w:r>
    </w:p>
    <w:p w14:paraId="2F6525F9" w14:textId="0E0B0361" w:rsidR="000D6D4C" w:rsidRDefault="00FE29DD" w:rsidP="00391005">
      <w:pPr>
        <w:pStyle w:val="ListParagraph"/>
      </w:pPr>
      <w:r>
        <w:t>All sequencing data were Illumina paired-end 101 bp reads</w:t>
      </w:r>
      <w:r w:rsidR="00CF74D7">
        <w:t xml:space="preserve"> with a 500 bp insert size</w:t>
      </w:r>
      <w:r>
        <w:t>. Data were</w:t>
      </w:r>
      <w:r w:rsidR="00901D4B">
        <w:t xml:space="preserve"> </w:t>
      </w:r>
      <w:r w:rsidR="00B9535E">
        <w:t xml:space="preserve">quality checked </w:t>
      </w:r>
      <w:r w:rsidR="00410069">
        <w:t xml:space="preserve">with FastQC v0.11.2 </w:t>
      </w:r>
      <w:r w:rsidR="00410069">
        <w:fldChar w:fldCharType="begin" w:fldLock="1"/>
      </w:r>
      <w:r w:rsidR="0089010C">
        <w:instrText>ADDIN CSL_CITATION { "citationItems" : [ { "id" : "ITEM-1", "itemData" : { "author" : [ { "dropping-particle" : "", "family" : "Andrews", "given" : "S", "non-dropping-particle" : "", "parse-names" : false, "suffix" : "" } ], "id" : "ITEM-1", "issued" : { "date-parts" : [ [ "2012" ] ] }, "title" : "FastQC. \"A quality control tool for high throughput sequence data\"", "type" : "article" }, "uris" : [ "http://www.mendeley.com/documents/?uuid=9238df86-0c7e-438b-919d-fd3e8486f738" ] } ], "mendeley" : { "formattedCitation" : "(Andrews 2012)", "plainTextFormattedCitation" : "(Andrews 2012)", "previouslyFormattedCitation" : "(Andrews 2012)" }, "properties" : { "noteIndex" : 0 }, "schema" : "https://github.com/citation-style-language/schema/raw/master/csl-citation.json" }</w:instrText>
      </w:r>
      <w:r w:rsidR="00410069">
        <w:fldChar w:fldCharType="separate"/>
      </w:r>
      <w:r w:rsidR="00547116" w:rsidRPr="00547116">
        <w:rPr>
          <w:noProof/>
        </w:rPr>
        <w:t>(Andrews 2012)</w:t>
      </w:r>
      <w:r w:rsidR="00410069">
        <w:fldChar w:fldCharType="end"/>
      </w:r>
      <w:r w:rsidR="00410069">
        <w:t xml:space="preserve"> and no trimming was required.</w:t>
      </w:r>
      <w:r w:rsidR="0088121E">
        <w:t xml:space="preserve"> </w:t>
      </w:r>
      <w:r w:rsidR="00901D4B">
        <w:t xml:space="preserve">Each dataset was individually mapped to the Galgal5 reference genome </w:t>
      </w:r>
      <w:r w:rsidR="00901D4B" w:rsidRPr="000A5040">
        <w:t>(GenBank: GCF_000002315.4)</w:t>
      </w:r>
      <w:r w:rsidR="00901D4B">
        <w:t xml:space="preserve"> using BWA-mem v0.7.10 </w:t>
      </w:r>
      <w:r w:rsidR="00901D4B">
        <w:fldChar w:fldCharType="begin" w:fldLock="1"/>
      </w:r>
      <w:r w:rsidR="0089010C">
        <w:instrText>ADDIN CSL_CITATION { "citationItems" : [ { "id" : "ITEM-1", "itemData" : { "author" : [ { "dropping-particle" : "", "family" : "Li", "given" : "Heng", "non-dropping-particle" : "", "parse-names" : false, "suffix" : "" } ], "id" : "ITEM-1", "issue" : "00", "issued" : { "date-parts" : [ [ "2013" ] ] }, "note" : "NGS short read mappers originally designed for 36bp reads. Improvements in tech and chemistry means that reads are no longer this short. Many existing mappers were then unable to provide accurate results as the longer read length emans you have to incorporate the ability to handle affine gap (end) penalties, and not mandate end to end alignment (in a longer read there is more chance to have issues/duplications, deletions etc). \n\n        \nBWA-MEM uses: \n- seed and extend, with re-seeding to reduce mismappings whilst generating maximal results\n- chains of closely located sequence reads to discount short, poor quality or incorrect reads to stop costly incorrect extension later\n- adapted seed extension protocols so that it can choose between the best local and end to end alignments, and discern scoring differences during extension\n\n        \nBWA-MEM is more scalable to large genomes than other aligners as the seeding algorithm is less dependent on genome size. \n\n        \nGood for both short reads and much longer sections. ", "page" : "1-3", "title" : "Aligning sequence reads , clone sequences and assembly contigs with BWA-MEM", "type" : "article-journal", "volume" : "00" }, "uris" : [ "http://www.mendeley.com/documents/?uuid=9f5e5558-2b6a-4873-b4ea-e373d4d73dea" ] } ], "mendeley" : { "formattedCitation" : "(Li 2013)", "plainTextFormattedCitation" : "(Li 2013)", "previouslyFormattedCitation" : "(Li 2013)" }, "properties" : { "noteIndex" : 0 }, "schema" : "https://github.com/citation-style-language/schema/raw/master/csl-citation.json" }</w:instrText>
      </w:r>
      <w:r w:rsidR="00901D4B">
        <w:fldChar w:fldCharType="separate"/>
      </w:r>
      <w:r w:rsidR="00547116" w:rsidRPr="00547116">
        <w:rPr>
          <w:noProof/>
        </w:rPr>
        <w:t>(Li 2013)</w:t>
      </w:r>
      <w:r w:rsidR="00901D4B">
        <w:fldChar w:fldCharType="end"/>
      </w:r>
      <w:r w:rsidR="00901D4B">
        <w:t xml:space="preserve"> and average genome coverage was calculated using</w:t>
      </w:r>
      <w:r w:rsidR="00CF74D7">
        <w:t xml:space="preserve"> the</w:t>
      </w:r>
      <w:r w:rsidR="00B9535E">
        <w:t xml:space="preserve"> </w:t>
      </w:r>
      <w:r w:rsidR="00CF74D7">
        <w:t xml:space="preserve">samtools v0.1.19 </w:t>
      </w:r>
      <w:r w:rsidR="00B9535E">
        <w:t>mpi</w:t>
      </w:r>
      <w:r w:rsidR="00CF74D7">
        <w:t>leup</w:t>
      </w:r>
      <w:r w:rsidR="00901D4B">
        <w:t xml:space="preserve"> </w:t>
      </w:r>
      <w:r w:rsidR="00CF74D7">
        <w:t xml:space="preserve">tool </w:t>
      </w:r>
      <w:r w:rsidR="00901D4B">
        <w:fldChar w:fldCharType="begin" w:fldLock="1"/>
      </w:r>
      <w:r w:rsidR="0089010C">
        <w:instrText>ADDIN CSL_CITATION { "citationItems" : [ { "id" : "ITEM-1", "itemData" : { "DOI" : "10.1093/bioinformatics/btp352", "ISBN" : "1367-4803\\r1460-2059", "ISSN" : "13674803", "PMID" : "19505943", "abstract" : "SUMMARY: The Sequence Alignment/Map (SAM) format is a generic alignment format for storing read alignments against reference sequences, supporting short and long reads (up to 128 Mbp) produced by different sequencing platforms. It is flexible in style, compact in size, efficient in random access and is the format in which alignments from the 1000 Genomes Project are released. SAMtools implements various utilities for post-processing alignments in the SAM format, such as indexing, variant caller and alignment viewer, and thus provides universal tools for processing read alignments. AVAILABILITY: http://samtools.sourceforge.net.", "author" : [ { "dropping-particle" : "", "family" : "Li", "given" : "Heng", "non-dropping-particle" : "", "parse-names" : false, "suffix" : "" }, { "dropping-particle" : "", "family" : "Handsaker", "given" : "Bob", "non-dropping-particle" : "", "parse-names" : false, "suffix" : "" }, { "dropping-particle" : "", "family" : "Wysoker", "given" : "Alec", "non-dropping-particle" : "", "parse-names" : false, "suffix" : "" }, { "dropping-particle" : "", "family" : "Fennell", "given" : "Tim", "non-dropping-particle" : "", "parse-names" : false, "suffix" : "" }, { "dropping-particle" : "", "family" : "Ruan", "given" : "Jue", "non-dropping-particle" : "", "parse-names" : false, "suffix" : "" }, { "dropping-particle" : "", "family" : "Homer", "given" : "Nils", "non-dropping-particle" : "", "parse-names" : false, "suffix" : "" }, { "dropping-particle" : "", "family" : "Marth", "given" : "Gabor", "non-dropping-particle" : "", "parse-names" : false, "suffix" : "" }, { "dropping-particle" : "", "family" : "Abecasis", "given" : "Goncalo", "non-dropping-particle" : "", "parse-names" : false, "suffix" : "" }, { "dropping-particle" : "", "family" : "Durbin", "given" : "Richard", "non-dropping-particle" : "", "parse-names" : false, "suffix" : "" } ], "container-title" : "Bioinformatics", "id" : "ITEM-1", "issue" : "16", "issued" : { "date-parts" : [ [ "2009" ] ] }, "page" : "2078-2079", "title" : "The Sequence Alignment/Map format and SAMtools", "type" : "article-journal", "volume" : "25" }, "uris" : [ "http://www.mendeley.com/documents/?uuid=39ca6195-ddfb-4584-b01e-3432a7cb8424" ] } ], "mendeley" : { "formattedCitation" : "(Li et al. 2009)", "plainTextFormattedCitation" : "(Li et al. 2009)", "previouslyFormattedCitation" : "(Li et al. 2009)" }, "properties" : { "noteIndex" : 0 }, "schema" : "https://github.com/citation-style-language/schema/raw/master/csl-citation.json" }</w:instrText>
      </w:r>
      <w:r w:rsidR="00901D4B">
        <w:fldChar w:fldCharType="separate"/>
      </w:r>
      <w:r w:rsidR="00547116" w:rsidRPr="00547116">
        <w:rPr>
          <w:noProof/>
        </w:rPr>
        <w:t>(Li et al. 2009)</w:t>
      </w:r>
      <w:r w:rsidR="00901D4B">
        <w:fldChar w:fldCharType="end"/>
      </w:r>
      <w:r w:rsidR="00B9535E">
        <w:t>.</w:t>
      </w:r>
      <w:r w:rsidR="00901D4B">
        <w:t xml:space="preserve">  </w:t>
      </w:r>
      <w:bookmarkStart w:id="326" w:name="_Ref467851077"/>
    </w:p>
    <w:p w14:paraId="3E5EEB38" w14:textId="656EAD0D" w:rsidR="00410069" w:rsidRDefault="0088121E" w:rsidP="00EF25D6">
      <w:pPr>
        <w:pStyle w:val="Heading3"/>
      </w:pPr>
      <w:bookmarkStart w:id="327" w:name="_Ref467854164"/>
      <w:bookmarkStart w:id="328" w:name="_Toc485721622"/>
      <w:bookmarkStart w:id="329" w:name="_Toc486787202"/>
      <w:bookmarkStart w:id="330" w:name="_Toc486787350"/>
      <w:r>
        <w:lastRenderedPageBreak/>
        <w:t>ALVE identification with a custom pipeline</w:t>
      </w:r>
      <w:bookmarkEnd w:id="326"/>
      <w:bookmarkEnd w:id="327"/>
      <w:bookmarkEnd w:id="328"/>
      <w:bookmarkEnd w:id="329"/>
      <w:bookmarkEnd w:id="330"/>
    </w:p>
    <w:p w14:paraId="17331B78" w14:textId="1A8774FB" w:rsidR="00833510" w:rsidRDefault="001F79E5" w:rsidP="00391005">
      <w:pPr>
        <w:pStyle w:val="ListParagraph"/>
      </w:pPr>
      <w:r>
        <w:t>A custom pipeline was created to identify ALVE insertions in paired-end sequencing data. This pipeline makes use of existing, commonly used and freely available data manipulation software, coded thr</w:t>
      </w:r>
      <w:r w:rsidR="00833510">
        <w:t>ough seven independent scripts</w:t>
      </w:r>
      <w:r>
        <w:t xml:space="preserve">. </w:t>
      </w:r>
      <w:r w:rsidR="00263235">
        <w:t>T</w:t>
      </w:r>
      <w:r>
        <w:t>he code files are available on the CD associated with this thesis</w:t>
      </w:r>
      <w:r w:rsidR="001F12F6">
        <w:t xml:space="preserve"> (</w:t>
      </w:r>
      <w:r w:rsidR="003E2630">
        <w:t>Appendix 1) and online in a</w:t>
      </w:r>
      <w:r w:rsidR="001F12F6">
        <w:t xml:space="preserve"> GitHub repository: </w:t>
      </w:r>
      <w:r w:rsidR="001F12F6" w:rsidRPr="0093068F">
        <w:t>https://github.com/andrewstephenmason/ALVE_ID_pipeline</w:t>
      </w:r>
      <w:r>
        <w:t>.</w:t>
      </w:r>
    </w:p>
    <w:p w14:paraId="7C1E6D8F" w14:textId="478C03D8" w:rsidR="001F79E5" w:rsidRDefault="00252348" w:rsidP="00391005">
      <w:pPr>
        <w:pStyle w:val="ListParagraph"/>
      </w:pPr>
      <w:r>
        <w:t>The</w:t>
      </w:r>
      <w:r w:rsidR="001F79E5">
        <w:t xml:space="preserve"> pipeline identifies and</w:t>
      </w:r>
      <w:r w:rsidR="000A5040">
        <w:t xml:space="preserve"> extracts paired reads from </w:t>
      </w:r>
      <w:r w:rsidR="008B6FE1">
        <w:t>resequencing data where at least one of the reads has</w:t>
      </w:r>
      <w:r w:rsidR="001F79E5">
        <w:t xml:space="preserve"> ALVE homology. Extracted read p</w:t>
      </w:r>
      <w:r>
        <w:t>airs are</w:t>
      </w:r>
      <w:r w:rsidR="001F79E5">
        <w:t xml:space="preserve"> mapped to the reference genome, enabling identification of the genomic insertion coordinates. Known</w:t>
      </w:r>
      <w:r w:rsidR="003E2630">
        <w:t xml:space="preserve"> genomic locations for assembled</w:t>
      </w:r>
      <w:r w:rsidR="001F79E5">
        <w:t xml:space="preserve"> a</w:t>
      </w:r>
      <w:r>
        <w:t>lpharetroviral elements are</w:t>
      </w:r>
      <w:r w:rsidR="001F79E5">
        <w:t xml:space="preserve"> filtered out and the remaining putative insertions sites are manually checked. The pipeline</w:t>
      </w:r>
      <w:r w:rsidR="00B9535E">
        <w:t>, and its</w:t>
      </w:r>
      <w:r w:rsidR="001F12F6">
        <w:t xml:space="preserve"> use with the HL and JL data</w:t>
      </w:r>
      <w:r w:rsidR="00B9535E">
        <w:t>,</w:t>
      </w:r>
      <w:r w:rsidR="001F79E5">
        <w:t xml:space="preserve"> is described more completely in the following subsections.</w:t>
      </w:r>
    </w:p>
    <w:p w14:paraId="28364163" w14:textId="77777777" w:rsidR="008A60E4" w:rsidRDefault="008A60E4" w:rsidP="00391005">
      <w:pPr>
        <w:pStyle w:val="ListParagraph"/>
      </w:pPr>
    </w:p>
    <w:p w14:paraId="365E0355" w14:textId="2D846F69" w:rsidR="001F79E5" w:rsidRDefault="001F79E5" w:rsidP="001F79E5">
      <w:pPr>
        <w:pStyle w:val="Heading4"/>
      </w:pPr>
      <w:r>
        <w:t>Pseudochromosome mapping, read</w:t>
      </w:r>
      <w:r w:rsidR="003E2630">
        <w:t xml:space="preserve"> subtraction and </w:t>
      </w:r>
      <w:r>
        <w:t>reference genome</w:t>
      </w:r>
      <w:r w:rsidR="003E2630">
        <w:t xml:space="preserve"> mapping</w:t>
      </w:r>
    </w:p>
    <w:p w14:paraId="4FB29B6F" w14:textId="404CBE45" w:rsidR="001F79E5" w:rsidRDefault="001F79E5" w:rsidP="00391005">
      <w:pPr>
        <w:pStyle w:val="ListParagraph"/>
      </w:pPr>
      <w:r>
        <w:t>Reads from each dataset were individually mapped to an ALV-derived ‘pseudochromosome’ using</w:t>
      </w:r>
      <w:r w:rsidR="00901D4B">
        <w:t xml:space="preserve"> BWA-mem</w:t>
      </w:r>
      <w:r>
        <w:t>. The pseudochromosome was constructed from eleven ALV-derived reference sequences</w:t>
      </w:r>
      <w:r w:rsidR="003E2630">
        <w:t xml:space="preserve"> (Appendix 2: AF08)</w:t>
      </w:r>
      <w:r>
        <w:t xml:space="preserve"> joined by 1,000</w:t>
      </w:r>
      <w:r w:rsidR="001F22FF">
        <w:t xml:space="preserve"> </w:t>
      </w:r>
      <w:r>
        <w:t>bp of Ns, wit</w:t>
      </w:r>
      <w:r w:rsidR="003E2630">
        <w:t>h the pseudochromosome</w:t>
      </w:r>
      <w:r>
        <w:t xml:space="preserve"> terminating in 1,000</w:t>
      </w:r>
      <w:r w:rsidR="001F22FF">
        <w:t xml:space="preserve"> </w:t>
      </w:r>
      <w:r>
        <w:t>bp of Ns</w:t>
      </w:r>
      <w:r w:rsidR="003E2630">
        <w:t xml:space="preserve"> (ambiguous bases).</w:t>
      </w:r>
      <w:r>
        <w:t xml:space="preserve"> </w:t>
      </w:r>
    </w:p>
    <w:p w14:paraId="1201DD13" w14:textId="530DE5A8" w:rsidR="001F79E5" w:rsidRDefault="001F79E5" w:rsidP="00391005">
      <w:pPr>
        <w:pStyle w:val="ListParagraph"/>
      </w:pPr>
      <w:r>
        <w:t>All pseudochromosome-mapped reads were subtracted from the original FASTQ files, along with their read pairs</w:t>
      </w:r>
      <w:r w:rsidR="000A5040">
        <w:t xml:space="preserve"> (but filtering out secondary alignments)</w:t>
      </w:r>
      <w:r>
        <w:t>, to produce new ‘reduced’ FASTQ files</w:t>
      </w:r>
      <w:r w:rsidR="00B1572F">
        <w:t xml:space="preserve"> (</w:t>
      </w:r>
      <w:r w:rsidR="00B82618" w:rsidRPr="00B82618">
        <w:fldChar w:fldCharType="begin" w:fldLock="1"/>
      </w:r>
      <w:r w:rsidR="00B82618" w:rsidRPr="00B82618">
        <w:instrText xml:space="preserve"> REF _Ref478653795 \h  \* MERGEFORMAT </w:instrText>
      </w:r>
      <w:r w:rsidR="00B82618" w:rsidRPr="00B82618">
        <w:fldChar w:fldCharType="separate"/>
      </w:r>
      <w:r w:rsidR="002C549C" w:rsidRPr="003E2630">
        <w:t xml:space="preserve">Figure </w:t>
      </w:r>
      <w:r w:rsidR="002C549C">
        <w:rPr>
          <w:noProof/>
        </w:rPr>
        <w:t>5</w:t>
      </w:r>
      <w:r w:rsidR="002C549C" w:rsidRPr="003E2630">
        <w:rPr>
          <w:noProof/>
        </w:rPr>
        <w:t>.</w:t>
      </w:r>
      <w:r w:rsidR="002C549C">
        <w:rPr>
          <w:noProof/>
        </w:rPr>
        <w:t>1</w:t>
      </w:r>
      <w:r w:rsidR="00B82618" w:rsidRPr="00B82618">
        <w:fldChar w:fldCharType="end"/>
      </w:r>
      <w:r w:rsidR="00B1572F">
        <w:t>)</w:t>
      </w:r>
      <w:r>
        <w:t>. Read subtraction wa</w:t>
      </w:r>
      <w:r w:rsidR="00B9535E">
        <w:t>s completed using tools from</w:t>
      </w:r>
      <w:r>
        <w:t xml:space="preserve"> samtools</w:t>
      </w:r>
      <w:r w:rsidR="00901D4B">
        <w:t xml:space="preserve"> </w:t>
      </w:r>
      <w:r w:rsidR="003E2630">
        <w:t>and BASH</w:t>
      </w:r>
      <w:r>
        <w:t xml:space="preserve"> commands</w:t>
      </w:r>
      <w:r w:rsidR="00C12778">
        <w:t>, filtering based on the SAM flag</w:t>
      </w:r>
      <w:r>
        <w:t>. T</w:t>
      </w:r>
      <w:r w:rsidR="003E2630">
        <w:t>he reduced FASTQ files were</w:t>
      </w:r>
      <w:r>
        <w:t xml:space="preserve"> mapped to the chicken Galgal5 reference genome assembly, again with BWA-mem, and reads with a mapping quality lower than 20 were removed. The resulting BAM file was converted to BED-6 format using the BEDTools v2.23.0 </w:t>
      </w:r>
      <w:r>
        <w:fldChar w:fldCharType="begin" w:fldLock="1"/>
      </w:r>
      <w:r w:rsidR="0089010C">
        <w:instrText>ADDIN CSL_CITATION { "citationItems" : [ { "id" : "ITEM-1", "itemData" : { "DOI" : "10.1093/bioinformatics/btq033", "ISSN" : "1367-4811", "PMID" : "20110278", "abstract" : "MOTIVATION: Testing for correlations between different sets of genomic features is a fundamental task in genomics research. However, searching for overlaps between features with existing web-based methods is complicated by the massive datasets that are routinely produced with current sequencing technologies. Fast and flexible tools are therefore required to ask complex questions of these data in an efficient manner.\n\nRESULTS: This article introduces a new software suite for the comparison, manipulation and annotation of genomic features in Browser Extensible Data (BED) and General Feature Format (GFF) format. BEDTools also supports the comparison of sequence alignments in BAM format to both BED and GFF features. The tools are extremely efficient and allow the user to compare large datasets (e.g. next-generation sequencing data) with both public and custom genome annotation tracks. BEDTools can be combined with one another as well as with standard UNIX commands, thus facilitating routine genomics tasks as well as pipelines that can quickly answer intricate questions of large genomic datasets.\n\nAVAILABILITY AND IMPLEMENTATION: BEDTools was written in C++. Source code and a comprehensive user manual are freely available at http://code.google.com/p/bedtools\n\nCONTACT: aaronquinlan@gmail.com; imh4y@virginia.edu\n\nSUPPLEMENTARY INFORMATION: Supplementary data are available at Bioinformatics online.", "author" : [ { "dropping-particle" : "", "family" : "Quinlan", "given" : "Aaron R", "non-dropping-particle" : "", "parse-names" : false, "suffix" : "" }, { "dropping-particle" : "", "family" : "Hall", "given" : "Ira M", "non-dropping-particle" : "", "parse-names" : false, "suffix" : "" } ], "container-title" : "Bioinformatics (Oxford, England)", "id" : "ITEM-1", "issue" : "6", "issued" : { "date-parts" : [ [ "2010", "3", "15" ] ] }, "note" : "BEDTools represents a software package of related algorithms which allow genomic data to be compared to existing track information, such as exon position etc.\nThis may be useful for identifying whether putative ERVs are within/nearby genes (exons/introns) etc.\n\n        \nSoftware freely available and accessible from the UNIX command line", "page" : "841-2", "title" : "BEDTools: a flexible suite of utilities for comparing genomic features.", "type" : "article-journal", "volume" : "26" }, "uris" : [ "http://www.mendeley.com/documents/?uuid=06d14a60-8c50-4f49-9d1e-d28407b5f3b2" ] } ], "mendeley" : { "formattedCitation" : "(Quinlan &amp; Hall 2010)", "plainTextFormattedCitation" : "(Quinlan &amp; Hall 2010)", "previouslyFormattedCitation" : "(Quinlan &amp; Hall 2010)" }, "properties" : { "noteIndex" : 0 }, "schema" : "https://github.com/citation-style-language/schema/raw/master/csl-citation.json" }</w:instrText>
      </w:r>
      <w:r>
        <w:fldChar w:fldCharType="separate"/>
      </w:r>
      <w:r w:rsidR="00547116" w:rsidRPr="00547116">
        <w:rPr>
          <w:noProof/>
        </w:rPr>
        <w:t>(Quinlan &amp; Hall 2010)</w:t>
      </w:r>
      <w:r>
        <w:fldChar w:fldCharType="end"/>
      </w:r>
      <w:r>
        <w:t xml:space="preserve"> bamToBed tool, splitting clipped reads into distinct BED entries. Entries 12</w:t>
      </w:r>
      <w:r w:rsidR="001F22FF">
        <w:t xml:space="preserve"> </w:t>
      </w:r>
      <w:r>
        <w:t>bp or fewer apart were merged with the BEDTools mergeBed tool, and these putative ALVE insertion site regions were removed if they were shorter than 200</w:t>
      </w:r>
      <w:r w:rsidR="001F22FF">
        <w:t xml:space="preserve"> </w:t>
      </w:r>
      <w:r>
        <w:t xml:space="preserve">bp. </w:t>
      </w:r>
    </w:p>
    <w:p w14:paraId="4307D06B" w14:textId="42EC1A20" w:rsidR="00B1572F" w:rsidRPr="003E2630" w:rsidRDefault="00B1572F" w:rsidP="00391005">
      <w:pPr>
        <w:pStyle w:val="ListParagraph"/>
        <w:rPr>
          <w:sz w:val="2"/>
        </w:rPr>
      </w:pPr>
    </w:p>
    <w:p w14:paraId="76B30CE5" w14:textId="68F2C2C9" w:rsidR="00B1572F" w:rsidRDefault="001F22FF" w:rsidP="003E2630">
      <w:pPr>
        <w:pStyle w:val="ListParagraph"/>
        <w:jc w:val="center"/>
      </w:pPr>
      <w:r>
        <w:rPr>
          <w:noProof/>
          <w:lang w:eastAsia="en-GB"/>
        </w:rPr>
        <w:lastRenderedPageBreak/>
        <w:drawing>
          <wp:inline distT="0" distB="0" distL="0" distR="0" wp14:anchorId="404D68F0" wp14:editId="07D168B3">
            <wp:extent cx="5113046" cy="1812897"/>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40540" cy="1822645"/>
                    </a:xfrm>
                    <a:prstGeom prst="rect">
                      <a:avLst/>
                    </a:prstGeom>
                    <a:noFill/>
                  </pic:spPr>
                </pic:pic>
              </a:graphicData>
            </a:graphic>
          </wp:inline>
        </w:drawing>
      </w:r>
    </w:p>
    <w:p w14:paraId="3ED73683" w14:textId="2F7DA9B8" w:rsidR="008A60E4" w:rsidRDefault="00B1572F" w:rsidP="00B1572F">
      <w:pPr>
        <w:pStyle w:val="Figure"/>
      </w:pPr>
      <w:bookmarkStart w:id="331" w:name="_Ref478653795"/>
      <w:bookmarkStart w:id="332" w:name="_Toc486785441"/>
      <w:r w:rsidRPr="003E2630">
        <w:t xml:space="preserve">Figure </w:t>
      </w:r>
      <w:fldSimple w:instr=" STYLEREF 1 \s " w:fldLock="1">
        <w:r w:rsidR="002C549C">
          <w:rPr>
            <w:noProof/>
          </w:rPr>
          <w:t>5</w:t>
        </w:r>
      </w:fldSimple>
      <w:r w:rsidR="001167C6" w:rsidRPr="003E2630">
        <w:t>.</w:t>
      </w:r>
      <w:fldSimple w:instr=" SEQ Figure \* ARABIC \s 1 " w:fldLock="1">
        <w:r w:rsidR="002C549C">
          <w:rPr>
            <w:noProof/>
          </w:rPr>
          <w:t>1</w:t>
        </w:r>
      </w:fldSimple>
      <w:bookmarkEnd w:id="331"/>
      <w:r>
        <w:t xml:space="preserve"> Reads mapped to t</w:t>
      </w:r>
      <w:r w:rsidR="001F22FF">
        <w:t xml:space="preserve">he retroviral pseudochromosome. </w:t>
      </w:r>
      <w:r>
        <w:t xml:space="preserve">For read pairs, there are four possible mapping scenarios. Both reads in the pair can map to the pseudochromosome (A), but this gives no positional information relative to the host genome. One read of the pair can map fully (B) with the </w:t>
      </w:r>
      <w:r w:rsidR="001F22FF">
        <w:t>mate</w:t>
      </w:r>
      <w:r>
        <w:t xml:space="preserve"> presumably mapping to the host genome. This locates</w:t>
      </w:r>
      <w:r w:rsidR="001F22FF">
        <w:t xml:space="preserve"> the read, providing</w:t>
      </w:r>
      <w:r>
        <w:t xml:space="preserve"> general positional information. </w:t>
      </w:r>
      <w:r w:rsidR="001F22FF">
        <w:t>In a similar manner</w:t>
      </w:r>
      <w:r>
        <w:t>,</w:t>
      </w:r>
      <w:r w:rsidR="003E2630">
        <w:t xml:space="preserve"> if</w:t>
      </w:r>
      <w:r>
        <w:t xml:space="preserve"> one read of the pair maps at the very en</w:t>
      </w:r>
      <w:r w:rsidR="003E2630">
        <w:t xml:space="preserve">d of the retroviral sequence </w:t>
      </w:r>
      <w:r>
        <w:t xml:space="preserve">some of the read is clipped (C). The clipped sequence is host genome, so provides exact coordinates for the insertion point. Finally, </w:t>
      </w:r>
      <w:r w:rsidR="001F22FF">
        <w:t>most</w:t>
      </w:r>
      <w:r>
        <w:t xml:space="preserve"> read pairs will be unmapped as they have no retroviral sequence (D).</w:t>
      </w:r>
      <w:r w:rsidR="001F22FF">
        <w:t xml:space="preserve"> Mapped reads are in dark blue and unmapped reads in light blue. The dotted lines represent the distance between read pairs. The black bar represents the 1 kb of Ns which separate the pseudochromosome retroviral sequences.</w:t>
      </w:r>
      <w:bookmarkEnd w:id="332"/>
    </w:p>
    <w:p w14:paraId="6C8ADD05" w14:textId="7540411B" w:rsidR="001F79E5" w:rsidRDefault="001F79E5" w:rsidP="001F79E5">
      <w:pPr>
        <w:pStyle w:val="Heading4"/>
      </w:pPr>
      <w:bookmarkStart w:id="333" w:name="_Ref467851802"/>
      <w:r>
        <w:t>Filtering and manual confirmation of putative insertions</w:t>
      </w:r>
      <w:bookmarkEnd w:id="333"/>
    </w:p>
    <w:p w14:paraId="16CBE3E2" w14:textId="6C12E0B2" w:rsidR="001F79E5" w:rsidRDefault="001F79E5" w:rsidP="00391005">
      <w:pPr>
        <w:pStyle w:val="ListParagraph"/>
      </w:pPr>
      <w:r>
        <w:t>Putative ALVE insertion site regions were compared to known alpharetroviral locations in the Galgal5 reference genome using the</w:t>
      </w:r>
      <w:r w:rsidR="000A5040">
        <w:t xml:space="preserve"> BEDTools intersectBed tool. P</w:t>
      </w:r>
      <w:r>
        <w:t xml:space="preserve">utative </w:t>
      </w:r>
      <w:r w:rsidR="000A5040">
        <w:t xml:space="preserve">insertion site </w:t>
      </w:r>
      <w:r>
        <w:t>regions were removed if they overlapped wi</w:t>
      </w:r>
      <w:r w:rsidR="00BE2F28">
        <w:t>th known assembled locations. Assembled</w:t>
      </w:r>
      <w:r>
        <w:t xml:space="preserve"> alpharetroviral-derived sequence locations were identified using a BLASTn</w:t>
      </w:r>
      <w:r w:rsidR="00BE2F28">
        <w:t xml:space="preserve"> </w:t>
      </w:r>
      <w:r w:rsidR="00BE2F28">
        <w:fldChar w:fldCharType="begin" w:fldLock="1"/>
      </w:r>
      <w:r w:rsidR="00BE2F28">
        <w:instrText>ADDIN CSL_CITATION { "citationItems" : [ { "id" : "ITEM-1", "itemData" : { "DOI" : "10.1016/S0022-2836(05)80360-2", "ISSN" : "0022-2836", "PMID" : "2231712", "abstract" : "A new approach to rapid sequence comparison, basic local alignment search tool (BLAST), directly approximates alignments that optimize a measure of local similarity, the maximal segment pair (MSP) score. Recent mathematical results on the stochastic properties of MSP scores allow an analysis of the performance of this method as well as the statistical significance of alignments it generates. The basic algorithm is simple and robust; it can be implemented in a number of ways and applied in a variety of contexts including straightforward DNA and protein sequence database searches, motif searches, gene identification searches, and in the analysis of multiple regions of similarity in long DNA sequences. In addition to its flexibility and tractability to mathematical analysis, BLAST is an order of magnitude faster than existing sequence comparison tools of comparable sensitivity.", "author" : [ { "dropping-particle" : "", "family" : "Altschul", "given" : "S F", "non-dropping-particle" : "", "parse-names" : false, "suffix" : "" }, { "dropping-particle" : "", "family" : "Gish", "given" : "W", "non-dropping-particle" : "", "parse-names" : false, "suffix" : "" }, { "dropping-particle" : "", "family" : "Miller", "given" : "W", "non-dropping-particle" : "", "parse-names" : false, "suffix" : "" }, { "dropping-particle" : "", "family" : "Myers", "given" : "E W", "non-dropping-particle" : "", "parse-names" : false, "suffix" : "" }, { "dropping-particle" : "", "family" : "Lipman", "given" : "D J", "non-dropping-particle" : "", "parse-names" : false, "suffix" : "" } ], "container-title" : "Journal of molecular biology", "id" : "ITEM-1", "issue" : "3", "issued" : { "date-parts" : [ [ "1990", "10", "5" ] ] }, "page" : "403-10", "title" : "Basic local alignment search tool.", "type" : "article-journal", "volume" : "215" }, "uris" : [ "http://www.mendeley.com/documents/?uuid=0188c6d8-06ae-4ebf-a9af-c569717e2063" ] } ], "mendeley" : { "formattedCitation" : "(Altschul et al. 1990)", "plainTextFormattedCitation" : "(Altschul et al. 1990)", "previouslyFormattedCitation" : "(Altschul et al. 1990)" }, "properties" : { "noteIndex" : 0 }, "schema" : "https://github.com/citation-style-language/schema/raw/master/csl-citation.json" }</w:instrText>
      </w:r>
      <w:r w:rsidR="00BE2F28">
        <w:fldChar w:fldCharType="separate"/>
      </w:r>
      <w:r w:rsidR="00BE2F28" w:rsidRPr="00547116">
        <w:rPr>
          <w:noProof/>
        </w:rPr>
        <w:t>(Altschul et al. 1990)</w:t>
      </w:r>
      <w:r w:rsidR="00BE2F28">
        <w:fldChar w:fldCharType="end"/>
      </w:r>
      <w:r>
        <w:t xml:space="preserve"> protocol with an E-value threshold of 10</w:t>
      </w:r>
      <w:r>
        <w:rPr>
          <w:vertAlign w:val="superscript"/>
        </w:rPr>
        <w:t>-10</w:t>
      </w:r>
      <w:r w:rsidR="00BE2F28">
        <w:t>, and i</w:t>
      </w:r>
      <w:r>
        <w:t>dentified genomic coordinates</w:t>
      </w:r>
      <w:r w:rsidR="00252348">
        <w:t xml:space="preserve"> were converted</w:t>
      </w:r>
      <w:r w:rsidR="00382C62">
        <w:t xml:space="preserve"> into</w:t>
      </w:r>
      <w:r>
        <w:t xml:space="preserve"> BED-6 format</w:t>
      </w:r>
      <w:r w:rsidR="00BE2F28">
        <w:t>.</w:t>
      </w:r>
      <w:r>
        <w:t xml:space="preserve"> Thirty reference sequences were used in total, including all those used in the pseudochromosome</w:t>
      </w:r>
      <w:r w:rsidR="00BE2F28">
        <w:t xml:space="preserve"> (Appendix 2: AF07)</w:t>
      </w:r>
      <w:r>
        <w:t xml:space="preserve">. The extra sequences were added to identify EAV and ART-CH (avian retrotransposon of chickens) alpharetroviral sequences, as these share significant homology with ALV-derived sequence; enough for </w:t>
      </w:r>
      <w:r w:rsidR="00C12778">
        <w:t>multi-m</w:t>
      </w:r>
      <w:r w:rsidR="00BE2F28">
        <w:t>apping.</w:t>
      </w:r>
    </w:p>
    <w:p w14:paraId="26F2232E" w14:textId="3D81EAA8" w:rsidR="001F79E5" w:rsidRDefault="001F79E5" w:rsidP="00391005">
      <w:pPr>
        <w:pStyle w:val="ListParagraph"/>
      </w:pPr>
      <w:r>
        <w:t xml:space="preserve">The remaining putative ALVE </w:t>
      </w:r>
      <w:r w:rsidR="00252348">
        <w:t>insertion site regions were</w:t>
      </w:r>
      <w:r>
        <w:t xml:space="preserve"> filtered based on the presence of clipped reads. These reads map correctly to the reference genome for only part of their length, so may indicate the exact insertion site if the remainder of the read is </w:t>
      </w:r>
      <w:r>
        <w:lastRenderedPageBreak/>
        <w:t>homologous to ALVE sequence. Higher confidence scores were given to those regions exhibiting</w:t>
      </w:r>
      <w:r w:rsidR="00382C62">
        <w:t xml:space="preserve"> both 5’ and 3’ clipped reads</w:t>
      </w:r>
      <w:r>
        <w:t>, as these may support the putative insertion site f</w:t>
      </w:r>
      <w:r w:rsidR="008053DA">
        <w:t>rom both ends of the insertion (</w:t>
      </w:r>
      <w:r w:rsidR="008053DA" w:rsidRPr="00B82618">
        <w:fldChar w:fldCharType="begin" w:fldLock="1"/>
      </w:r>
      <w:r w:rsidR="008053DA" w:rsidRPr="00B82618">
        <w:instrText xml:space="preserve"> REF _Ref478632787 \h </w:instrText>
      </w:r>
      <w:r w:rsidR="00B82618" w:rsidRPr="00B82618">
        <w:instrText xml:space="preserve"> \* MERGEFORMAT </w:instrText>
      </w:r>
      <w:r w:rsidR="008053DA" w:rsidRPr="00B82618">
        <w:fldChar w:fldCharType="separate"/>
      </w:r>
      <w:r w:rsidR="002C549C" w:rsidRPr="002C549C">
        <w:t xml:space="preserve">Figure </w:t>
      </w:r>
      <w:r w:rsidR="002C549C" w:rsidRPr="002C549C">
        <w:rPr>
          <w:noProof/>
        </w:rPr>
        <w:t>5.2</w:t>
      </w:r>
      <w:r w:rsidR="008053DA" w:rsidRPr="00B82618">
        <w:fldChar w:fldCharType="end"/>
      </w:r>
      <w:r w:rsidR="00252348">
        <w:t xml:space="preserve">). Regions were </w:t>
      </w:r>
      <w:r>
        <w:t xml:space="preserve">checked manually using IGV Desktop for Windows v2.3.60 </w:t>
      </w:r>
      <w:r>
        <w:fldChar w:fldCharType="begin" w:fldLock="1"/>
      </w:r>
      <w:r w:rsidR="0089010C">
        <w:instrText>ADDIN CSL_CITATION { "citationItems" : [ { "id" : "ITEM-1", "itemData" : { "DOI" : "10.1093/bib/bbs017", "ISBN" : "1477-4054 (Electronic)\\r1467-5463 (Linking)", "ISSN" : "14675463", "PMID" : "22517427", "abstract" : "Data visualization is an essential component of genomic data analysis. However, the size and diversity of the data sets produced by today's sequencing and array-based profiling methods present major challenges to visualization tools. The Integrative Genomics Viewer (IGV) is a high-performance viewer that efficiently handles large heterogeneous data sets, while providing a smooth and intuitive user experience at all levels of genome resolution. A key characteristic of IGV is its focus on the integrative nature of genomic studies, with support for both array-based and next-generation sequencing data, and the integration of clinical and phenotypic data. Although IGV is often used to view genomic data from public sources, its primary emphasis is to support researchers who wish to visualize and explore their own data sets or those from colleagues. To that end, IGV supports flexible loading of local and remote data sets, and is optimized to provide high-performance data visualization and exploration on standard desktop systems. IGV is freely available for download from http://www.broadinstitute.org/igv, under a GNU LGPL open-source license.", "author" : [ { "dropping-particle" : "", "family" : "Thorvaldsd\u00f3ttir", "given" : "Helga", "non-dropping-particle" : "", "parse-names" : false, "suffix" : "" }, { "dropping-particle" : "", "family" : "Robinson", "given" : "James T.", "non-dropping-particle" : "", "parse-names" : false, "suffix" : "" }, { "dropping-particle" : "", "family" : "Mesirov", "given" : "Jill P.", "non-dropping-particle" : "", "parse-names" : false, "suffix" : "" } ], "container-title" : "Briefings in Bioinformatics", "id" : "ITEM-1", "issue" : "2", "issued" : { "date-parts" : [ [ "2013" ] ] }, "page" : "178-192", "title" : "Integrative Genomics Viewer (IGV): High-performance genomics data visualization and exploration", "type" : "article-journal", "volume" : "14" }, "uris" : [ "http://www.mendeley.com/documents/?uuid=89ba2494-745f-43b7-b6c2-8e2b2118694b" ] } ], "mendeley" : { "formattedCitation" : "(Thorvaldsd\u00f3ttir et al. 2013)", "plainTextFormattedCitation" : "(Thorvaldsd\u00f3ttir et al. 2013)", "previouslyFormattedCitation" : "(Thorvaldsd\u00f3ttir et al. 2013)" }, "properties" : { "noteIndex" : 0 }, "schema" : "https://github.com/citation-style-language/schema/raw/master/csl-citation.json" }</w:instrText>
      </w:r>
      <w:r>
        <w:fldChar w:fldCharType="separate"/>
      </w:r>
      <w:r w:rsidR="00547116" w:rsidRPr="00547116">
        <w:rPr>
          <w:noProof/>
        </w:rPr>
        <w:t>(Thorvaldsdóttir et al. 2013)</w:t>
      </w:r>
      <w:r>
        <w:fldChar w:fldCharType="end"/>
      </w:r>
      <w:r w:rsidR="00382C62">
        <w:t>. Clipped read s</w:t>
      </w:r>
      <w:r>
        <w:t>equences were used as queries for the NCBI BLASTn megablast and blastn algorithms</w:t>
      </w:r>
      <w:r w:rsidR="00C12778">
        <w:t xml:space="preserve"> </w:t>
      </w:r>
      <w:r w:rsidR="00252348">
        <w:t>to check for</w:t>
      </w:r>
      <w:r>
        <w:t xml:space="preserve"> homolog</w:t>
      </w:r>
      <w:r w:rsidR="00211DB5">
        <w:t xml:space="preserve">y to ALV-derived sequences, and </w:t>
      </w:r>
      <w:r>
        <w:t xml:space="preserve">the insertion hexamer and </w:t>
      </w:r>
      <w:r w:rsidR="00211DB5">
        <w:t>was noted</w:t>
      </w:r>
      <w:r>
        <w:t xml:space="preserve">. </w:t>
      </w:r>
    </w:p>
    <w:p w14:paraId="682C4DEA" w14:textId="1B5C5726" w:rsidR="008053DA" w:rsidRPr="00252348" w:rsidRDefault="008053DA" w:rsidP="00391005">
      <w:pPr>
        <w:pStyle w:val="ListParagraph"/>
        <w:rPr>
          <w:sz w:val="2"/>
        </w:rPr>
      </w:pPr>
    </w:p>
    <w:p w14:paraId="40881410" w14:textId="49333A25" w:rsidR="008053DA" w:rsidRDefault="008053DA" w:rsidP="00BE2F28">
      <w:pPr>
        <w:pStyle w:val="ListParagraph"/>
        <w:jc w:val="left"/>
      </w:pPr>
      <w:r>
        <w:rPr>
          <w:noProof/>
          <w:lang w:eastAsia="en-GB"/>
        </w:rPr>
        <w:drawing>
          <wp:inline distT="0" distB="0" distL="0" distR="0" wp14:anchorId="4DD1F55F" wp14:editId="44DD6449">
            <wp:extent cx="5257800" cy="87384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l="1683" r="2079"/>
                    <a:stretch/>
                  </pic:blipFill>
                  <pic:spPr bwMode="auto">
                    <a:xfrm>
                      <a:off x="0" y="0"/>
                      <a:ext cx="5376759" cy="893620"/>
                    </a:xfrm>
                    <a:prstGeom prst="rect">
                      <a:avLst/>
                    </a:prstGeom>
                    <a:noFill/>
                    <a:ln>
                      <a:noFill/>
                    </a:ln>
                    <a:extLst>
                      <a:ext uri="{53640926-AAD7-44D8-BBD7-CCE9431645EC}">
                        <a14:shadowObscured xmlns:a14="http://schemas.microsoft.com/office/drawing/2010/main"/>
                      </a:ext>
                    </a:extLst>
                  </pic:spPr>
                </pic:pic>
              </a:graphicData>
            </a:graphic>
          </wp:inline>
        </w:drawing>
      </w:r>
    </w:p>
    <w:p w14:paraId="5CD188F2" w14:textId="3E0C3E31" w:rsidR="002953C1" w:rsidRDefault="008053DA" w:rsidP="008053DA">
      <w:pPr>
        <w:pStyle w:val="Figure"/>
      </w:pPr>
      <w:bookmarkStart w:id="334" w:name="_Ref478632787"/>
      <w:bookmarkStart w:id="335" w:name="_Toc486785442"/>
      <w:r w:rsidRPr="00014ACA">
        <w:t xml:space="preserve">Figure </w:t>
      </w:r>
      <w:fldSimple w:instr=" STYLEREF 1 \s " w:fldLock="1">
        <w:r w:rsidR="002C549C" w:rsidRPr="00014ACA">
          <w:rPr>
            <w:noProof/>
          </w:rPr>
          <w:t>5</w:t>
        </w:r>
      </w:fldSimple>
      <w:r w:rsidR="001167C6" w:rsidRPr="00014ACA">
        <w:t>.</w:t>
      </w:r>
      <w:fldSimple w:instr=" SEQ Figure \* ARABIC \s 1 " w:fldLock="1">
        <w:r w:rsidR="002C549C" w:rsidRPr="00014ACA">
          <w:rPr>
            <w:noProof/>
          </w:rPr>
          <w:t>2</w:t>
        </w:r>
      </w:fldSimple>
      <w:bookmarkEnd w:id="334"/>
      <w:r>
        <w:t xml:space="preserve"> Clipped read support for ALVE insertion sites. Scenarios A, B and C represent reads (black arrows) across a putative insertion</w:t>
      </w:r>
      <w:r w:rsidR="00A069CB">
        <w:t xml:space="preserve"> hexamer sequence, with clipped</w:t>
      </w:r>
      <w:r>
        <w:t xml:space="preserve"> ALVE insertion sequences angled off and in red. A) a site with no insertion showing the reads mapping correctly across the region. </w:t>
      </w:r>
      <w:r w:rsidR="00A069CB">
        <w:t>B) a site with an insertion where there are</w:t>
      </w:r>
      <w:r>
        <w:t xml:space="preserve"> clipped reads at both the 5’ and 3’ ends. The read</w:t>
      </w:r>
      <w:r w:rsidR="00A069CB">
        <w:t>s correctly map</w:t>
      </w:r>
      <w:r>
        <w:t xml:space="preserve"> to the reference geno</w:t>
      </w:r>
      <w:r w:rsidR="00A069CB">
        <w:t>me at the start but then become</w:t>
      </w:r>
      <w:r>
        <w:t xml:space="preserve"> clipped due to the presence of the insertion. As the hexamer sequence is d</w:t>
      </w:r>
      <w:r w:rsidR="00A069CB">
        <w:t>uplicated</w:t>
      </w:r>
      <w:r>
        <w:t xml:space="preserve"> it is represented at both ends of the insert</w:t>
      </w:r>
      <w:r w:rsidR="00A069CB">
        <w:t>, so reads cover it from both directions</w:t>
      </w:r>
      <w:r>
        <w:t xml:space="preserve">. With an intact insertion, the red arrow sequence would be the LTRs at opposite ends of the ALVE. C) a site where the sequencing data only provides evidence for clipped reads at one end of the insertion. These have </w:t>
      </w:r>
      <w:r w:rsidR="00BE2F28">
        <w:t>lower confidence</w:t>
      </w:r>
      <w:r>
        <w:t xml:space="preserve"> than those sites exhibiting scenario B.</w:t>
      </w:r>
      <w:bookmarkEnd w:id="335"/>
      <w:r>
        <w:t xml:space="preserve"> </w:t>
      </w:r>
    </w:p>
    <w:p w14:paraId="323C5987" w14:textId="77777777" w:rsidR="001F79E5" w:rsidRDefault="001F79E5" w:rsidP="001F79E5">
      <w:pPr>
        <w:pStyle w:val="Heading4"/>
      </w:pPr>
      <w:r>
        <w:t>Putative insertion site existing nomenclature and nearby gene features</w:t>
      </w:r>
    </w:p>
    <w:p w14:paraId="50436443" w14:textId="741541FD" w:rsidR="009D51E5" w:rsidRDefault="001F79E5" w:rsidP="00391005">
      <w:pPr>
        <w:pStyle w:val="ListParagraph"/>
      </w:pPr>
      <w:r>
        <w:t>Most previously characterised ALVEs lack publis</w:t>
      </w:r>
      <w:r w:rsidR="002833F6">
        <w:t>hed genomic coordinates</w:t>
      </w:r>
      <w:r>
        <w:t>,</w:t>
      </w:r>
      <w:r w:rsidR="002833F6">
        <w:t xml:space="preserve"> but</w:t>
      </w:r>
      <w:r>
        <w:t xml:space="preserve"> published insertion hexamer sequence, immediate flanking sequence and diagnostic PCR primer sequences were used as BLASTn queries against the Galgal5 assembly to identify known ALVE inser</w:t>
      </w:r>
      <w:r w:rsidR="009D51E5">
        <w:t>tion sites</w:t>
      </w:r>
      <w:r>
        <w:t xml:space="preserve"> </w:t>
      </w:r>
      <w:r>
        <w:fldChar w:fldCharType="begin" w:fldLock="1"/>
      </w:r>
      <w:r w:rsidR="002953C1">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"id" : "ITEM-2",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"ITEM-2", "issued" : { "date-parts" : [ [ "2006", "1" ] ] }, "page" : "19", "title" : "Complete association between a retroviral insertion in the tyrosinase gene and the recessive white mutation in chickens.", "type" : "article-journal", "volume" : "7" }, "uris" : [ "http://www.mendeley.com/documents/?uuid=8077fea8-838f-4da4-b799-fb7fa0225565" ] }, { "id" : "ITEM-3", "itemData" : { "DOI" : "10.3382/ps.2009-00148", "ISSN" : "0032-5791", "PMID" : "19590071", "abstract" : "During the course of evolution, vertebrate genomes have been invaded and colonized by retroviruses. In humans, for example, endogenous retroviruses (long terminal repeat elements) occupy roughly twice as much sequence space as essential genes. There are numerous reports in the literature implicating endogenous proviruses in the modulation of host physiology. The fact that many of these host-virus interactions take place in a proviral locus-specific manner speaks to the need for rapid assays for element profiling. This report deals with the identification of novel elements belonging to a family of endogenous retroviruses, designated ALVE, that reside in the genome of the chicken and that are closely related to exogenous avian leukosis viruses. The study of ALVE elements in the chicken genome serves as a model system for understanding the interplay between endogenous viruses and their vertebrate hosts in general, including humans. In this report, we present locus-specific, diagnostic PCR-based assays for 2 novel ALVE elements. In addition, we characterize the proviral structures and examine the genomic environments of both novel elements along with a previously described element known as ALVE-NSAC-3.", "author" : [ { "dropping-particle" : "", "family" : "Smith", "given" : "a", "non-dropping-particle" : "", "parse-names" : false, "suffix" : "" }, { "dropping-particle" : "", "family" : "Benkel", "given" : "B F", "non-dropping-particle" : "", "parse-names" : false, "suffix" : "" } ], "container-title" : "Poultry science", "id" : "ITEM-3", "issue" : "8", "issued" : { "date-parts" : [ [ "2009", "8" ] ] }, "note" : "Development of simple, quick inexpensive diagnostic tests for ALVE elements is essential for tracking individual elements \u2013 allows study of how these impact the host. Locus-specific PCR based diagnostic assays are essential (ELISAs are much more laborious!). Authors developed tests for two Ev loci and were able to unambiguously differentiate between +/+, +/- and -/- at their particular loci. \nReport marked differences in Ev frequency dependent on breed and line. \nNo similarity between three chosen target sites \u2013 suggesting a randomness for insertion (although tentative point that the two studied are close to or within CR1 sequences) \u00e0 other evidence of insertion in repetitive areas (probably just reduced selection pressure on these areas).", "page" : "1580-5", "title" : "Novel avian leukosis virus-related endogenous proviruses from layer chickens: characterization and development of locus-specific assays.", "type" : "article-journal", "volume" : "88" }, "uris" : [ "http://www.mendeley.com/documents/?uuid=f493723e-bd36-45f2-b612-a5da427ac6a9" ] }, { "id" : "ITEM-4", "itemData" : { "DOI" : "10.1111/j.1365-2052.2008.01759.x", "ISSN" : "02689146", "author" : [ { "dropping-particle" : "", "family" : "Smith", "given" : "A.", "non-dropping-particle" : "", "parse-names" : false, "suffix" : "" }, { "dropping-particle" : "", "family" : "Benkel", "given" : "B. F.", "non-dropping-particle" : "", "parse-names" : false, "suffix" : "" } ], "container-title" : "Animal Genetics", "id" : "ITEM-4", "issue" : "5", "issued" : { "date-parts" : [ [ "2008" ] ] }, "page" : "574-575", "title" : "A diagnostic assay for the endogenous ALV-type provirus &lt;i&gt;ALVE-NSAC-&lt;/i&gt; 3 of chickens", "type" : "article-journal", "volume" : "39" }, "uris" : [ "http://www.mendeley.com/documents/?uuid=c0969fa1-7c9b-43fd-934c-7a7512a84efb" ] }, { "id" : "ITEM-5", "itemData" : { "DOI" : "10.1007/s10528-014-9664-7", "ISSN" : "15734927", "PMID" : "25007752", "abstract" : "Avian leukosis virus subgroup E (ALVE) is a family of endogenous retroviruses in the chicken genome. To investigate the genetic consequences of chicken domestication, we analyzed 18 ALVE loci in red jungle fowls, layers, broilers, and Chinese indigenous chickens. None of the ALVE loci tested were found in red jungle fowls, but 12 were present in domestic chickens. ALVE1 and ALVE16 are found in regions of the genome that harbor quantitative trait loci (QTL) affecting egg production traits. ALVE1 was fixed and ALVE16 was detected only in layers. By contrast, ALVE-b1, ALVE-b5, ALVE-b6, and ALVE-b8 integrated into regions of the genome that harbor QTL affecting meat production traits. Carrier frequencies of these four ALVE loci were high in broilers and low in Chinese local chickens; the loci were not found in the layers. This study demonstrated that insertionally polymorphic ALVE loci can illustrate the selective footprints in the chicken genome.", "author" : [ { "dropping-particle" : "", "family" : "Chen", "given" : "Weiguo", "non-dropping-particle" : "", "parse-names" : false, "suffix" : "" }, { "dropping-particle" : "", "family" : "Qu", "given" : "Hao", "non-dropping-particle" : "", "parse-names" : false, "suffix" : "" }, { "dropping-particle" : "", "family" : "Li", "given" : "Chunyu", "non-dropping-particle" : "", "parse-names" : false, "suffix" : "" }, { "dropping-particle" : "", "family" : "Luo", "given" : "Chenglong", "non-dropping-particle" : "", "parse-names" : false, "suffix" : "" }, { "dropping-particle" : "", "family" : "Wang", "given" : "Jie", "non-dropping-particle" : "", "parse-names" : false, "suffix" : "" }, { "dropping-particle" : "", "family" : "Yang", "given" : "Chunfen", "non-dropping-particle" : "", "parse-names" : false, "suffix" : "" }, { "dropping-particle" : "", "family" : "Shu", "given" : "Dingming", "non-dropping-particle" : "", "parse-names" : false, "suffix" : "" } ], "container-title" : "Biochemical Genetics", "id" : "ITEM-5", "issue" : "11-12", "issued" : { "date-parts" : [ [ "2014" ] ] }, "page" : "524-537", "title" : "Polymorphism of Avian Leukosis Virus Subgroup E Loci Showing Selective Footprints in Chicken", "type" : "article-journal", "volume" : "52" }, "uris" : [ "http://www.mendeley.com/documents/?uuid=9463845d-35c7-4e1c-9589-389918aabf2a" ] } ], "mendeley" : { "formattedCitation" : "(Benkel 1998; Chang et al. 2006; Smith &amp; Benkel 2009a; Smith &amp; Benkel 2008; Chen et al. 2014)", "plainTextFormattedCitation" : "(Benkel 1998; Chang et al. 2006; Smith &amp; Benkel 2009a; Smith &amp; Benkel 2008; Chen et al. 2014)", "previouslyFormattedCitation" : "(Benkel 1998; Chang et al. 2006; Smith &amp; Benkel 2009a; Smith &amp; Benkel 2008; Chen et al. 2014)" }, "properties" : { "noteIndex" : 0 }, "schema" : "https://github.com/citation-style-language/schema/raw/master/csl-citation.json" }</w:instrText>
      </w:r>
      <w:r>
        <w:fldChar w:fldCharType="separate"/>
      </w:r>
      <w:r w:rsidR="002953C1" w:rsidRPr="002953C1">
        <w:rPr>
          <w:noProof/>
        </w:rPr>
        <w:t>(Benkel 1998; Chang et al. 2006; Smith &amp; Benkel 2009a; Smith &amp; Benkel 2008; Chen et al. 2014)</w:t>
      </w:r>
      <w:r>
        <w:fldChar w:fldCharType="end"/>
      </w:r>
      <w:r>
        <w:t>.</w:t>
      </w:r>
      <w:r w:rsidR="00241ECC">
        <w:t xml:space="preserve"> In addition, Professor Bernhard Benkel</w:t>
      </w:r>
      <w:r w:rsidR="00BE2F28">
        <w:t xml:space="preserve"> (Dalhousie University,</w:t>
      </w:r>
      <w:r w:rsidR="00241ECC">
        <w:t xml:space="preserve"> Nova Scotia, Canada) kindly shared validated insertion sites from his recent ‘Chickens of the World’ study of </w:t>
      </w:r>
      <w:r w:rsidR="00BE2F28">
        <w:t xml:space="preserve">ALVE diversity, built on </w:t>
      </w:r>
      <w:r w:rsidR="00241ECC">
        <w:t xml:space="preserve">forty years of ALVE research </w:t>
      </w:r>
      <w:r w:rsidR="00241ECC">
        <w:fldChar w:fldCharType="begin" w:fldLock="1"/>
      </w:r>
      <w:r w:rsidR="00FA6757">
        <w:instrText>ADDIN CSL_CITATION { "citationItems" : [ { "id" : "ITEM-1", "itemData" : { "DOI" : "10.3382/ps/pew194", "ISSN" : "15253171", "author" : [ { "dropping-particle" : "", "family" : "Rutherford", "given" : "K", "non-dropping-particle" : "", "parse-names" : false, "suffix" : "" }, { "dropping-particle" : "", "family" : "Meehan", "given" : "C J", "non-dropping-particle" : "", "parse-names" : false, "suffix" : "" }, { "dropping-particle" : "", "family" : "Langille", "given" : "M G I", "non-dropping-particle" : "", "parse-names" : false, "suffix" : "" }, { "dropping-particle" : "", "family" : "Tyack", "given" : "S G", "non-dropping-particle" : "", "parse-names" : false, "suffix" : "" }, { "dropping-particle" : "", "family" : "Mckay", "given" : "J C", "non-dropping-particle" : "", "parse-names" : false, "suffix" : "" }, { "dropping-particle" : "", "family" : "Mclean", "given" : "N L", "non-dropping-particle" : "", "parse-names" : false, "suffix" : "" }, { "dropping-particle" : "", "family" : "Benkel", "given" : "K", "non-dropping-particle" : "", "parse-names" : false, "suffix" : "" }, { "dropping-particle" : "", "family" : "Beiko", "given" : "R G", "non-dropping-particle" : "", "parse-names" : false, "suffix" : "" }, { "dropping-particle" : "", "family" : "Benkel", "given" : "B", "non-dropping-particle" : "", "parse-names" : false, "suffix" : "" } ], "container-title" : "Poultry Science", "id" : "ITEM-1", "issued" : { "date-parts" : [ [ "2016" ] ] }, "page" : "2250-2258", "title" : "Discovery of an expended set of avian leukosis subroup E proviruses in chickens using Vermillion, a novel sequence capture and analysis pipeline", "type" : "article-journal", "volume" : "95" }, "uris" : [ "http://www.mendeley.com/documents/?uuid=aa0069fc-5d68-44c4-8fbe-350ad9189ff7" ] } ], "mendeley" : { "formattedCitation" : "(Rutherford et al. 2016)", "manualFormatting" : "(Rutherford et al. 2016, and additional manuscripts in preparation)", "plainTextFormattedCitation" : "(Rutherford et al. 2016)", "previouslyFormattedCitation" : "(Rutherford et al. 2016)" }, "properties" : { "noteIndex" : 0 }, "schema" : "https://github.com/citation-style-language/schema/raw/master/csl-citation.json" }</w:instrText>
      </w:r>
      <w:r w:rsidR="00241ECC">
        <w:fldChar w:fldCharType="separate"/>
      </w:r>
      <w:r w:rsidR="00241ECC" w:rsidRPr="00241ECC">
        <w:rPr>
          <w:noProof/>
        </w:rPr>
        <w:t>(Rutherford et al. 2016</w:t>
      </w:r>
      <w:r w:rsidR="00241ECC">
        <w:rPr>
          <w:noProof/>
        </w:rPr>
        <w:t>, and additional manuscripts in preparation</w:t>
      </w:r>
      <w:r w:rsidR="00241ECC" w:rsidRPr="00241ECC">
        <w:rPr>
          <w:noProof/>
        </w:rPr>
        <w:t>)</w:t>
      </w:r>
      <w:r w:rsidR="00241ECC">
        <w:fldChar w:fldCharType="end"/>
      </w:r>
      <w:r w:rsidR="00241ECC">
        <w:t>.</w:t>
      </w:r>
    </w:p>
    <w:p w14:paraId="446A3E79" w14:textId="5DF16308" w:rsidR="00043440" w:rsidRDefault="001F79E5" w:rsidP="00391005">
      <w:pPr>
        <w:pStyle w:val="ListParagraph"/>
      </w:pPr>
      <w:r>
        <w:t>In addition, the 100</w:t>
      </w:r>
      <w:r w:rsidR="00B82618">
        <w:t xml:space="preserve"> </w:t>
      </w:r>
      <w:r>
        <w:t xml:space="preserve">bp of 5’ genomic sequence flanking identified insertion sites was used as a BLASTn query against the Galgal4 assembly (GenBank: GCF_000002315.3) </w:t>
      </w:r>
      <w:r>
        <w:lastRenderedPageBreak/>
        <w:t>to identify the predicted insertion site locations in the previous asse</w:t>
      </w:r>
      <w:r w:rsidR="002833F6">
        <w:t xml:space="preserve">mbly. These positions were </w:t>
      </w:r>
      <w:r>
        <w:t xml:space="preserve">overlapped with the Ensembl Galgal4 version 79 annotation file using the BEDTools intersectBed and closestBed tools to identify </w:t>
      </w:r>
      <w:r w:rsidR="002833F6">
        <w:t xml:space="preserve">overlapped </w:t>
      </w:r>
      <w:r>
        <w:t>genes</w:t>
      </w:r>
      <w:r w:rsidR="002833F6">
        <w:t xml:space="preserve"> or the shortest distance from an ALVE to the nearest coding feature</w:t>
      </w:r>
      <w:r>
        <w:t>. Well described ALVEs are often within or near genes, so this annotation also added confidence to assigning an existing name to an identified insertion, predicting its size and structural integrity, and suggesting the potential impact of any insertion on the phenotype of the bird.</w:t>
      </w:r>
    </w:p>
    <w:p w14:paraId="3AEB8385" w14:textId="2C0EB7FC" w:rsidR="00043440" w:rsidRDefault="00043440" w:rsidP="00391005">
      <w:pPr>
        <w:pStyle w:val="ListParagraph"/>
      </w:pPr>
    </w:p>
    <w:p w14:paraId="4BB51936" w14:textId="0A863E5B" w:rsidR="00B03032" w:rsidRDefault="00B03032" w:rsidP="00B03032">
      <w:pPr>
        <w:pStyle w:val="Heading4"/>
      </w:pPr>
      <w:r>
        <w:t>Developing nomenclature for novel insertions</w:t>
      </w:r>
    </w:p>
    <w:p w14:paraId="7C61F435" w14:textId="1F1696A6" w:rsidR="009A6870" w:rsidRDefault="00B03032" w:rsidP="00391005">
      <w:pPr>
        <w:pStyle w:val="ListParagraph"/>
      </w:pPr>
      <w:r>
        <w:t>Names were given to novel insertion</w:t>
      </w:r>
      <w:r w:rsidR="009A6870">
        <w:t>s following the format “ALVE_ros</w:t>
      </w:r>
      <w:r>
        <w:t>001”, where ‘ros’ is an abbreviation for The Roslin Institute. Attempts were made to develop names specific for each insertion using chromosomal locations, insertion hexamer sequences,</w:t>
      </w:r>
      <w:r w:rsidR="0055339D">
        <w:t xml:space="preserve"> </w:t>
      </w:r>
      <w:r w:rsidR="009A6870">
        <w:t>location relative to genes</w:t>
      </w:r>
      <w:r w:rsidR="0055339D">
        <w:t>, and ALVE intactness</w:t>
      </w:r>
      <w:r>
        <w:t>, but each of the</w:t>
      </w:r>
      <w:r w:rsidR="009A6870">
        <w:t>se was not deemed future-proof (</w:t>
      </w:r>
      <w:r w:rsidR="0055339D" w:rsidRPr="00BE2F28">
        <w:fldChar w:fldCharType="begin" w:fldLock="1"/>
      </w:r>
      <w:r w:rsidR="0055339D" w:rsidRPr="00BE2F28">
        <w:instrText xml:space="preserve"> REF _Ref478991310 \h </w:instrText>
      </w:r>
      <w:r w:rsidR="00BE2F28" w:rsidRPr="00BE2F28">
        <w:instrText xml:space="preserve"> \* MERGEFORMAT </w:instrText>
      </w:r>
      <w:r w:rsidR="0055339D" w:rsidRPr="00BE2F28">
        <w:fldChar w:fldCharType="separate"/>
      </w:r>
      <w:r w:rsidR="002C549C" w:rsidRPr="00BE2F28">
        <w:t xml:space="preserve">Table </w:t>
      </w:r>
      <w:r w:rsidR="002C549C">
        <w:rPr>
          <w:noProof/>
        </w:rPr>
        <w:t>5</w:t>
      </w:r>
      <w:r w:rsidR="002C549C" w:rsidRPr="00BE2F28">
        <w:rPr>
          <w:noProof/>
        </w:rPr>
        <w:t>.</w:t>
      </w:r>
      <w:r w:rsidR="002C549C">
        <w:rPr>
          <w:noProof/>
        </w:rPr>
        <w:t>1</w:t>
      </w:r>
      <w:r w:rsidR="0055339D" w:rsidRPr="00BE2F28">
        <w:fldChar w:fldCharType="end"/>
      </w:r>
      <w:r w:rsidR="009A6870">
        <w:t xml:space="preserve">). In addition, names including these details became very cumbersome, whereas the priority was to classify these insertions as ALVEs and then refer the researcher to this work describing their locations. As such, new names have been applied to previously identified insertions that lacked any clear sign that they were ALVEs, such as the Benkel ‘N4’ and ‘New11’ </w:t>
      </w:r>
      <w:r w:rsidR="007C4C4C">
        <w:t xml:space="preserve">elements </w:t>
      </w:r>
      <w:r w:rsidR="009A6870">
        <w:t>identified in the Hy-Line birds.</w:t>
      </w:r>
    </w:p>
    <w:p w14:paraId="3B9CC99B" w14:textId="51BB915D" w:rsidR="009A6870" w:rsidRDefault="002E28BE" w:rsidP="002E28BE">
      <w:pPr>
        <w:pStyle w:val="Caption"/>
      </w:pPr>
      <w:bookmarkStart w:id="336" w:name="_Ref478991310"/>
      <w:bookmarkStart w:id="337" w:name="_Toc486786320"/>
      <w:r w:rsidRPr="00BE2F28">
        <w:t xml:space="preserve">Table </w:t>
      </w:r>
      <w:fldSimple w:instr=" STYLEREF 1 \s " w:fldLock="1">
        <w:r w:rsidR="002C549C">
          <w:rPr>
            <w:noProof/>
          </w:rPr>
          <w:t>5</w:t>
        </w:r>
      </w:fldSimple>
      <w:r w:rsidR="001167C6" w:rsidRPr="00BE2F28">
        <w:t>.</w:t>
      </w:r>
      <w:fldSimple w:instr=" SEQ Table \* ARABIC \s 1 " w:fldLock="1">
        <w:r w:rsidR="002C549C">
          <w:rPr>
            <w:noProof/>
          </w:rPr>
          <w:t>1</w:t>
        </w:r>
      </w:fldSimple>
      <w:bookmarkEnd w:id="336"/>
      <w:r>
        <w:t xml:space="preserve"> Identified future-proofing concerns with ALVE-specific nomenclature.</w:t>
      </w:r>
      <w:bookmarkEnd w:id="337"/>
    </w:p>
    <w:tbl>
      <w:tblPr>
        <w:tblStyle w:val="TableGrid"/>
        <w:tblW w:w="8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5"/>
        <w:gridCol w:w="6095"/>
      </w:tblGrid>
      <w:tr w:rsidR="002E28BE" w14:paraId="591C9726" w14:textId="77777777" w:rsidTr="0055339D">
        <w:trPr>
          <w:trHeight w:val="515"/>
        </w:trPr>
        <w:tc>
          <w:tcPr>
            <w:tcW w:w="1985" w:type="dxa"/>
            <w:tcBorders>
              <w:top w:val="single" w:sz="4" w:space="0" w:color="auto"/>
              <w:bottom w:val="single" w:sz="4" w:space="0" w:color="auto"/>
            </w:tcBorders>
            <w:vAlign w:val="center"/>
          </w:tcPr>
          <w:p w14:paraId="13F89A1D" w14:textId="622835CB" w:rsidR="002E28BE" w:rsidRDefault="002E28BE" w:rsidP="002E28BE">
            <w:pPr>
              <w:pStyle w:val="Tablecontent"/>
              <w:jc w:val="both"/>
            </w:pPr>
            <w:r>
              <w:t>Naming feature</w:t>
            </w:r>
          </w:p>
        </w:tc>
        <w:tc>
          <w:tcPr>
            <w:tcW w:w="6095" w:type="dxa"/>
            <w:tcBorders>
              <w:top w:val="single" w:sz="4" w:space="0" w:color="auto"/>
              <w:bottom w:val="single" w:sz="4" w:space="0" w:color="auto"/>
            </w:tcBorders>
            <w:vAlign w:val="center"/>
          </w:tcPr>
          <w:p w14:paraId="15683096" w14:textId="206C69FA" w:rsidR="002E28BE" w:rsidRDefault="002E28BE" w:rsidP="002E28BE">
            <w:pPr>
              <w:pStyle w:val="Tablecontent"/>
              <w:jc w:val="both"/>
            </w:pPr>
            <w:r>
              <w:t>Issues for naming</w:t>
            </w:r>
          </w:p>
        </w:tc>
      </w:tr>
      <w:tr w:rsidR="002E28BE" w14:paraId="04137FAB" w14:textId="77777777" w:rsidTr="0055339D">
        <w:tc>
          <w:tcPr>
            <w:tcW w:w="1985" w:type="dxa"/>
            <w:tcBorders>
              <w:top w:val="single" w:sz="4" w:space="0" w:color="auto"/>
            </w:tcBorders>
          </w:tcPr>
          <w:p w14:paraId="38DF7089" w14:textId="7EB98B58" w:rsidR="002E28BE" w:rsidRDefault="002E28BE" w:rsidP="006657FD">
            <w:pPr>
              <w:pStyle w:val="Tablecontent"/>
            </w:pPr>
            <w:r>
              <w:t>Location</w:t>
            </w:r>
          </w:p>
        </w:tc>
        <w:tc>
          <w:tcPr>
            <w:tcW w:w="6095" w:type="dxa"/>
            <w:tcBorders>
              <w:top w:val="single" w:sz="4" w:space="0" w:color="auto"/>
            </w:tcBorders>
          </w:tcPr>
          <w:p w14:paraId="166D8EFF" w14:textId="602F4C47" w:rsidR="002E28BE" w:rsidRDefault="002E28BE" w:rsidP="006657FD">
            <w:pPr>
              <w:pStyle w:val="Tablecontent"/>
            </w:pPr>
            <w:r>
              <w:t>Chromosome unlikely to change, but coordinates would shift with each revised build. Names would also be long: ALVE3 would include Gal5:20:10309347 as part of its name.</w:t>
            </w:r>
          </w:p>
        </w:tc>
      </w:tr>
      <w:tr w:rsidR="002E28BE" w14:paraId="6F29651A" w14:textId="77777777" w:rsidTr="0055339D">
        <w:tc>
          <w:tcPr>
            <w:tcW w:w="1985" w:type="dxa"/>
          </w:tcPr>
          <w:p w14:paraId="7B156AFB" w14:textId="4890AF95" w:rsidR="002E28BE" w:rsidRDefault="002E28BE" w:rsidP="006657FD">
            <w:pPr>
              <w:pStyle w:val="Tablecontent"/>
            </w:pPr>
            <w:r>
              <w:t>Insertion hexamer</w:t>
            </w:r>
          </w:p>
        </w:tc>
        <w:tc>
          <w:tcPr>
            <w:tcW w:w="6095" w:type="dxa"/>
          </w:tcPr>
          <w:p w14:paraId="06C28307" w14:textId="3AF9F714" w:rsidR="002E28BE" w:rsidRPr="00A062CC" w:rsidRDefault="002E28BE" w:rsidP="006657FD">
            <w:pPr>
              <w:pStyle w:val="Tablecontent"/>
            </w:pPr>
            <w:r>
              <w:t>Some hexamers contain line-specific SNPs and there is inconsistency in the literature for whether hexamers are reported as observed in genome assemblies, or in the same orientation</w:t>
            </w:r>
            <w:r w:rsidR="0055339D">
              <w:t xml:space="preserve"> and from the same strand</w:t>
            </w:r>
            <w:r>
              <w:t xml:space="preserve"> as the ALVE.</w:t>
            </w:r>
          </w:p>
        </w:tc>
      </w:tr>
      <w:tr w:rsidR="002E28BE" w14:paraId="18E259EF" w14:textId="77777777" w:rsidTr="0055339D">
        <w:tc>
          <w:tcPr>
            <w:tcW w:w="1985" w:type="dxa"/>
          </w:tcPr>
          <w:p w14:paraId="2218942D" w14:textId="7802BA27" w:rsidR="002E28BE" w:rsidRDefault="002E28BE" w:rsidP="006657FD">
            <w:pPr>
              <w:pStyle w:val="Tablecontent"/>
            </w:pPr>
            <w:r>
              <w:t>Gene feature</w:t>
            </w:r>
          </w:p>
        </w:tc>
        <w:tc>
          <w:tcPr>
            <w:tcW w:w="6095" w:type="dxa"/>
          </w:tcPr>
          <w:p w14:paraId="2F277C90" w14:textId="4E593FAD" w:rsidR="002E28BE" w:rsidRPr="00A062CC" w:rsidRDefault="0055339D" w:rsidP="006657FD">
            <w:pPr>
              <w:pStyle w:val="Tablecontent"/>
            </w:pPr>
            <w:r>
              <w:t>Gene names and exon numbers change over time, particularly with identification of additional isoforms. There may also be overlapping features, such as a gene and non-coding RNA.</w:t>
            </w:r>
          </w:p>
        </w:tc>
      </w:tr>
      <w:tr w:rsidR="002E28BE" w14:paraId="6E95F8DE" w14:textId="77777777" w:rsidTr="0055339D">
        <w:tc>
          <w:tcPr>
            <w:tcW w:w="1985" w:type="dxa"/>
            <w:tcBorders>
              <w:bottom w:val="single" w:sz="4" w:space="0" w:color="auto"/>
            </w:tcBorders>
          </w:tcPr>
          <w:p w14:paraId="3EA0F373" w14:textId="5EE50782" w:rsidR="002E28BE" w:rsidRDefault="0055339D" w:rsidP="006657FD">
            <w:pPr>
              <w:pStyle w:val="Tablecontent"/>
            </w:pPr>
            <w:r>
              <w:t>ALVE intactness</w:t>
            </w:r>
          </w:p>
        </w:tc>
        <w:tc>
          <w:tcPr>
            <w:tcW w:w="6095" w:type="dxa"/>
            <w:tcBorders>
              <w:bottom w:val="single" w:sz="4" w:space="0" w:color="auto"/>
            </w:tcBorders>
          </w:tcPr>
          <w:p w14:paraId="39FE5F2C" w14:textId="147D64C9" w:rsidR="002E28BE" w:rsidRPr="00A062CC" w:rsidRDefault="0055339D" w:rsidP="006657FD">
            <w:pPr>
              <w:pStyle w:val="Tablecontent"/>
            </w:pPr>
            <w:r>
              <w:t xml:space="preserve">This is unknown for most ALVEs, and may differ between lines. </w:t>
            </w:r>
          </w:p>
        </w:tc>
      </w:tr>
    </w:tbl>
    <w:p w14:paraId="78215DCE" w14:textId="7100646E" w:rsidR="00F84444" w:rsidRDefault="00F84444" w:rsidP="00D4225A">
      <w:pPr>
        <w:pStyle w:val="Heading2"/>
      </w:pPr>
      <w:bookmarkStart w:id="338" w:name="_Toc485721623"/>
      <w:bookmarkStart w:id="339" w:name="_Toc486787203"/>
      <w:bookmarkStart w:id="340" w:name="_Toc486787351"/>
      <w:r>
        <w:lastRenderedPageBreak/>
        <w:t>Characterisation of the ALVEs identified in the Hy-Line and Roslin J-Line DNA resequencing data</w:t>
      </w:r>
      <w:bookmarkEnd w:id="338"/>
      <w:bookmarkEnd w:id="339"/>
      <w:bookmarkEnd w:id="340"/>
    </w:p>
    <w:p w14:paraId="33189588" w14:textId="41085409" w:rsidR="00F84444" w:rsidRDefault="00043440" w:rsidP="00043440">
      <w:pPr>
        <w:pStyle w:val="Heading3"/>
      </w:pPr>
      <w:bookmarkStart w:id="341" w:name="_Toc485721624"/>
      <w:bookmarkStart w:id="342" w:name="_Ref486618399"/>
      <w:bookmarkStart w:id="343" w:name="_Toc486787204"/>
      <w:bookmarkStart w:id="344" w:name="_Toc486787352"/>
      <w:r>
        <w:t>Genotyping of identified ALVEs in the Hy-Line commercial flocks</w:t>
      </w:r>
      <w:bookmarkEnd w:id="341"/>
      <w:bookmarkEnd w:id="342"/>
      <w:bookmarkEnd w:id="343"/>
      <w:bookmarkEnd w:id="344"/>
    </w:p>
    <w:p w14:paraId="512D593F" w14:textId="77777777" w:rsidR="00043440" w:rsidRDefault="00043440" w:rsidP="00043440">
      <w:pPr>
        <w:pStyle w:val="Heading4"/>
      </w:pPr>
      <w:r>
        <w:t xml:space="preserve">Bird </w:t>
      </w:r>
      <w:r w:rsidR="009D15E9">
        <w:t>DNA samples</w:t>
      </w:r>
    </w:p>
    <w:p w14:paraId="628CF1B6" w14:textId="2950DECC" w:rsidR="00043440" w:rsidRDefault="00BA6ED1" w:rsidP="00391005">
      <w:pPr>
        <w:pStyle w:val="ListParagraph"/>
      </w:pPr>
      <w:r>
        <w:t>Genomic DNA samples were collected by Hy-Line for male birds in each of the eight elite layer lines. Data was collected for each line for 15 generations between 1996 and 2011. The birds used for the sequencing detailed above</w:t>
      </w:r>
      <w:r w:rsidR="002E5AA2">
        <w:t xml:space="preserve"> were from the 2008 generation. </w:t>
      </w:r>
      <w:r>
        <w:t>Sample size</w:t>
      </w:r>
      <w:r w:rsidR="002E5AA2">
        <w:t>s</w:t>
      </w:r>
      <w:r>
        <w:t xml:space="preserve"> for each line varied across the generations, but over nine thousand DNA samples were available for ALVE genotyping. In each case, genomic DNA samples were ext</w:t>
      </w:r>
      <w:r w:rsidR="002E5AA2">
        <w:t>racted using</w:t>
      </w:r>
      <w:r>
        <w:t xml:space="preserve"> a standardised DNA spooling protocol </w:t>
      </w:r>
      <w:r w:rsidR="002833F6">
        <w:t xml:space="preserve">following salt and ethanol extraction </w:t>
      </w:r>
      <w:r>
        <w:t xml:space="preserve">from wing vein blood samples. </w:t>
      </w:r>
    </w:p>
    <w:p w14:paraId="0316DFA3" w14:textId="77777777" w:rsidR="008A60E4" w:rsidRDefault="008A60E4" w:rsidP="00391005">
      <w:pPr>
        <w:pStyle w:val="ListParagraph"/>
      </w:pPr>
    </w:p>
    <w:p w14:paraId="5421B8B8" w14:textId="77777777" w:rsidR="00043440" w:rsidRDefault="00043440" w:rsidP="00043440">
      <w:pPr>
        <w:pStyle w:val="Heading4"/>
      </w:pPr>
      <w:r>
        <w:t>Diagnostic KASP assay design</w:t>
      </w:r>
    </w:p>
    <w:p w14:paraId="2CB85060" w14:textId="56CC5AF1" w:rsidR="008F4BA9" w:rsidRDefault="002833F6" w:rsidP="00391005">
      <w:pPr>
        <w:pStyle w:val="ListParagraph"/>
      </w:pPr>
      <w:r>
        <w:t>Flanking chicken genome s</w:t>
      </w:r>
      <w:r w:rsidR="004615E5">
        <w:t>equence</w:t>
      </w:r>
      <w:r>
        <w:t>s were</w:t>
      </w:r>
      <w:r w:rsidR="004615E5">
        <w:t xml:space="preserve"> </w:t>
      </w:r>
      <w:r w:rsidR="00F875B0">
        <w:t>given</w:t>
      </w:r>
      <w:r w:rsidR="004615E5">
        <w:t xml:space="preserve"> to Hy-Line for the design of </w:t>
      </w:r>
      <w:r w:rsidR="00F875B0">
        <w:t xml:space="preserve">the </w:t>
      </w:r>
      <w:r w:rsidR="004615E5">
        <w:t>KASP assay primers. For each insertion this required 100</w:t>
      </w:r>
      <w:r w:rsidR="00B82618">
        <w:t xml:space="preserve"> </w:t>
      </w:r>
      <w:r w:rsidR="004615E5">
        <w:t>bp of up- and down</w:t>
      </w:r>
      <w:r>
        <w:t>-</w:t>
      </w:r>
      <w:r w:rsidR="004615E5">
        <w:t xml:space="preserve">stream flanking sequence as well as all the available sequence from the insert, obtained from the 5’ and 3’ </w:t>
      </w:r>
      <w:r>
        <w:t>clipped reads. Primers were</w:t>
      </w:r>
      <w:r w:rsidR="004615E5">
        <w:t xml:space="preserve"> designed using</w:t>
      </w:r>
      <w:r w:rsidR="00405E44">
        <w:t xml:space="preserve"> the Kraken Primer Picker software</w:t>
      </w:r>
      <w:r w:rsidR="00C744E6">
        <w:t xml:space="preserve"> with an optimum length of 20</w:t>
      </w:r>
      <w:r w:rsidR="00602181">
        <w:t xml:space="preserve"> </w:t>
      </w:r>
      <w:r w:rsidR="00C744E6">
        <w:t>-</w:t>
      </w:r>
      <w:r w:rsidR="00602181">
        <w:t xml:space="preserve"> </w:t>
      </w:r>
      <w:r w:rsidR="00C744E6">
        <w:t>25 bases, aiming for equal GC conte</w:t>
      </w:r>
      <w:r w:rsidR="00146C09">
        <w:t>nt between the primers, ideally between 40</w:t>
      </w:r>
      <w:r>
        <w:t xml:space="preserve"> %</w:t>
      </w:r>
      <w:r w:rsidR="00146C09">
        <w:t xml:space="preserve"> and 50</w:t>
      </w:r>
      <w:r w:rsidR="00B82618">
        <w:t xml:space="preserve"> </w:t>
      </w:r>
      <w:r w:rsidR="007C1494">
        <w:t>% GC</w:t>
      </w:r>
      <w:r w:rsidR="004615E5">
        <w:t xml:space="preserve">. </w:t>
      </w:r>
      <w:r w:rsidR="008F4BA9">
        <w:t xml:space="preserve">Assays used a </w:t>
      </w:r>
      <w:r w:rsidR="00A069CB">
        <w:t>four-primer</w:t>
      </w:r>
      <w:r w:rsidR="008F4BA9">
        <w:t xml:space="preserve"> approach with two </w:t>
      </w:r>
      <w:r w:rsidR="00225324">
        <w:t>fluorophore</w:t>
      </w:r>
      <w:r w:rsidR="008F4BA9">
        <w:t>-labelled, allele-specific primers for the presence or absence of the ALVE insert, each with their own reverse primer pair</w:t>
      </w:r>
      <w:r w:rsidR="00A069CB">
        <w:t xml:space="preserve"> (</w:t>
      </w:r>
      <w:r w:rsidR="00A069CB" w:rsidRPr="00B82618">
        <w:rPr>
          <w:highlight w:val="yellow"/>
        </w:rPr>
        <w:fldChar w:fldCharType="begin" w:fldLock="1"/>
      </w:r>
      <w:r w:rsidR="00A069CB" w:rsidRPr="00B82618">
        <w:instrText xml:space="preserve"> REF _Ref478634274 \h </w:instrText>
      </w:r>
      <w:r w:rsidR="00B82618" w:rsidRPr="00B82618">
        <w:rPr>
          <w:highlight w:val="yellow"/>
        </w:rPr>
        <w:instrText xml:space="preserve"> \* MERGEFORMAT </w:instrText>
      </w:r>
      <w:r w:rsidR="00A069CB" w:rsidRPr="00B82618">
        <w:rPr>
          <w:highlight w:val="yellow"/>
        </w:rPr>
      </w:r>
      <w:r w:rsidR="00A069CB" w:rsidRPr="00B82618">
        <w:rPr>
          <w:highlight w:val="yellow"/>
        </w:rPr>
        <w:fldChar w:fldCharType="separate"/>
      </w:r>
      <w:r w:rsidR="002C549C" w:rsidRPr="002C549C">
        <w:t xml:space="preserve">Figure </w:t>
      </w:r>
      <w:r w:rsidR="002C549C" w:rsidRPr="002C549C">
        <w:rPr>
          <w:noProof/>
        </w:rPr>
        <w:t>5.3</w:t>
      </w:r>
      <w:r w:rsidR="00A069CB" w:rsidRPr="00B82618">
        <w:rPr>
          <w:highlight w:val="yellow"/>
        </w:rPr>
        <w:fldChar w:fldCharType="end"/>
      </w:r>
      <w:r w:rsidR="000B44DE">
        <w:t>)</w:t>
      </w:r>
      <w:r w:rsidR="008F4BA9">
        <w:t xml:space="preserve">. </w:t>
      </w:r>
    </w:p>
    <w:p w14:paraId="6579545F" w14:textId="77777777" w:rsidR="00177E66" w:rsidRDefault="00177E66" w:rsidP="00177E66">
      <w:pPr>
        <w:pStyle w:val="ListParagraph"/>
      </w:pPr>
      <w:r>
        <w:t>Assays were conducted on 1,536-well plates using 1</w:t>
      </w:r>
      <w:r>
        <w:rPr>
          <w:rFonts w:ascii="Calibri" w:hAnsi="Calibri" w:cs="Calibri"/>
        </w:rPr>
        <w:t>μ</w:t>
      </w:r>
      <w:r>
        <w:t>l total reaction volumes in each well. Reactions used dehydrated DNA samples, primers and the LGC KASP 2x Mastermix V4.0 1,536 formulation, following the original KBiosciences KASP protocol. PCR used a 61˚C to 55˚C annealing temperature touchdown protocol for ten cycles and then 55˚C for twenty further cycles. Plates were then read using the PHERAstar Plus SNP plate reader software which called the individual genotypes. To gain increased resolution, or to ensure samples were correctly grouped by genotype, additional PCR cycles were completed in groups of three and the plates read again.</w:t>
      </w:r>
    </w:p>
    <w:p w14:paraId="3060DD95" w14:textId="77777777" w:rsidR="00177E66" w:rsidRDefault="00177E66" w:rsidP="00391005">
      <w:pPr>
        <w:pStyle w:val="ListParagraph"/>
      </w:pPr>
    </w:p>
    <w:p w14:paraId="685B1EFA" w14:textId="70CF7055" w:rsidR="00A069CB" w:rsidRPr="002E5AA2" w:rsidRDefault="00A069CB" w:rsidP="00391005">
      <w:pPr>
        <w:pStyle w:val="ListParagraph"/>
        <w:rPr>
          <w:sz w:val="2"/>
        </w:rPr>
      </w:pPr>
    </w:p>
    <w:p w14:paraId="61156AFB" w14:textId="6591AAEF" w:rsidR="00A069CB" w:rsidRDefault="00A67F9E" w:rsidP="002E5AA2">
      <w:pPr>
        <w:pStyle w:val="ListParagraph"/>
        <w:jc w:val="center"/>
      </w:pPr>
      <w:r>
        <w:rPr>
          <w:noProof/>
          <w:lang w:eastAsia="en-GB"/>
        </w:rPr>
        <w:drawing>
          <wp:inline distT="0" distB="0" distL="0" distR="0" wp14:anchorId="65D51730" wp14:editId="330F5DDD">
            <wp:extent cx="2661428" cy="165735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a:extLst>
                        <a:ext uri="{28A0092B-C50C-407E-A947-70E740481C1C}">
                          <a14:useLocalDpi xmlns:a14="http://schemas.microsoft.com/office/drawing/2010/main" val="0"/>
                        </a:ext>
                      </a:extLst>
                    </a:blip>
                    <a:srcRect b="5867"/>
                    <a:stretch/>
                  </pic:blipFill>
                  <pic:spPr bwMode="auto">
                    <a:xfrm>
                      <a:off x="0" y="0"/>
                      <a:ext cx="2718540" cy="1692915"/>
                    </a:xfrm>
                    <a:prstGeom prst="rect">
                      <a:avLst/>
                    </a:prstGeom>
                    <a:noFill/>
                    <a:ln>
                      <a:noFill/>
                    </a:ln>
                    <a:extLst>
                      <a:ext uri="{53640926-AAD7-44D8-BBD7-CCE9431645EC}">
                        <a14:shadowObscured xmlns:a14="http://schemas.microsoft.com/office/drawing/2010/main"/>
                      </a:ext>
                    </a:extLst>
                  </pic:spPr>
                </pic:pic>
              </a:graphicData>
            </a:graphic>
          </wp:inline>
        </w:drawing>
      </w:r>
    </w:p>
    <w:p w14:paraId="362AC62C" w14:textId="156AA0E8" w:rsidR="00A069CB" w:rsidRPr="00467853" w:rsidRDefault="00A069CB" w:rsidP="00A069CB">
      <w:pPr>
        <w:pStyle w:val="Figure"/>
      </w:pPr>
      <w:bookmarkStart w:id="345" w:name="_Ref478634274"/>
      <w:bookmarkStart w:id="346" w:name="_Toc486785443"/>
      <w:r w:rsidRPr="00014ACA">
        <w:t xml:space="preserve">Figure </w:t>
      </w:r>
      <w:fldSimple w:instr=" STYLEREF 1 \s " w:fldLock="1">
        <w:r w:rsidR="002C549C" w:rsidRPr="00014ACA">
          <w:rPr>
            <w:noProof/>
          </w:rPr>
          <w:t>5</w:t>
        </w:r>
      </w:fldSimple>
      <w:r w:rsidR="001167C6" w:rsidRPr="00014ACA">
        <w:t>.</w:t>
      </w:r>
      <w:fldSimple w:instr=" SEQ Figure \* ARABIC \s 1 " w:fldLock="1">
        <w:r w:rsidR="002C549C" w:rsidRPr="00014ACA">
          <w:rPr>
            <w:noProof/>
          </w:rPr>
          <w:t>3</w:t>
        </w:r>
      </w:fldSimple>
      <w:bookmarkEnd w:id="345"/>
      <w:r w:rsidR="00225324">
        <w:t xml:space="preserve"> KASP assay primer rationale for wildtype and insert-containing sites. Primer 1 (wildtype) and primer 2 (insert) are fluorophore-labelled primers and their amplification enables genotyping direct from solution. The starting sequence for the genotype-specific primers is often the same, but they differ when they cross the insertion hexamer, with primer 1 continuing through host genome</w:t>
      </w:r>
      <w:r w:rsidR="00467853">
        <w:t xml:space="preserve"> sequence</w:t>
      </w:r>
      <w:r w:rsidR="00225324">
        <w:t xml:space="preserve"> and primer 2 entering the ALVE insertion</w:t>
      </w:r>
      <w:r w:rsidR="000D48D9">
        <w:t>.</w:t>
      </w:r>
      <w:bookmarkEnd w:id="346"/>
    </w:p>
    <w:p w14:paraId="59B13438" w14:textId="3D49DD91" w:rsidR="002E1118" w:rsidRDefault="004615E5" w:rsidP="00391005">
      <w:pPr>
        <w:pStyle w:val="ListParagraph"/>
      </w:pPr>
      <w:r>
        <w:t>The primers</w:t>
      </w:r>
      <w:r w:rsidR="00D47FE7">
        <w:t xml:space="preserve"> were redesigned</w:t>
      </w:r>
      <w:r>
        <w:t xml:space="preserve"> for assays which failed or produced unexpected results in initial tests. Redesigns included identification of, and controlling for, SNPs within the primer binding regions, and moving primers which bound highly repetitive regions of the genome, identified by lower case letters in the masked genome build. </w:t>
      </w:r>
    </w:p>
    <w:p w14:paraId="55C5D100" w14:textId="73EB8706" w:rsidR="00E5396E" w:rsidRDefault="00E5396E" w:rsidP="00391005">
      <w:pPr>
        <w:pStyle w:val="ListParagraph"/>
      </w:pPr>
      <w:r>
        <w:t xml:space="preserve">ALVE frequencies were recorded for each of the identified ALVEs across all the lines. Due to commercial sensitivity, exact insert frequencies will not be reported here, instead the following categories will be used: absent (f = 0), rare (0 &lt; f ≤ 0.1), low (0.1 &lt; f ≤ 0.25), medium (0.25 &lt; f ≤ 0.75), high (0.75 &lt; f &lt; 1) and fixed (f = 1). </w:t>
      </w:r>
    </w:p>
    <w:p w14:paraId="2DA7F80D" w14:textId="77777777" w:rsidR="008A60E4" w:rsidRDefault="008A60E4" w:rsidP="00391005">
      <w:pPr>
        <w:pStyle w:val="ListParagraph"/>
      </w:pPr>
    </w:p>
    <w:p w14:paraId="06B0A89D" w14:textId="1D52F108" w:rsidR="00177865" w:rsidRDefault="00177865" w:rsidP="00177865">
      <w:pPr>
        <w:pStyle w:val="Heading4"/>
      </w:pPr>
      <w:r>
        <w:t>Diagnostic PCR assay design</w:t>
      </w:r>
    </w:p>
    <w:p w14:paraId="04E88DDD" w14:textId="3E622BF8" w:rsidR="00177865" w:rsidRDefault="00177865" w:rsidP="00391005">
      <w:pPr>
        <w:pStyle w:val="ListParagraph"/>
      </w:pPr>
      <w:r>
        <w:t xml:space="preserve">In addition to the KASP assays, standard PCR assays were also developed for each of the identified ALVE insertions. </w:t>
      </w:r>
      <w:r w:rsidR="002953C1">
        <w:t xml:space="preserve">Existing assays were used for ALVE3, ALVE9, ALVE15, ALVE21, ALVEB5 </w:t>
      </w:r>
      <w:r w:rsidR="002953C1">
        <w:fldChar w:fldCharType="begin" w:fldLock="1"/>
      </w:r>
      <w:r w:rsidR="002953C1">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002953C1">
        <w:fldChar w:fldCharType="separate"/>
      </w:r>
      <w:r w:rsidR="002953C1" w:rsidRPr="002953C1">
        <w:rPr>
          <w:noProof/>
        </w:rPr>
        <w:t>(Benkel 1998)</w:t>
      </w:r>
      <w:r w:rsidR="002953C1">
        <w:fldChar w:fldCharType="end"/>
      </w:r>
      <w:r w:rsidR="002953C1">
        <w:t xml:space="preserve">, ALVE-TYR </w:t>
      </w:r>
      <w:r w:rsidR="002953C1">
        <w:fldChar w:fldCharType="begin" w:fldLock="1"/>
      </w:r>
      <w:r w:rsidR="002953C1">
        <w:instrText>ADDIN CSL_CITATION { "citationItems" : [ { "id" : "ITEM-1",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"ITEM-1", "issued" : { "date-parts" : [ [ "2006", "1" ] ] }, "page" : "19", "title" : "Complete association between a retroviral insertion in the tyrosinase gene and the recessive white mutation in chickens.", "type" : "article-journal", "volume" : "7" }, "uris" : [ "http://www.mendeley.com/documents/?uuid=8077fea8-838f-4da4-b799-fb7fa0225565" ] } ], "mendeley" : { "formattedCitation" : "(Chang et al. 2006)", "plainTextFormattedCitation" : "(Chang et al. 2006)", "previouslyFormattedCitation" : "(Chang et al. 2006)" }, "properties" : { "noteIndex" : 0 }, "schema" : "https://github.com/citation-style-language/schema/raw/master/csl-citation.json" }</w:instrText>
      </w:r>
      <w:r w:rsidR="002953C1">
        <w:fldChar w:fldCharType="separate"/>
      </w:r>
      <w:r w:rsidR="002953C1" w:rsidRPr="002953C1">
        <w:rPr>
          <w:noProof/>
        </w:rPr>
        <w:t>(Chang et al. 2006)</w:t>
      </w:r>
      <w:r w:rsidR="002953C1">
        <w:fldChar w:fldCharType="end"/>
      </w:r>
      <w:r w:rsidR="002953C1">
        <w:t xml:space="preserve">, ALVE-NSAC1 </w:t>
      </w:r>
      <w:r w:rsidR="002953C1">
        <w:fldChar w:fldCharType="begin" w:fldLock="1"/>
      </w:r>
      <w:r w:rsidR="002953C1">
        <w:instrText>ADDIN CSL_CITATION { "citationItems" : [ { "id" : "ITEM-1", "itemData" : { "DOI" : "10.3382/ps.2009-00148", "ISSN" : "0032-5791", "PMID" : "19590071", "abstract" : "During the course of evolution, vertebrate genomes have been invaded and colonized by retroviruses. In humans, for example, endogenous retroviruses (long terminal repeat elements) occupy roughly twice as much sequence space as essential genes. There are numerous reports in the literature implicating endogenous proviruses in the modulation of host physiology. The fact that many of these host-virus interactions take place in a proviral locus-specific manner speaks to the need for rapid assays for element profiling. This report deals with the identification of novel elements belonging to a family of endogenous retroviruses, designated ALVE, that reside in the genome of the chicken and that are closely related to exogenous avian leukosis viruses. The study of ALVE elements in the chicken genome serves as a model system for understanding the interplay between endogenous viruses and their vertebrate hosts in general, including humans. In this report, we present locus-specific, diagnostic PCR-based assays for 2 novel ALVE elements. In addition, we characterize the proviral structures and examine the genomic environments of both novel elements along with a previously described element known as ALVE-NSAC-3.", "author" : [ { "dropping-particle" : "", "family" : "Smith", "given" : "a", "non-dropping-particle" : "", "parse-names" : false, "suffix" : "" }, { "dropping-particle" : "", "family" : "Benkel", "given" : "B F", "non-dropping-particle" : "", "parse-names" : false, "suffix" : "" } ], "container-title" : "Poultry science", "id" : "ITEM-1", "issued" : { "date-parts" : [ [ "2009" ] ] }, "page" : "1580-1585", "title" : "Novel avian leukosis virus-related endogenous proviruses from layer chickens: characterization and development of locus-specific assays.", "type" : "article-journal", "volume" : "88" }, "uris" : [ "http://www.mendeley.com/documents/?uuid=1db1caf6-a2e6-4b6f-ac69-9d3ee32e63d0" ] } ], "mendeley" : { "formattedCitation" : "(Smith &amp; Benkel 2009b)", "plainTextFormattedCitation" : "(Smith &amp; Benkel 2009b)", "previouslyFormattedCitation" : "(Smith &amp; Benkel 2009b)" }, "properties" : { "noteIndex" : 0 }, "schema" : "https://github.com/citation-style-language/schema/raw/master/csl-citation.json" }</w:instrText>
      </w:r>
      <w:r w:rsidR="002953C1">
        <w:fldChar w:fldCharType="separate"/>
      </w:r>
      <w:r w:rsidR="002953C1" w:rsidRPr="002953C1">
        <w:rPr>
          <w:noProof/>
        </w:rPr>
        <w:t>(Smith &amp; Benkel 2009b)</w:t>
      </w:r>
      <w:r w:rsidR="002953C1">
        <w:fldChar w:fldCharType="end"/>
      </w:r>
      <w:r w:rsidR="002953C1">
        <w:t xml:space="preserve">, and ALVE-NSAC3 </w:t>
      </w:r>
      <w:r w:rsidR="002953C1">
        <w:fldChar w:fldCharType="begin" w:fldLock="1"/>
      </w:r>
      <w:r w:rsidR="002953C1">
        <w:instrText>ADDIN CSL_CITATION { "citationItems" : [ { "id" : "ITEM-1", "itemData" : { "DOI" : "10.1111/j.1365-2052.2008.01759.x", "ISSN" : "02689146", "author" : [ { "dropping-particle" : "", "family" : "Smith", "given" : "A.", "non-dropping-particle" : "", "parse-names" : false, "suffix" : "" }, { "dropping-particle" : "", "family" : "Benkel", "given" : "B. F.", "non-dropping-particle" : "", "parse-names" : false, "suffix" : "" } ], "container-title" : "Animal Genetics", "id" : "ITEM-1", "issue" : "5", "issued" : { "date-parts" : [ [ "2008" ] ] }, "page" : "574-575", "title" : "A diagnostic assay for the endogenous ALV-type provirus &lt;i&gt;ALVE-NSAC-&lt;/i&gt; 3 of chickens", "type" : "article-journal", "volume" : "39" }, "uris" : [ "http://www.mendeley.com/documents/?uuid=c0969fa1-7c9b-43fd-934c-7a7512a84efb" ] } ], "mendeley" : { "formattedCitation" : "(Smith &amp; Benkel 2008)", "plainTextFormattedCitation" : "(Smith &amp; Benkel 2008)", "previouslyFormattedCitation" : "(Smith &amp; Benkel 2008)" }, "properties" : { "noteIndex" : 0 }, "schema" : "https://github.com/citation-style-language/schema/raw/master/csl-citation.json" }</w:instrText>
      </w:r>
      <w:r w:rsidR="002953C1">
        <w:fldChar w:fldCharType="separate"/>
      </w:r>
      <w:r w:rsidR="002953C1" w:rsidRPr="002953C1">
        <w:rPr>
          <w:noProof/>
        </w:rPr>
        <w:t>(Smith &amp; Benkel 2008)</w:t>
      </w:r>
      <w:r w:rsidR="002953C1">
        <w:fldChar w:fldCharType="end"/>
      </w:r>
      <w:r w:rsidR="002953C1">
        <w:t xml:space="preserve">. The upstream primer of the published ALVE1 assay </w:t>
      </w:r>
      <w:r w:rsidR="002953C1">
        <w:fldChar w:fldCharType="begin" w:fldLock="1"/>
      </w:r>
      <w:r w:rsidR="009938BC">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002953C1">
        <w:fldChar w:fldCharType="separate"/>
      </w:r>
      <w:r w:rsidR="002953C1" w:rsidRPr="002953C1">
        <w:rPr>
          <w:noProof/>
        </w:rPr>
        <w:t>(Benkel 1998)</w:t>
      </w:r>
      <w:r w:rsidR="002953C1">
        <w:fldChar w:fldCharType="end"/>
      </w:r>
      <w:r w:rsidR="00805991">
        <w:t xml:space="preserve"> </w:t>
      </w:r>
      <w:r w:rsidR="002953C1">
        <w:t xml:space="preserve">was redesigned </w:t>
      </w:r>
      <w:r w:rsidR="00805991">
        <w:t>for a higher melting temperature (T</w:t>
      </w:r>
      <w:r w:rsidR="00805991" w:rsidRPr="00805991">
        <w:rPr>
          <w:vertAlign w:val="subscript"/>
        </w:rPr>
        <w:t>m</w:t>
      </w:r>
      <w:r w:rsidR="00805991">
        <w:t>)</w:t>
      </w:r>
      <w:r w:rsidR="002953C1">
        <w:t xml:space="preserve">, but the other two primers were retained. </w:t>
      </w:r>
    </w:p>
    <w:p w14:paraId="3DD28873" w14:textId="44F70FDB" w:rsidR="002953C1" w:rsidRPr="002953C1" w:rsidRDefault="002953C1" w:rsidP="00391005">
      <w:pPr>
        <w:pStyle w:val="ListParagraph"/>
      </w:pPr>
      <w:r>
        <w:lastRenderedPageBreak/>
        <w:t xml:space="preserve">New assays were designed for the remaining insertions </w:t>
      </w:r>
      <w:r w:rsidRPr="005D06BE">
        <w:t>using the 500</w:t>
      </w:r>
      <w:r w:rsidR="00B82618">
        <w:t xml:space="preserve"> </w:t>
      </w:r>
      <w:r w:rsidRPr="005D06BE">
        <w:t>bp 5’ and 3’ insertion flanking sequence, and the se</w:t>
      </w:r>
      <w:r>
        <w:t xml:space="preserve">quence from the </w:t>
      </w:r>
      <w:r w:rsidRPr="005D06BE">
        <w:t xml:space="preserve">soft-clipping reads supporting the insertion site. Primers were designed using the Primer3 software </w:t>
      </w:r>
      <w:r w:rsidRPr="005D06BE">
        <w:fldChar w:fldCharType="begin" w:fldLock="1"/>
      </w:r>
      <w:r w:rsidRPr="005D06BE">
        <w:instrText>ADDIN CSL_CITATION { "citationItems" : [ { "id" : "ITEM-1", "itemData" : { "DOI" : "10.1385/1-59259-192-2:365", "ISBN" : "1592591922", "ISSN" : "1064-3745", "PMID" : "10547847", "abstract" : "Designing PCR and sequencing primers are essential activities for mole- cular biologists around the world. This chapter assumes acquaintance with the principles and practice of PCR, as outlined in, for example, refs. 1\u20134. Primer3 is a computer program that suggests PCR primers for a variety of applications, for example to create STSs (sequence tagged sites) for radiation hybrid mapping (5), or to amplify sequences for single nucleotide polymor- phism discovery (6). Primer3 can also select single primers for sequencing reactions and can design oligonucleotide hybridization probes. In selecting oligos for primers or hybridization probes, Primer3 can con- sider many factors. These include oligo melting temperature, length, GC con- tent, 3\u2032 stability, estimated secondary structure, the likelihood of annealing to or amplifying undesirable sequences (for example interspersed repeats), the likelihood of primer\u2013dimer formation between two copies of the same primer, and the accuracy of the source sequence. In the design of primer pairs Primer3 can consider product size and melting temperature, the likelihood of primer\u2013 dimer formation between the two primers in the pair, the difference between primer melting temperatures, and primer location relative to particular regions of interest or to be avoided", "author" : [ { "dropping-particle" : "", "family" : "Rozen", "given" : "S", "non-dropping-particle" : "", "parse-names" : false, "suffix" : "" }, { "dropping-particle" : "", "family" : "Skaletsky", "given" : "H", "non-dropping-particle" : "", "parse-names" : false, "suffix" : "" } ], "container-title" : "Methods in molecular biology (Clifton, N.J.)", "id" : "ITEM-1", "issued" : { "date-parts" : [ [ "2000" ] ] }, "number-of-pages" : "365-386", "title" : "Primer3 on the WWW for general users and for biologist programmers.", "type" : "book", "volume" : "132" }, "uris" : [ "http://www.mendeley.com/documents/?uuid=34e44bf0-2958-4a00-bf3f-cac105c701f7" ] } ], "mendeley" : { "formattedCitation" : "(Rozen &amp; Skaletsky 2000)", "plainTextFormattedCitation" : "(Rozen &amp; Skaletsky 2000)", "previouslyFormattedCitation" : "(Rozen &amp; Skaletsky 2000)" }, "properties" : { "noteIndex" : 0 }, "schema" : "https://github.com/citation-style-language/schema/raw/master/csl-citation.json" }</w:instrText>
      </w:r>
      <w:r w:rsidRPr="005D06BE">
        <w:fldChar w:fldCharType="separate"/>
      </w:r>
      <w:r w:rsidRPr="005D06BE">
        <w:rPr>
          <w:noProof/>
        </w:rPr>
        <w:t>(Rozen &amp; Skaletsky 2000)</w:t>
      </w:r>
      <w:r w:rsidRPr="005D06BE">
        <w:fldChar w:fldCharType="end"/>
      </w:r>
      <w:r w:rsidRPr="005D06BE">
        <w:t xml:space="preserve"> hosted on the Biology Workbench 3.2 </w:t>
      </w:r>
      <w:r w:rsidRPr="005D06BE">
        <w:fldChar w:fldCharType="begin" w:fldLock="1"/>
      </w:r>
      <w:r w:rsidRPr="005D06BE">
        <w:instrText>ADDIN CSL_CITATION { "citationItems" : [ { "id" : "ITEM-1", "itemData" : { "DOI" : "10.1002/(SICI)1097-0134(19980701)32:1&lt;1::AID-PROT1&gt;3.0.CO;2-Q", "ISBN" : "0887-3585 (Print)\\r0887-3585 (Linking)", "ISSN" : "08873585", "PMID" : "9672036", "author" : [ { "dropping-particle" : "", "family" : "Subramaniam", "given" : "S.", "non-dropping-particle" : "", "parse-names" : false, "suffix" : "" } ], "container-title" : "Proteins: Structure, Function and Genetics", "id" : "ITEM-1", "issue" : "1", "issued" : { "date-parts" : [ [ "1998" ] ] }, "page" : "1-2", "title" : "The biology workbench - A seamless database and analysis environment for the biologist", "type" : "article-journal", "volume" : "32" }, "uris" : [ "http://www.mendeley.com/documents/?uuid=dd0f3098-dfa0-4628-8ebf-53f2bea7154e" ] } ], "mendeley" : { "formattedCitation" : "(Subramaniam 1998)", "plainTextFormattedCitation" : "(Subramaniam 1998)", "previouslyFormattedCitation" : "(Subramaniam 1998)" }, "properties" : { "noteIndex" : 0 }, "schema" : "https://github.com/citation-style-language/schema/raw/master/csl-citation.json" }</w:instrText>
      </w:r>
      <w:r w:rsidRPr="005D06BE">
        <w:fldChar w:fldCharType="separate"/>
      </w:r>
      <w:r w:rsidRPr="005D06BE">
        <w:rPr>
          <w:noProof/>
        </w:rPr>
        <w:t>(Subramaniam 1998)</w:t>
      </w:r>
      <w:r w:rsidRPr="005D06BE">
        <w:fldChar w:fldCharType="end"/>
      </w:r>
      <w:r w:rsidRPr="005D06BE">
        <w:t>, requiring product sizes of 100</w:t>
      </w:r>
      <w:r w:rsidR="007C4C4C">
        <w:t>–</w:t>
      </w:r>
      <w:r w:rsidRPr="005D06BE">
        <w:t>500</w:t>
      </w:r>
      <w:r w:rsidR="00602181">
        <w:t xml:space="preserve"> </w:t>
      </w:r>
      <w:r w:rsidRPr="005D06BE">
        <w:t>bp, a GC clamp size of 1 base, optimal primer length of 22 bases, and min</w:t>
      </w:r>
      <w:r>
        <w:t xml:space="preserve">imum primer length of 20 bases. </w:t>
      </w:r>
      <w:r w:rsidR="00805991">
        <w:t xml:space="preserve">Most assays used three primers, but </w:t>
      </w:r>
      <w:r w:rsidR="00D6091C">
        <w:t>ALVE_ros005</w:t>
      </w:r>
      <w:r w:rsidR="00805991">
        <w:t xml:space="preserve"> and </w:t>
      </w:r>
      <w:r w:rsidR="00D6091C">
        <w:t xml:space="preserve">ALVE_ros007 </w:t>
      </w:r>
      <w:r w:rsidR="00805991">
        <w:t xml:space="preserve">only used a two primer assay. </w:t>
      </w:r>
    </w:p>
    <w:p w14:paraId="72A68F5A" w14:textId="741F4173" w:rsidR="00805991" w:rsidRDefault="00805991" w:rsidP="00391005">
      <w:pPr>
        <w:pStyle w:val="ListParagraph"/>
      </w:pPr>
      <w:r w:rsidRPr="005D06BE">
        <w:t xml:space="preserve">For all </w:t>
      </w:r>
      <w:r>
        <w:t>assays,</w:t>
      </w:r>
      <w:r w:rsidRPr="005D06BE">
        <w:t xml:space="preserve"> PCR was conducted in 10</w:t>
      </w:r>
      <w:r w:rsidRPr="005D06BE">
        <w:rPr>
          <w:rFonts w:ascii="Cambria" w:hAnsi="Cambria" w:cs="Cambria"/>
        </w:rPr>
        <w:t>μ</w:t>
      </w:r>
      <w:r w:rsidRPr="005D06BE">
        <w:t>l reaction volumes</w:t>
      </w:r>
      <w:r>
        <w:t>,</w:t>
      </w:r>
      <w:r w:rsidRPr="005D06BE">
        <w:t xml:space="preserve"> with equal concentrations of primers</w:t>
      </w:r>
      <w:r>
        <w:t>,</w:t>
      </w:r>
      <w:r w:rsidRPr="005D06BE">
        <w:t xml:space="preserve"> using the</w:t>
      </w:r>
      <w:r>
        <w:t xml:space="preserve"> Roche F</w:t>
      </w:r>
      <w:r w:rsidR="00CF74D7">
        <w:t xml:space="preserve">astStart Taq kit (04738357001). </w:t>
      </w:r>
      <w:bookmarkStart w:id="347" w:name="_Hlk497215695"/>
      <w:r w:rsidR="00CF74D7">
        <w:t xml:space="preserve">Each PCR reaction began with a 4 minute activation at 95°C, then </w:t>
      </w:r>
      <w:r w:rsidR="00C5531A">
        <w:t xml:space="preserve">had </w:t>
      </w:r>
      <w:r w:rsidR="00CF74D7">
        <w:t>35 cycles of 30 seconds</w:t>
      </w:r>
      <w:r w:rsidR="00C5531A">
        <w:t xml:space="preserve"> denaturing</w:t>
      </w:r>
      <w:r w:rsidR="00CF74D7">
        <w:t xml:space="preserve"> at 95°C,</w:t>
      </w:r>
      <w:r w:rsidR="00C5531A">
        <w:t xml:space="preserve"> 30 seconds annealing at 60°C and 45 seconds elongation</w:t>
      </w:r>
      <w:r w:rsidR="00CF74D7">
        <w:t xml:space="preserve"> at 72°C, and </w:t>
      </w:r>
      <w:r w:rsidR="00C5531A">
        <w:t xml:space="preserve">then </w:t>
      </w:r>
      <w:r w:rsidR="00CF74D7">
        <w:t xml:space="preserve">finished with a 7 minute </w:t>
      </w:r>
      <w:r w:rsidR="00C5531A">
        <w:t xml:space="preserve">final </w:t>
      </w:r>
      <w:r w:rsidR="00CF74D7">
        <w:t>extension</w:t>
      </w:r>
      <w:r w:rsidR="00C5531A">
        <w:t xml:space="preserve"> at 72°C. </w:t>
      </w:r>
      <w:r>
        <w:t>The ALVE15 and ALVEB5 PCR reactions</w:t>
      </w:r>
      <w:r w:rsidRPr="005D06BE">
        <w:t xml:space="preserve"> had an annealing temperature of 50°C due to the low primer </w:t>
      </w:r>
      <w:r>
        <w:t>T</w:t>
      </w:r>
      <w:r>
        <w:rPr>
          <w:vertAlign w:val="subscript"/>
        </w:rPr>
        <w:t>m</w:t>
      </w:r>
      <w:r>
        <w:t xml:space="preserve">. In addition, </w:t>
      </w:r>
      <w:r w:rsidR="00C5531A">
        <w:t xml:space="preserve">the </w:t>
      </w:r>
      <w:r>
        <w:t xml:space="preserve">45 second elongation within each cycle was extended to 3 minutes for </w:t>
      </w:r>
      <w:r w:rsidR="00D6091C">
        <w:t>ALVE_ros007</w:t>
      </w:r>
      <w:r>
        <w:t>.</w:t>
      </w:r>
      <w:bookmarkEnd w:id="347"/>
      <w:r>
        <w:t xml:space="preserve"> Samples were run on a 1% ag</w:t>
      </w:r>
      <w:r w:rsidRPr="005D06BE">
        <w:t xml:space="preserve">arose gel with </w:t>
      </w:r>
      <w:r>
        <w:t>Invitrogen SYBR Safe DNA gel s</w:t>
      </w:r>
      <w:r w:rsidRPr="005D06BE">
        <w:t>tain</w:t>
      </w:r>
      <w:r>
        <w:t xml:space="preserve"> (S33102)</w:t>
      </w:r>
      <w:r w:rsidRPr="005D06BE">
        <w:t xml:space="preserve">, using the Bioline Hyperladder I </w:t>
      </w:r>
      <w:r>
        <w:t xml:space="preserve">(BIO-37045) </w:t>
      </w:r>
      <w:r w:rsidRPr="005D06BE">
        <w:t>as the marker ladder.</w:t>
      </w:r>
    </w:p>
    <w:p w14:paraId="76579269" w14:textId="77777777" w:rsidR="00177865" w:rsidRPr="00E5396E" w:rsidRDefault="00177865" w:rsidP="00391005">
      <w:pPr>
        <w:pStyle w:val="ListParagraph"/>
      </w:pPr>
    </w:p>
    <w:p w14:paraId="7E2D2AA5" w14:textId="10FFBC98" w:rsidR="00043440" w:rsidRDefault="00043440" w:rsidP="00043440">
      <w:pPr>
        <w:pStyle w:val="Heading3"/>
      </w:pPr>
      <w:bookmarkStart w:id="348" w:name="_Ref468007635"/>
      <w:bookmarkStart w:id="349" w:name="_Toc485721625"/>
      <w:bookmarkStart w:id="350" w:name="_Toc486787205"/>
      <w:bookmarkStart w:id="351" w:name="_Toc486787353"/>
      <w:r>
        <w:t>Genotyping of identified ALVEs in the Roslin J-Line</w:t>
      </w:r>
      <w:bookmarkEnd w:id="348"/>
      <w:bookmarkEnd w:id="349"/>
      <w:bookmarkEnd w:id="350"/>
      <w:bookmarkEnd w:id="351"/>
    </w:p>
    <w:p w14:paraId="25CA0822" w14:textId="77777777" w:rsidR="00043440" w:rsidRDefault="00043440" w:rsidP="00043440">
      <w:pPr>
        <w:pStyle w:val="Heading4"/>
      </w:pPr>
      <w:r>
        <w:t>Bird sampling and sample preparation</w:t>
      </w:r>
    </w:p>
    <w:p w14:paraId="52A6D47F" w14:textId="67DCA1FD" w:rsidR="00043440" w:rsidRDefault="005D06BE" w:rsidP="00391005">
      <w:pPr>
        <w:pStyle w:val="ListParagraph"/>
      </w:pPr>
      <w:r w:rsidRPr="005D06BE">
        <w:t>Blood samples were taken from the wing veins of all thirty-two JL individuals in the cu</w:t>
      </w:r>
      <w:r>
        <w:t xml:space="preserve">rrent flock. </w:t>
      </w:r>
      <w:r w:rsidR="00AF0E25">
        <w:t xml:space="preserve">Blood sampling for DNA extraction was conducted after ethical approval under project licence PPL60/4056. </w:t>
      </w:r>
      <w:r>
        <w:t xml:space="preserve">Genomic DNA </w:t>
      </w:r>
      <w:r w:rsidRPr="005D06BE">
        <w:t>was extracted fro</w:t>
      </w:r>
      <w:r w:rsidR="002E5AA2">
        <w:t>m whole blood using the</w:t>
      </w:r>
      <w:r w:rsidRPr="005D06BE">
        <w:t xml:space="preserve"> ThermoFisher Scientific DNAzol protocol, following th</w:t>
      </w:r>
      <w:r>
        <w:t xml:space="preserve">e manufacturer’s instructions. </w:t>
      </w:r>
      <w:r w:rsidRPr="005D06BE">
        <w:t>DNA concentration was quantified and sam</w:t>
      </w:r>
      <w:r w:rsidR="002E5AA2">
        <w:t xml:space="preserve">ples diluted to a concentration of </w:t>
      </w:r>
      <w:r w:rsidRPr="005D06BE">
        <w:t>10ng/</w:t>
      </w:r>
      <w:r w:rsidRPr="005D06BE">
        <w:rPr>
          <w:rFonts w:ascii="Cambria" w:hAnsi="Cambria" w:cs="Cambria"/>
        </w:rPr>
        <w:t>μ</w:t>
      </w:r>
      <w:r w:rsidR="00AF0E25">
        <w:t xml:space="preserve">l. </w:t>
      </w:r>
    </w:p>
    <w:p w14:paraId="63500D6A" w14:textId="77777777" w:rsidR="008A60E4" w:rsidRDefault="008A60E4" w:rsidP="00391005">
      <w:pPr>
        <w:pStyle w:val="ListParagraph"/>
      </w:pPr>
    </w:p>
    <w:p w14:paraId="6532E54D" w14:textId="77777777" w:rsidR="00043440" w:rsidRDefault="00043440" w:rsidP="00043440">
      <w:pPr>
        <w:pStyle w:val="Heading4"/>
      </w:pPr>
      <w:r>
        <w:t>Diagnostic PCR assay design</w:t>
      </w:r>
    </w:p>
    <w:p w14:paraId="6C939AA7" w14:textId="5AA63D72" w:rsidR="005D06BE" w:rsidRPr="005D06BE" w:rsidRDefault="005D06BE" w:rsidP="00391005">
      <w:pPr>
        <w:pStyle w:val="ListParagraph"/>
      </w:pPr>
      <w:r w:rsidRPr="005D06BE">
        <w:t>Existing</w:t>
      </w:r>
      <w:r w:rsidR="00636546">
        <w:t xml:space="preserve"> PCR primers were used for the AL</w:t>
      </w:r>
      <w:r w:rsidRPr="005D06BE">
        <w:t>V</w:t>
      </w:r>
      <w:r w:rsidR="00636546">
        <w:t>E3 and AL</w:t>
      </w:r>
      <w:r w:rsidRPr="005D06BE">
        <w:t>V</w:t>
      </w:r>
      <w:r w:rsidR="00636546">
        <w:t>E</w:t>
      </w:r>
      <w:r w:rsidRPr="005D06BE">
        <w:t xml:space="preserve">15 assays </w:t>
      </w:r>
      <w:r w:rsidRPr="005D06BE">
        <w:fldChar w:fldCharType="begin" w:fldLock="1"/>
      </w:r>
      <w:r w:rsidRPr="005D06BE">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Pr="005D06BE">
        <w:fldChar w:fldCharType="separate"/>
      </w:r>
      <w:r w:rsidRPr="005D06BE">
        <w:rPr>
          <w:noProof/>
        </w:rPr>
        <w:t>(Benkel 1998)</w:t>
      </w:r>
      <w:r w:rsidRPr="005D06BE">
        <w:fldChar w:fldCharType="end"/>
      </w:r>
      <w:r w:rsidRPr="005D06BE">
        <w:t>. A three-primer PCR assay was developed for ALVE</w:t>
      </w:r>
      <w:r w:rsidR="007C4C4C">
        <w:t xml:space="preserve">_ros011 </w:t>
      </w:r>
      <w:r w:rsidRPr="005D06BE">
        <w:t>using the 500</w:t>
      </w:r>
      <w:r w:rsidR="00B82618">
        <w:t xml:space="preserve"> </w:t>
      </w:r>
      <w:r w:rsidRPr="005D06BE">
        <w:t xml:space="preserve">bp 5’ and 3’ </w:t>
      </w:r>
      <w:r w:rsidRPr="005D06BE">
        <w:lastRenderedPageBreak/>
        <w:t xml:space="preserve">insertion flanking sequence, and the sequence from the 5’ soft-clipping reads supporting the insertion site. </w:t>
      </w:r>
      <w:r w:rsidR="00416EE3">
        <w:t>As</w:t>
      </w:r>
      <w:r w:rsidR="00805991">
        <w:t xml:space="preserve"> above, primers were designed using </w:t>
      </w:r>
      <w:r w:rsidRPr="005D06BE">
        <w:t>Primer3</w:t>
      </w:r>
      <w:r w:rsidR="008F61F7">
        <w:t>,</w:t>
      </w:r>
      <w:r w:rsidRPr="005D06BE">
        <w:t xml:space="preserve"> requiring product sizes of 100-500</w:t>
      </w:r>
      <w:r w:rsidR="00B82618">
        <w:t xml:space="preserve"> </w:t>
      </w:r>
      <w:r w:rsidRPr="005D06BE">
        <w:t>bp, a GC clamp size of 1 base, optimal primer length of 22 bases, and min</w:t>
      </w:r>
      <w:r w:rsidR="00DC337E">
        <w:t>imum primer length of 20 bases.</w:t>
      </w:r>
    </w:p>
    <w:p w14:paraId="75A0F725" w14:textId="16E420E8" w:rsidR="00043440" w:rsidRDefault="005D06BE" w:rsidP="00391005">
      <w:pPr>
        <w:pStyle w:val="ListParagraph"/>
      </w:pPr>
      <w:r w:rsidRPr="005D06BE">
        <w:t>For all three assays, PCR was conducted in 10</w:t>
      </w:r>
      <w:r w:rsidRPr="005D06BE">
        <w:rPr>
          <w:rFonts w:ascii="Cambria" w:hAnsi="Cambria" w:cs="Cambria"/>
        </w:rPr>
        <w:t>μ</w:t>
      </w:r>
      <w:r w:rsidRPr="005D06BE">
        <w:t>l reaction volumes</w:t>
      </w:r>
      <w:r>
        <w:t>,</w:t>
      </w:r>
      <w:r w:rsidRPr="005D06BE">
        <w:t xml:space="preserve"> with equal concentrations of primers</w:t>
      </w:r>
      <w:r>
        <w:t>,</w:t>
      </w:r>
      <w:r w:rsidRPr="005D06BE">
        <w:t xml:space="preserve"> using the</w:t>
      </w:r>
      <w:r w:rsidR="00636546">
        <w:t xml:space="preserve"> Roche FastStart Taq </w:t>
      </w:r>
      <w:r w:rsidR="008F61F7">
        <w:t>kit</w:t>
      </w:r>
      <w:r w:rsidR="007C4C4C">
        <w:t xml:space="preserve">. </w:t>
      </w:r>
      <w:r w:rsidR="00636546">
        <w:t>ALVE</w:t>
      </w:r>
      <w:r w:rsidRPr="005D06BE">
        <w:t>3 and</w:t>
      </w:r>
      <w:r w:rsidR="007C4C4C">
        <w:t xml:space="preserve"> ALVE_ros011</w:t>
      </w:r>
      <w:r w:rsidRPr="005D06BE">
        <w:t xml:space="preserve"> were cycled 35 times with an annea</w:t>
      </w:r>
      <w:r w:rsidR="00636546">
        <w:t xml:space="preserve">ling temperature of 60°C. </w:t>
      </w:r>
      <w:r w:rsidR="008F61F7">
        <w:t>As stated above, the ALVE15 PCR reaction had 35 cycles, but an annealing temperature of 50°C.</w:t>
      </w:r>
      <w:r w:rsidR="00380E93">
        <w:t xml:space="preserve"> Samples were run on a 1% ag</w:t>
      </w:r>
      <w:r w:rsidRPr="005D06BE">
        <w:t xml:space="preserve">arose gel with </w:t>
      </w:r>
      <w:r w:rsidR="00177865">
        <w:t>Invitrogen</w:t>
      </w:r>
      <w:r w:rsidR="005F2C59">
        <w:t xml:space="preserve"> SYBR Safe DNA gel s</w:t>
      </w:r>
      <w:r w:rsidRPr="005D06BE">
        <w:t xml:space="preserve">tain, </w:t>
      </w:r>
      <w:r w:rsidR="008F61F7">
        <w:t>using the Bioline Hyperladder I</w:t>
      </w:r>
      <w:r w:rsidR="005F2C59">
        <w:t xml:space="preserve"> </w:t>
      </w:r>
      <w:r w:rsidRPr="005D06BE">
        <w:t>as the marker ladder.</w:t>
      </w:r>
    </w:p>
    <w:p w14:paraId="1905CD45" w14:textId="77777777" w:rsidR="00177865" w:rsidRDefault="00177865" w:rsidP="00391005">
      <w:pPr>
        <w:pStyle w:val="ListParagraph"/>
      </w:pPr>
    </w:p>
    <w:p w14:paraId="171FB78C" w14:textId="5F75D687" w:rsidR="00225365" w:rsidRDefault="00A110FB" w:rsidP="00225365">
      <w:pPr>
        <w:pStyle w:val="Heading3"/>
      </w:pPr>
      <w:bookmarkStart w:id="352" w:name="_Toc485721626"/>
      <w:bookmarkStart w:id="353" w:name="_Toc486787206"/>
      <w:bookmarkStart w:id="354" w:name="_Toc486787354"/>
      <w:r>
        <w:t>Probability of</w:t>
      </w:r>
      <w:r w:rsidR="002E5AA2">
        <w:t xml:space="preserve"> missing an</w:t>
      </w:r>
      <w:r>
        <w:t xml:space="preserve"> ALVE</w:t>
      </w:r>
      <w:r w:rsidR="002E5AA2">
        <w:t xml:space="preserve"> </w:t>
      </w:r>
      <w:r w:rsidR="00225365">
        <w:t xml:space="preserve">insertion within the </w:t>
      </w:r>
      <w:r w:rsidR="00083395">
        <w:t>WGS</w:t>
      </w:r>
      <w:r w:rsidR="00225365">
        <w:t xml:space="preserve"> datasets</w:t>
      </w:r>
      <w:bookmarkEnd w:id="352"/>
      <w:bookmarkEnd w:id="353"/>
      <w:bookmarkEnd w:id="354"/>
    </w:p>
    <w:p w14:paraId="36346A07" w14:textId="7904B4FA" w:rsidR="00225365" w:rsidRDefault="00A110FB" w:rsidP="00225365">
      <w:pPr>
        <w:pStyle w:val="Heading4"/>
      </w:pPr>
      <w:r>
        <w:t>Probability</w:t>
      </w:r>
      <w:r w:rsidR="00225365">
        <w:t xml:space="preserve"> of missing an ALVE insertion in</w:t>
      </w:r>
      <w:r w:rsidR="002E5AA2">
        <w:t xml:space="preserve"> the JL</w:t>
      </w:r>
      <w:r w:rsidR="00225365">
        <w:t xml:space="preserve"> individual sequencing data</w:t>
      </w:r>
    </w:p>
    <w:p w14:paraId="5B51CCAC" w14:textId="53F6628A" w:rsidR="00815BC3" w:rsidRDefault="00225365" w:rsidP="00391005">
      <w:pPr>
        <w:pStyle w:val="ListParagraph"/>
      </w:pPr>
      <w:r>
        <w:t>A model was co</w:t>
      </w:r>
      <w:r w:rsidR="007C4C4C">
        <w:t>nstructed in</w:t>
      </w:r>
      <w:r w:rsidR="00636546">
        <w:t xml:space="preserve"> Python</w:t>
      </w:r>
      <w:r w:rsidR="007716DF">
        <w:t xml:space="preserve"> to determine the probability</w:t>
      </w:r>
      <w:r>
        <w:t xml:space="preserve"> of missing an insertion of a given frequency when choosing </w:t>
      </w:r>
      <w:r w:rsidR="00815BC3">
        <w:t xml:space="preserve">the nine </w:t>
      </w:r>
      <w:r>
        <w:t>individuals for the sequencing project</w:t>
      </w:r>
      <w:r w:rsidR="00F828DF">
        <w:t xml:space="preserve"> (</w:t>
      </w:r>
      <w:r w:rsidR="00F828DF" w:rsidRPr="00B82618">
        <w:fldChar w:fldCharType="begin" w:fldLock="1"/>
      </w:r>
      <w:r w:rsidR="00F828DF" w:rsidRPr="00B82618">
        <w:instrText xml:space="preserve"> REF _Ref478639182 \h </w:instrText>
      </w:r>
      <w:r w:rsidR="00B82618" w:rsidRPr="00B82618">
        <w:instrText xml:space="preserve"> \* MERGEFORMAT </w:instrText>
      </w:r>
      <w:r w:rsidR="00F828DF" w:rsidRPr="00B82618">
        <w:fldChar w:fldCharType="separate"/>
      </w:r>
      <w:r w:rsidR="002C549C" w:rsidRPr="002C549C">
        <w:t xml:space="preserve">Figure </w:t>
      </w:r>
      <w:r w:rsidR="002C549C" w:rsidRPr="002C549C">
        <w:rPr>
          <w:noProof/>
        </w:rPr>
        <w:t>5.4</w:t>
      </w:r>
      <w:r w:rsidR="00F828DF" w:rsidRPr="00B82618">
        <w:fldChar w:fldCharType="end"/>
      </w:r>
      <w:r w:rsidR="00F828DF">
        <w:t>)</w:t>
      </w:r>
      <w:r>
        <w:t>. For</w:t>
      </w:r>
      <w:r w:rsidR="00815BC3">
        <w:t xml:space="preserve"> a given </w:t>
      </w:r>
      <w:r w:rsidR="007716DF">
        <w:t xml:space="preserve">ALVE frequency, individuals from a </w:t>
      </w:r>
      <w:r w:rsidR="00815BC3">
        <w:t>modelled population of 32 birds were randomly assigned an insertion genotype based on Hardy-Weinberg equilibrium. Nine birds were chosen at random without reselection and the observed frequency noted. As coverage for the JL was &gt;18X for all individuals it was assumed t</w:t>
      </w:r>
      <w:r w:rsidR="007716DF">
        <w:t>hat heterozygote insertions would</w:t>
      </w:r>
      <w:r w:rsidR="00815BC3">
        <w:t xml:space="preserve"> always</w:t>
      </w:r>
      <w:r w:rsidR="007716DF">
        <w:t xml:space="preserve"> be</w:t>
      </w:r>
      <w:r w:rsidR="00815BC3">
        <w:t xml:space="preserve"> identified within the sequencing data</w:t>
      </w:r>
      <w:r w:rsidR="007716DF">
        <w:t xml:space="preserve"> if they were present</w:t>
      </w:r>
      <w:r w:rsidR="00815BC3">
        <w:t>, and that variability in read coverage or allele specific amplification in library preparation would have little impact on insertion discovery.</w:t>
      </w:r>
    </w:p>
    <w:p w14:paraId="335A967C" w14:textId="6C77EF1D" w:rsidR="002E5AA2" w:rsidRDefault="002E5AA2" w:rsidP="00391005">
      <w:pPr>
        <w:pStyle w:val="ListParagraph"/>
      </w:pPr>
      <w:r>
        <w:t>The model was run for all possible insertion frequencies from a 32 individual flock (from an allele frequency of 1/64, incrementing in equal steps to 1), repeated one million times, and the probability of missing the insert was calculated in each case. This detection calculation follows a binomial distribution. Additionally, the model was run varying the modelled sample size from one individual to the whole flock to determine the number of individuals required to give 90 %, 95 % or 100 % detection probability for all possible insertion frequencies.</w:t>
      </w:r>
    </w:p>
    <w:p w14:paraId="1CEBC29E" w14:textId="015EA0AE" w:rsidR="00F828DF" w:rsidRPr="002E5AA2" w:rsidRDefault="00F828DF" w:rsidP="00391005">
      <w:pPr>
        <w:pStyle w:val="ListParagraph"/>
        <w:rPr>
          <w:sz w:val="2"/>
        </w:rPr>
      </w:pPr>
    </w:p>
    <w:p w14:paraId="2646EC3C" w14:textId="6548F66E" w:rsidR="00F828DF" w:rsidRDefault="00F828DF" w:rsidP="002E5AA2">
      <w:pPr>
        <w:pStyle w:val="ListParagraph"/>
        <w:jc w:val="center"/>
      </w:pPr>
      <w:r>
        <w:rPr>
          <w:noProof/>
          <w:lang w:eastAsia="en-GB"/>
        </w:rPr>
        <w:lastRenderedPageBreak/>
        <w:drawing>
          <wp:inline distT="0" distB="0" distL="0" distR="0" wp14:anchorId="3C52D436" wp14:editId="001D7FC2">
            <wp:extent cx="4891178" cy="3048589"/>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4202" cy="3062940"/>
                    </a:xfrm>
                    <a:prstGeom prst="rect">
                      <a:avLst/>
                    </a:prstGeom>
                    <a:noFill/>
                  </pic:spPr>
                </pic:pic>
              </a:graphicData>
            </a:graphic>
          </wp:inline>
        </w:drawing>
      </w:r>
    </w:p>
    <w:p w14:paraId="04995F03" w14:textId="76423A68" w:rsidR="00F16E7A" w:rsidRPr="00F16E7A" w:rsidRDefault="00F828DF" w:rsidP="00F16E7A">
      <w:pPr>
        <w:pStyle w:val="Figure"/>
      </w:pPr>
      <w:bookmarkStart w:id="355" w:name="_Ref478639182"/>
      <w:bookmarkStart w:id="356" w:name="_Toc486785444"/>
      <w:r w:rsidRPr="00014ACA">
        <w:t xml:space="preserve">Figure </w:t>
      </w:r>
      <w:fldSimple w:instr=" STYLEREF 1 \s " w:fldLock="1">
        <w:r w:rsidR="002C549C" w:rsidRPr="00014ACA">
          <w:rPr>
            <w:noProof/>
          </w:rPr>
          <w:t>5</w:t>
        </w:r>
      </w:fldSimple>
      <w:r w:rsidR="001167C6" w:rsidRPr="00014ACA">
        <w:t>.</w:t>
      </w:r>
      <w:fldSimple w:instr=" SEQ Figure \* ARABIC \s 1 " w:fldLock="1">
        <w:r w:rsidR="002C549C" w:rsidRPr="00014ACA">
          <w:rPr>
            <w:noProof/>
          </w:rPr>
          <w:t>4</w:t>
        </w:r>
      </w:fldSimple>
      <w:bookmarkEnd w:id="355"/>
      <w:r>
        <w:t xml:space="preserve"> Schematic highlighting the issues with sampling bias for insertion discovery from individual sequencing datasets. Under Hardy-Weinberg equilibrium, a flock of thirty-two birds with an insert frequency of 0.2 would have ten heterozygote birds (pink) and two birds homozygous for the insert (red). Depending on the nine birds chosen for sequencing, inserts could be missed (</w:t>
      </w:r>
      <w:r w:rsidR="00F16E7A">
        <w:t>from the 28,048,800 possible ways to choose nine birds from a thirty-two bird flock, an individual carrying the insert could be missed 167,960 times (0.60 %)</w:t>
      </w:r>
      <w:r>
        <w:t>) or the observed frequency could differ from t</w:t>
      </w:r>
      <w:r w:rsidR="00304C1F">
        <w:t>he actual frequency. For example, i</w:t>
      </w:r>
      <w:r>
        <w:t>f the nine birds with a number 1 were chosen, the observed frequency would be 0.22, but if the birds with a number 2 were chosen, the observed frequency would be 0.06.</w:t>
      </w:r>
      <w:bookmarkEnd w:id="356"/>
    </w:p>
    <w:p w14:paraId="45D079DA" w14:textId="03A593FB" w:rsidR="00225365" w:rsidRDefault="00A110FB" w:rsidP="00225365">
      <w:pPr>
        <w:pStyle w:val="Heading4"/>
      </w:pPr>
      <w:r>
        <w:t>Probability</w:t>
      </w:r>
      <w:r w:rsidR="00225365" w:rsidRPr="00A110FB">
        <w:rPr>
          <w:sz w:val="22"/>
        </w:rPr>
        <w:t xml:space="preserve"> </w:t>
      </w:r>
      <w:r w:rsidR="00225365">
        <w:t>of</w:t>
      </w:r>
      <w:r w:rsidR="00225365" w:rsidRPr="00A110FB">
        <w:rPr>
          <w:sz w:val="22"/>
        </w:rPr>
        <w:t xml:space="preserve"> </w:t>
      </w:r>
      <w:r w:rsidR="00225365">
        <w:t>missing</w:t>
      </w:r>
      <w:r>
        <w:t xml:space="preserve"> </w:t>
      </w:r>
      <w:r>
        <w:softHyphen/>
      </w:r>
      <w:r w:rsidR="00225365">
        <w:t>an</w:t>
      </w:r>
      <w:r w:rsidR="00225365" w:rsidRPr="00A110FB">
        <w:rPr>
          <w:sz w:val="22"/>
        </w:rPr>
        <w:t xml:space="preserve"> </w:t>
      </w:r>
      <w:r w:rsidR="00225365">
        <w:t>ALVE insertion</w:t>
      </w:r>
      <w:r w:rsidR="00225365" w:rsidRPr="002E5AA2">
        <w:rPr>
          <w:sz w:val="22"/>
        </w:rPr>
        <w:t xml:space="preserve"> </w:t>
      </w:r>
      <w:r w:rsidR="00225365">
        <w:t>in</w:t>
      </w:r>
      <w:r w:rsidR="002C6A7E" w:rsidRPr="00A110FB">
        <w:rPr>
          <w:sz w:val="22"/>
        </w:rPr>
        <w:t xml:space="preserve"> </w:t>
      </w:r>
      <w:r w:rsidR="002C6A7E">
        <w:t>the</w:t>
      </w:r>
      <w:r w:rsidR="002E5AA2">
        <w:t xml:space="preserve"> HL</w:t>
      </w:r>
      <w:r w:rsidR="002E5AA2" w:rsidRPr="00A110FB">
        <w:rPr>
          <w:sz w:val="22"/>
        </w:rPr>
        <w:t xml:space="preserve"> </w:t>
      </w:r>
      <w:r w:rsidR="002E5AA2">
        <w:t>and</w:t>
      </w:r>
      <w:r w:rsidR="002E5AA2" w:rsidRPr="00A110FB">
        <w:rPr>
          <w:sz w:val="22"/>
        </w:rPr>
        <w:t xml:space="preserve"> </w:t>
      </w:r>
      <w:r w:rsidR="002E5AA2">
        <w:t>JL</w:t>
      </w:r>
      <w:r w:rsidR="00225365" w:rsidRPr="00A110FB">
        <w:rPr>
          <w:sz w:val="22"/>
        </w:rPr>
        <w:t xml:space="preserve"> </w:t>
      </w:r>
      <w:r w:rsidR="00225365">
        <w:t>pooled sequencing</w:t>
      </w:r>
      <w:r w:rsidR="00225365" w:rsidRPr="00A110FB">
        <w:rPr>
          <w:sz w:val="22"/>
        </w:rPr>
        <w:t xml:space="preserve"> </w:t>
      </w:r>
      <w:r w:rsidR="00225365">
        <w:t>data</w:t>
      </w:r>
    </w:p>
    <w:p w14:paraId="2CBA1EF0" w14:textId="05354919" w:rsidR="00973627" w:rsidRDefault="007A7D93" w:rsidP="00391005">
      <w:pPr>
        <w:pStyle w:val="ListParagraph"/>
      </w:pPr>
      <w:r>
        <w:t>The model used for the pooled datasets was largely the same as above, but the number of sampled individuals was always ten and the population sizes were changed for each dataset t</w:t>
      </w:r>
      <w:r w:rsidR="002C6A7E">
        <w:t>o reflect each line</w:t>
      </w:r>
      <w:r>
        <w:t xml:space="preserve">. The JL population was </w:t>
      </w:r>
      <w:r w:rsidR="00973627">
        <w:t xml:space="preserve">again </w:t>
      </w:r>
      <w:r>
        <w:t xml:space="preserve">32, but the HL populations cannot </w:t>
      </w:r>
      <w:r w:rsidR="002C6A7E">
        <w:t>be</w:t>
      </w:r>
      <w:r>
        <w:t xml:space="preserve"> stated here due to commercial sensitivities. However, it must be noted that as the pools for WL2, WL3 and WPR1 were sol</w:t>
      </w:r>
      <w:r w:rsidR="002C6A7E">
        <w:t>ely from females, these sampled</w:t>
      </w:r>
      <w:r>
        <w:t xml:space="preserve"> populations were </w:t>
      </w:r>
      <w:r w:rsidR="00973627">
        <w:t>much</w:t>
      </w:r>
      <w:r>
        <w:t xml:space="preserve"> larger than those from males alone. </w:t>
      </w:r>
    </w:p>
    <w:p w14:paraId="17F9E379" w14:textId="592EBF55" w:rsidR="00225365" w:rsidRDefault="00973627" w:rsidP="00391005">
      <w:pPr>
        <w:pStyle w:val="ListParagraph"/>
      </w:pPr>
      <w:r>
        <w:t>Additionally, as the pooling methodology was to pool the DNA samples to make a single sequencing library (rather than libraries constructed for each sample, then pool</w:t>
      </w:r>
      <w:r w:rsidR="00A110FB">
        <w:t>ed), there was a high probability</w:t>
      </w:r>
      <w:r>
        <w:t xml:space="preserve"> that allele specific amplification in the library preparation would </w:t>
      </w:r>
      <w:r>
        <w:lastRenderedPageBreak/>
        <w:t>remove alleles from the sequencing project. This was a particular concern as coverage in the pooled data was 11X-18X, so on average even if PCR amplification was perfectly distributed across the ten samples</w:t>
      </w:r>
      <w:r w:rsidR="00CD4857">
        <w:t>,</w:t>
      </w:r>
      <w:r>
        <w:t xml:space="preserve"> two to nine of the available alleles would have been missed. As coverage is so important for allele representation in the pooled data, variability in the coverage across the genome was also modelled using a Poisson distribution</w:t>
      </w:r>
      <w:r w:rsidR="00CD4857">
        <w:t xml:space="preserve">. Furthermore, an underlying error rate for read mapping was defined to potentially disrupt mapping </w:t>
      </w:r>
      <w:r w:rsidR="00353ABC">
        <w:t>rate</w:t>
      </w:r>
      <w:r w:rsidR="00CD4857">
        <w:t>. This value was based on the proportion of unmapped reads for each dataset when mapped to the reference genome. Another known issue for allele detection in pooled data is variability in the ‘sequencability’ of the genome. However, as there</w:t>
      </w:r>
      <w:r w:rsidR="00353ABC">
        <w:t xml:space="preserve"> is limited literature on this </w:t>
      </w:r>
      <w:r w:rsidR="00353ABC">
        <w:fldChar w:fldCharType="begin" w:fldLock="1"/>
      </w:r>
      <w:r w:rsidR="00F779EA">
        <w:instrText>ADDIN CSL_CITATION { "citationItems" : [ { "id" : "ITEM-1", "itemData" : { "DOI" : "10.1093/bioinformatics/btr076", "ISBN" : "1367-4811 (Electronic)\\r1367-4803 (Linking)", "ISSN" : "13674803", "PMID" : "21320865", "abstract" : "UNLABELLED: I propose a new application of profile Hidden Markov Models in the area of SNP discovery from resequencing data, to greatly reduce false SNP calls caused by misalignments around insertions and deletions (indels). The central concept is per-Base Alignment Quality, which accurately measures the probability of a read base being wrongly aligned. The effectiveness of BAQ has been positively confirmed on large datasets by the 1000 Genomes Project analysis subgroup.\\n\\nAVAILABILITY: http://samtools.sourceforge.net\\n\\nCONTACT: hengli@broadinstitute.org.", "author" : [ { "dropping-particle" : "", "family" : "Li", "given" : "Heng", "non-dropping-particle" : "", "parse-names" : false, "suffix" : "" } ], "container-title" : "Bioinformatics", "id" : "ITEM-1", "issue" : "8", "issued" : { "date-parts" : [ [ "2011" ] ] }, "page" : "1157-1158", "title" : "Improving SNP discovery by base alignment quality", "type" : "article-journal", "volume" : "27" }, "uris" : [ "http://www.mendeley.com/documents/?uuid=7d2e92a0-33d3-4e9e-81e7-7a15e8e3c024" ] }, { "id" : "ITEM-2", "itemData" : { "DOI" : "10.1093/bioinformatics/btr509", "ISBN" : "1367-4811 (Electronic)\\r1367-4803 (Linking)", "ISSN" : "13674803", "PMID" : "21903627", "abstract" : "MOTIVATION: Most existing methods for DNA sequence analysis rely on accurate sequences or genotypes. However, in applications of the next-generation sequencing (NGS), accurate genotypes may not be easily obtained (e.g. multi-sample low-coverage sequencing or somatic mutation discovery). These applications press for the development of new methods for analyzing sequence data with uncertainty.\\n\\nRESULTS: We present a statistical framework for calling SNPs, discovering somatic mutations, inferring population genetical parameters and performing association tests directly based on sequencing data without explicit genotyping or linkage-based imputation. On real data, we demonstrate that our method achieves comparable accuracy to alternative methods for estimating site allele count, for inferring allele frequency spectrum and for association mapping. We also highlight the necessity of using symmetric datasets for finding somatic mutations and confirm that for discovering rare events, mismapping is frequently the leading source of errors.\\n\\nAVAILABILITY: http://samtools.sourceforge.net.\\n\\nCONTACT: hengli@broadinstitute.org.", "author" : [ { "dropping-particle" : "", "family" : "Li", "given" : "Heng", "non-dropping-particle" : "", "parse-names" : false, "suffix" : "" } ], "container-title" : "Bioinformatics", "id" : "ITEM-2", "issue" : "21", "issued" : { "date-parts" : [ [ "2011" ] ] }, "page" : "2987-2993", "title" : "A statistical framework for SNP calling, mutation discovery, association mapping and population genetical parameter estimation from sequencing data", "type" : "article-journal", "volume" : "27" }, "uris" : [ "http://www.mendeley.com/documents/?uuid=7bf7869c-2f84-4500-a8ec-54d0f6fe0255" ] }, { "id" : "ITEM-3", "itemData" : { "DOI" : "10.1093/bioinformatics/btv290", "ISBN" : "1367-4811 (Electronic)\\r1367-4803 (Linking)", "ISSN" : "14602059", "PMID" : "25953801", "abstract" : "Summary: BFC is a free, fast and easy-to-use sequencing error corrector designed for Illumina short reads. It uses a non-greedy algorithm but still maintains a speed comparable to implementations based on greedy methods. In evaluations on real data, BFC appears to correct more errors with fewer overcorrections in comparison to existing tools. It particularly does well in suppressing systematic sequencing errors, which helps to improve the base accuracy of de novo assemblies. Availability and implementation: https://github.com/lh3/bfc Contact: hengli@broadinstitute.org", "author" : [ { "dropping-particle" : "", "family" : "Li", "given" : "Heng", "non-dropping-particle" : "", "parse-names" : false, "suffix" : "" } ], "container-title" : "Bioinformatics", "id" : "ITEM-3", "issue" : "17", "issued" : { "date-parts" : [ [ "2015" ] ] }, "page" : "2885-2887", "title" : "BFC: Correcting Illumina sequencing errors", "type" : "article-journal", "volume" : "31" }, "uris" : [ "http://www.mendeley.com/documents/?uuid=c992d131-2ada-4d00-9260-281afde122da" ] } ], "mendeley" : { "formattedCitation" : "(Li 2011b; Li 2011a; Li 2015)", "plainTextFormattedCitation" : "(Li 2011b; Li 2011a; Li 2015)", "previouslyFormattedCitation" : "(Li 2011b; Li 2011a; Li 2015)" }, "properties" : { "noteIndex" : 0 }, "schema" : "https://github.com/citation-style-language/schema/raw/master/csl-citation.json" }</w:instrText>
      </w:r>
      <w:r w:rsidR="00353ABC">
        <w:fldChar w:fldCharType="separate"/>
      </w:r>
      <w:r w:rsidR="00353ABC" w:rsidRPr="00353ABC">
        <w:rPr>
          <w:noProof/>
        </w:rPr>
        <w:t>(Li 2011b; Li 2011a; Li 2015)</w:t>
      </w:r>
      <w:r w:rsidR="00353ABC">
        <w:fldChar w:fldCharType="end"/>
      </w:r>
      <w:r w:rsidR="00CD4857">
        <w:t xml:space="preserve"> and </w:t>
      </w:r>
      <w:r w:rsidR="006A7619">
        <w:t xml:space="preserve">the </w:t>
      </w:r>
      <w:r w:rsidR="00CD4857">
        <w:t>value is largely arbitrary, for this model it was assumed that all regions of the genome c</w:t>
      </w:r>
      <w:r w:rsidR="006A7619">
        <w:t>ould be sequenced equal</w:t>
      </w:r>
      <w:r w:rsidR="00050EC1">
        <w:t xml:space="preserve">ly well, especially as the </w:t>
      </w:r>
      <w:r w:rsidR="006A7619">
        <w:t>majority of the chicken genome falls within the optimum GC</w:t>
      </w:r>
      <w:r w:rsidR="00B82618">
        <w:t xml:space="preserve"> </w:t>
      </w:r>
      <w:r w:rsidR="006A7619">
        <w:t xml:space="preserve">% observed with Illumina sequencing </w:t>
      </w:r>
      <w:r w:rsidR="006A7619">
        <w:fldChar w:fldCharType="begin" w:fldLock="1"/>
      </w:r>
      <w:r w:rsidR="006E38C9">
        <w:instrText>ADDIN CSL_CITATION { "citationItems" : [ { "id" : "ITEM-1", "itemData" : { "DOI" : "10.3389/fgene.2015.00338", "ISSN" : "16648021", "PMID" : "26640477", "abstract" : "Many applications of high throughput sequencing rely on the availability of an accurate reference genome. Variant calling often produces large data sets that cannot be realistically validated and which may contain large numbers of false-positives. Errors in the reference assembly increase the number of false-positives. While resources are available to aid in the filtering of variants from human data, for other species these do not yet exist and strict filtering techniques must be employed which are more likely to exclude true-positives. This work assesses the accuracy of the pig reference genome (Sscrofa10.2) using whole genome sequencing reads from the Duroc sow whose genome the assembly was based on. Indicators of structural variation including high regional coverage, unexpected insert sizes, improper pairing and homozygous variants were used to identify low quality (LQ) regions of the assembly. Low coverage (LC) regions were also identified and analyzed separately. The LQ regions covered 13.85% of the genome, the LC regions covered 26.6% of the genome and combined (LQLC) they covered 33.07% of the genome. Over half of dbSNP variants were located in the LQLC regions. Of copy number variable regions identified in a previous study, 86.3% were located in the LQLC regions. The regions were also enriched for gene predictions from RNA-seq data with 42.98% falling in the LQLC regions. Excluding variants in the LQ, LC, or LQLC from future analyses will help reduce the number of false-positive variant calls. Researchers using WGS data should be aware that the current pig reference genome does not give an accurate representation of the copy number of alleles in the original Duroc sow's genome.", "author" : [ { "dropping-particle" : "", "family" : "Warr", "given" : "Amanda", "non-dropping-particle" : "", "parse-names" : false, "suffix" : "" }, { "dropping-particle" : "", "family" : "Robert", "given" : "Christelle", "non-dropping-particle" : "", "parse-names" : false, "suffix" : "" }, { "dropping-particle" : "", "family" : "Hume", "given" : "David", "non-dropping-particle" : "", "parse-names" : false, "suffix" : "" }, { "dropping-particle" : "", "family" : "Archibald", "given" : "Alan L.", "non-dropping-particle" : "", "parse-names" : false, "suffix" : "" }, { "dropping-particle" : "", "family" : "Deeb", "given" : "Nader", "non-dropping-particle" : "", "parse-names" : false, "suffix" : "" }, { "dropping-particle" : "", "family" : "Watson", "given" : "Mick", "non-dropping-particle" : "", "parse-names" : false, "suffix" : "" } ], "container-title" : "Frontiers in Genetics", "id" : "ITEM-1", "issue" : "NOV", "issued" : { "date-parts" : [ [ "2015" ] ] }, "page" : "1-8", "title" : "Identification of low-confidence regions in the pig reference genome (Sscrofa10.2)", "type" : "article-journal", "volume" : "6" }, "uris" : [ "http://www.mendeley.com/documents/?uuid=ee358a2b-a1e2-4b85-9e25-ff5e069a9d89" ] } ], "mendeley" : { "formattedCitation" : "(Warr et al. 2015)", "plainTextFormattedCitation" : "(Warr et al. 2015)", "previouslyFormattedCitation" : "(Warr et al. 2015)" }, "properties" : { "noteIndex" : 0 }, "schema" : "https://github.com/citation-style-language/schema/raw/master/csl-citation.json" }</w:instrText>
      </w:r>
      <w:r w:rsidR="006A7619">
        <w:fldChar w:fldCharType="separate"/>
      </w:r>
      <w:r w:rsidR="006A7619" w:rsidRPr="006A7619">
        <w:rPr>
          <w:noProof/>
        </w:rPr>
        <w:t>(Warr et al. 2015)</w:t>
      </w:r>
      <w:r w:rsidR="006A7619">
        <w:fldChar w:fldCharType="end"/>
      </w:r>
      <w:r w:rsidR="006A7619">
        <w:t xml:space="preserve">. </w:t>
      </w:r>
    </w:p>
    <w:p w14:paraId="7DD8D0C8" w14:textId="77777777" w:rsidR="00E65411" w:rsidRDefault="00CD4857" w:rsidP="00391005">
      <w:pPr>
        <w:pStyle w:val="ListParagraph"/>
      </w:pPr>
      <w:r>
        <w:t xml:space="preserve">Given these additional parameters, the model </w:t>
      </w:r>
      <w:r w:rsidR="006A7619">
        <w:t>was run</w:t>
      </w:r>
      <w:r>
        <w:t xml:space="preserve"> as follows: for a given frequency the flock of a given size was randomly assigned genotypes based on Hardy-Weinberg equilibrium, </w:t>
      </w:r>
      <w:r w:rsidR="006A7619">
        <w:t xml:space="preserve">individuals </w:t>
      </w:r>
      <w:r>
        <w:t>and alleles were sampled</w:t>
      </w:r>
      <w:r w:rsidR="00050EC1">
        <w:t xml:space="preserve"> according to</w:t>
      </w:r>
      <w:r w:rsidR="00112EA2">
        <w:t xml:space="preserve"> a binomial distribution</w:t>
      </w:r>
      <w:r w:rsidR="006A7619">
        <w:t>, and samples</w:t>
      </w:r>
      <w:r>
        <w:t xml:space="preserve"> scaled for genome-average coverage and Poisson-varied coverage</w:t>
      </w:r>
      <w:r w:rsidR="00722C6F">
        <w:t>, both of which were</w:t>
      </w:r>
      <w:r>
        <w:t xml:space="preserve"> </w:t>
      </w:r>
      <w:r w:rsidR="006A7619">
        <w:t xml:space="preserve">further </w:t>
      </w:r>
      <w:r>
        <w:t xml:space="preserve">scaled by an underlying error rate. Models were run one million times and the probability of missing the insertion was </w:t>
      </w:r>
      <w:r w:rsidR="00722C6F">
        <w:t>calculated. Probabilities were calculated for each line, for each observable insertion frequency within the sample of ten birds used for sequencing</w:t>
      </w:r>
      <w:r w:rsidR="006A7619">
        <w:t>,</w:t>
      </w:r>
      <w:r w:rsidR="00D34225">
        <w:t xml:space="preserve"> using the Poisson-coverage-scaled probabilities. </w:t>
      </w:r>
      <w:r w:rsidR="00400067">
        <w:t>Probabilities for insertions with a frequency ≤</w:t>
      </w:r>
      <w:r w:rsidR="00263235">
        <w:t xml:space="preserve"> </w:t>
      </w:r>
      <w:r w:rsidR="00050EC1">
        <w:t>0.75 were</w:t>
      </w:r>
      <w:r w:rsidR="00400067">
        <w:t xml:space="preserve"> negative log</w:t>
      </w:r>
      <w:r w:rsidR="00400067">
        <w:rPr>
          <w:vertAlign w:val="subscript"/>
        </w:rPr>
        <w:t>10</w:t>
      </w:r>
      <w:r w:rsidR="00050EC1">
        <w:t xml:space="preserve"> transformed, plotted</w:t>
      </w:r>
      <w:r w:rsidR="00400067">
        <w:t xml:space="preserve"> aga</w:t>
      </w:r>
      <w:r w:rsidR="00050EC1">
        <w:t>inst insertion frequency,</w:t>
      </w:r>
      <w:r w:rsidR="00E65411">
        <w:t xml:space="preserve"> and</w:t>
      </w:r>
      <w:r w:rsidR="00400067">
        <w:t xml:space="preserve"> linear gradients were </w:t>
      </w:r>
      <w:r w:rsidR="00050EC1">
        <w:t xml:space="preserve">calculated and </w:t>
      </w:r>
      <w:r w:rsidR="00400067">
        <w:t xml:space="preserve">correlated with genome-average coverage. </w:t>
      </w:r>
    </w:p>
    <w:p w14:paraId="46F00C42" w14:textId="4D18EF78" w:rsidR="00CD4857" w:rsidRDefault="00D34225" w:rsidP="00391005">
      <w:pPr>
        <w:pStyle w:val="ListParagraph"/>
      </w:pPr>
      <w:r>
        <w:t>The model was</w:t>
      </w:r>
      <w:r w:rsidR="006A7619">
        <w:t xml:space="preserve"> also</w:t>
      </w:r>
      <w:r>
        <w:t xml:space="preserve"> run specifically for three cases when the ALVE insertions could be detected in the sampled birds, but were missed in the sequencing</w:t>
      </w:r>
      <w:r w:rsidR="00400067">
        <w:t>, and for the case with the lowest observed frequency identified in the identification pipeline</w:t>
      </w:r>
      <w:r w:rsidR="00050EC1">
        <w:t xml:space="preserve"> (section </w:t>
      </w:r>
      <w:r w:rsidR="00050EC1">
        <w:fldChar w:fldCharType="begin" w:fldLock="1"/>
      </w:r>
      <w:r w:rsidR="00050EC1">
        <w:instrText xml:space="preserve"> REF _Ref479618008 \r \h </w:instrText>
      </w:r>
      <w:r w:rsidR="00050EC1">
        <w:fldChar w:fldCharType="separate"/>
      </w:r>
      <w:r w:rsidR="002C549C">
        <w:t>6.4.3</w:t>
      </w:r>
      <w:r w:rsidR="00050EC1">
        <w:fldChar w:fldCharType="end"/>
      </w:r>
      <w:r w:rsidR="00050EC1">
        <w:t>)</w:t>
      </w:r>
      <w:r>
        <w:t xml:space="preserve">. As the specific coverage for these sites was known, the probabilities </w:t>
      </w:r>
      <w:r w:rsidR="00400067">
        <w:t xml:space="preserve">without Poisson-scaled coverage variation were recorded. </w:t>
      </w:r>
    </w:p>
    <w:p w14:paraId="47F28566" w14:textId="77777777" w:rsidR="00177865" w:rsidRDefault="00177865" w:rsidP="00391005">
      <w:pPr>
        <w:pStyle w:val="ListParagraph"/>
      </w:pPr>
    </w:p>
    <w:p w14:paraId="3B3637A9" w14:textId="3A0B542C" w:rsidR="00043440" w:rsidRPr="00177865" w:rsidRDefault="00043440" w:rsidP="00043440">
      <w:pPr>
        <w:pStyle w:val="Heading3"/>
      </w:pPr>
      <w:bookmarkStart w:id="357" w:name="_Ref476745697"/>
      <w:bookmarkStart w:id="358" w:name="_Toc485721627"/>
      <w:bookmarkStart w:id="359" w:name="_Toc486787207"/>
      <w:bookmarkStart w:id="360" w:name="_Toc486787355"/>
      <w:r w:rsidRPr="00177865">
        <w:lastRenderedPageBreak/>
        <w:t>Sequencing and characterisation of ALVEs</w:t>
      </w:r>
      <w:r w:rsidR="008320F3">
        <w:t xml:space="preserve"> identified</w:t>
      </w:r>
      <w:r w:rsidRPr="00177865">
        <w:t xml:space="preserve"> in</w:t>
      </w:r>
      <w:r w:rsidR="008320F3">
        <w:t xml:space="preserve"> the</w:t>
      </w:r>
      <w:r w:rsidRPr="00177865">
        <w:t xml:space="preserve"> Hy-Line </w:t>
      </w:r>
      <w:bookmarkEnd w:id="357"/>
      <w:r w:rsidR="008320F3">
        <w:t>lines</w:t>
      </w:r>
      <w:bookmarkEnd w:id="358"/>
      <w:bookmarkEnd w:id="359"/>
      <w:bookmarkEnd w:id="360"/>
    </w:p>
    <w:p w14:paraId="2A02138E" w14:textId="77777777" w:rsidR="00043440" w:rsidRPr="00177865" w:rsidRDefault="00043440" w:rsidP="00043440">
      <w:pPr>
        <w:pStyle w:val="Heading4"/>
      </w:pPr>
      <w:r w:rsidRPr="00177865">
        <w:t>Selection of samples for sequencing</w:t>
      </w:r>
    </w:p>
    <w:p w14:paraId="747B6029" w14:textId="07A081EA" w:rsidR="00D02A19" w:rsidRDefault="00D02A19" w:rsidP="00391005">
      <w:pPr>
        <w:pStyle w:val="ListParagraph"/>
      </w:pPr>
      <w:r>
        <w:t>Hy-Line provided stock DNA samples to cover at least three birds per ALVE insertion per breed. Samples were chosen based on their KASP assay results and were homozygous fo</w:t>
      </w:r>
      <w:r w:rsidR="00304C1F">
        <w:t>r the insertion where possible</w:t>
      </w:r>
      <w:r w:rsidR="0001692A">
        <w:t xml:space="preserve">. To achieve this, </w:t>
      </w:r>
      <w:r>
        <w:t>samples from an unsequ</w:t>
      </w:r>
      <w:r w:rsidR="00BF099A">
        <w:t>enced HL line (sister line to WL4</w:t>
      </w:r>
      <w:r>
        <w:t xml:space="preserve">) were used to give homozygous </w:t>
      </w:r>
      <w:r w:rsidR="00602181">
        <w:t>ALVE_ros008</w:t>
      </w:r>
      <w:r>
        <w:t xml:space="preserve"> individuals. DNA samples were diluted to a concentration of 10ng/</w:t>
      </w:r>
      <w:r>
        <w:rPr>
          <w:rFonts w:ascii="Calibri" w:hAnsi="Calibri" w:cs="Calibri"/>
        </w:rPr>
        <w:t>μ</w:t>
      </w:r>
      <w:r>
        <w:t xml:space="preserve">l. </w:t>
      </w:r>
    </w:p>
    <w:p w14:paraId="75F17F93" w14:textId="77777777" w:rsidR="00D02A19" w:rsidRPr="00177865" w:rsidRDefault="00D02A19" w:rsidP="00391005">
      <w:pPr>
        <w:pStyle w:val="ListParagraph"/>
      </w:pPr>
    </w:p>
    <w:p w14:paraId="42D46CCF" w14:textId="241D6760" w:rsidR="00043440" w:rsidRPr="00177865" w:rsidRDefault="00043440" w:rsidP="00043440">
      <w:pPr>
        <w:pStyle w:val="Heading4"/>
      </w:pPr>
      <w:r w:rsidRPr="00177865">
        <w:t>Amplificatio</w:t>
      </w:r>
      <w:r w:rsidR="00177865">
        <w:t xml:space="preserve">n of ALVE inserts by </w:t>
      </w:r>
      <w:r w:rsidRPr="00177865">
        <w:t>PCR</w:t>
      </w:r>
      <w:r w:rsidR="005F2C59">
        <w:t xml:space="preserve"> and purification of PCR product</w:t>
      </w:r>
    </w:p>
    <w:p w14:paraId="6A5F19D6" w14:textId="14BE9A57" w:rsidR="00043440" w:rsidRDefault="00177865" w:rsidP="00391005">
      <w:pPr>
        <w:pStyle w:val="ListParagraph"/>
      </w:pPr>
      <w:r>
        <w:t>The external, ‘no insert’ diagnostic PCR primers designed for this study were used to amplify the inserts for sequencing. PCRs were performed with the Takara PrimeSTAR® GXL DNA Polymerase kit</w:t>
      </w:r>
      <w:r w:rsidR="005F2C59">
        <w:t xml:space="preserve"> (R050A)</w:t>
      </w:r>
      <w:r>
        <w:t xml:space="preserve"> using the standard 30 cycle 3 step PCR protocol with 50</w:t>
      </w:r>
      <w:r>
        <w:rPr>
          <w:rFonts w:ascii="Calibri" w:hAnsi="Calibri" w:cs="Calibri"/>
        </w:rPr>
        <w:t>μ</w:t>
      </w:r>
      <w:r>
        <w:t xml:space="preserve">l reaction volumes. </w:t>
      </w:r>
      <w:r w:rsidR="005F2C59">
        <w:t>For p</w:t>
      </w:r>
      <w:r w:rsidR="0097046A">
        <w:t>rimer T</w:t>
      </w:r>
      <w:r w:rsidR="0097046A">
        <w:rPr>
          <w:vertAlign w:val="subscript"/>
        </w:rPr>
        <w:t>m</w:t>
      </w:r>
      <w:r w:rsidR="0097046A">
        <w:t xml:space="preserve"> values</w:t>
      </w:r>
      <w:r w:rsidR="005F2C59">
        <w:t xml:space="preserve"> less than 55˚C, </w:t>
      </w:r>
      <w:r>
        <w:t xml:space="preserve">the annealing PCR step was at 55˚C </w:t>
      </w:r>
      <w:r w:rsidR="005F2C59">
        <w:t>but otherwise</w:t>
      </w:r>
      <w:r>
        <w:t xml:space="preserve"> at 60˚C. The 68˚C extension step was done for 8 minutes, following the manual’s advice of extension for 1 minute per kb of expected product. </w:t>
      </w:r>
      <w:r w:rsidR="00380E93">
        <w:t>Following PCR, 10</w:t>
      </w:r>
      <w:r w:rsidR="00380E93">
        <w:rPr>
          <w:rFonts w:ascii="Calibri" w:hAnsi="Calibri" w:cs="Calibri"/>
        </w:rPr>
        <w:t>μ</w:t>
      </w:r>
      <w:r w:rsidR="00380E93">
        <w:t>l of PCR product was run on a 1</w:t>
      </w:r>
      <w:r w:rsidR="008320F3">
        <w:t xml:space="preserve"> </w:t>
      </w:r>
      <w:r w:rsidR="00380E93">
        <w:t>% agar gel with Invitrogen SYBR Safe DNA gel stain,</w:t>
      </w:r>
      <w:r w:rsidR="00380E93" w:rsidRPr="00380E93">
        <w:t xml:space="preserve"> </w:t>
      </w:r>
      <w:r w:rsidR="00380E93" w:rsidRPr="005D06BE">
        <w:t>using the Bioline Hyp</w:t>
      </w:r>
      <w:r w:rsidR="00380E93">
        <w:t>erladder I as the marker ladder, to check for approximate band sizes.</w:t>
      </w:r>
    </w:p>
    <w:p w14:paraId="72A71F8F" w14:textId="7EE13E93" w:rsidR="00380E93" w:rsidRDefault="00380E93" w:rsidP="00391005">
      <w:pPr>
        <w:pStyle w:val="ListParagraph"/>
      </w:pPr>
      <w:r>
        <w:t>For inserts with a PCR product greater than 1kb, the remaining 40</w:t>
      </w:r>
      <w:r>
        <w:rPr>
          <w:rFonts w:ascii="Calibri" w:hAnsi="Calibri" w:cs="Calibri"/>
        </w:rPr>
        <w:t>μ</w:t>
      </w:r>
      <w:r>
        <w:t>l of PCR product was run aga</w:t>
      </w:r>
      <w:r w:rsidR="005F2C59">
        <w:t>in on a 1</w:t>
      </w:r>
      <w:r w:rsidR="008320F3">
        <w:t xml:space="preserve"> </w:t>
      </w:r>
      <w:r w:rsidR="005F2C59">
        <w:t>% agarose gel with wide</w:t>
      </w:r>
      <w:r>
        <w:t xml:space="preserve"> wells. Gels were run until the end of the marker was off the gel to give good band separation, and the longest band matching the expected insert size was cut from the gel and weighed. DNA was purified from these excised bands using the Invitrogen PureLink™ Quick Gel Extraction kit</w:t>
      </w:r>
      <w:r w:rsidR="005F2C59">
        <w:t xml:space="preserve"> (K210012)</w:t>
      </w:r>
      <w:r>
        <w:t>, following the protocol for purification using a centrifuge. DNA was further purified by ethanol precipitation</w:t>
      </w:r>
      <w:r w:rsidR="005F2C59">
        <w:t>, and resuspended in 12</w:t>
      </w:r>
      <w:r w:rsidR="005F2C59">
        <w:rPr>
          <w:rFonts w:ascii="Calibri" w:hAnsi="Calibri" w:cs="Calibri"/>
        </w:rPr>
        <w:t>μ</w:t>
      </w:r>
      <w:r w:rsidR="002B5AA6">
        <w:t>l tris elution</w:t>
      </w:r>
      <w:r w:rsidR="005F2C59">
        <w:t xml:space="preserve"> buffer.</w:t>
      </w:r>
    </w:p>
    <w:p w14:paraId="001B45FB" w14:textId="79A33209" w:rsidR="00177865" w:rsidRDefault="005F2C59" w:rsidP="00391005">
      <w:pPr>
        <w:pStyle w:val="ListParagraph"/>
      </w:pPr>
      <w:r>
        <w:t>For inserts shorter than 1</w:t>
      </w:r>
      <w:r w:rsidR="008320F3">
        <w:t xml:space="preserve"> </w:t>
      </w:r>
      <w:r>
        <w:t>kb, 10</w:t>
      </w:r>
      <w:r>
        <w:rPr>
          <w:rFonts w:ascii="Calibri" w:hAnsi="Calibri" w:cs="Calibri"/>
        </w:rPr>
        <w:t>μ</w:t>
      </w:r>
      <w:r>
        <w:t xml:space="preserve">l of the remaining PCR product was cleaned to remove primers and excess dNTPs using the Exo/SAP protocol: Exonuclease I (NEB M0293L) and shrimp alkaline phosphatase (GE Healthcare E70092Y) incubated at 37˚C </w:t>
      </w:r>
      <w:r w:rsidR="0097046A">
        <w:t xml:space="preserve">with the PCR product </w:t>
      </w:r>
      <w:r>
        <w:t>for 15 minutes</w:t>
      </w:r>
      <w:r w:rsidR="00982E75">
        <w:t>,</w:t>
      </w:r>
      <w:r>
        <w:t xml:space="preserve"> then</w:t>
      </w:r>
      <w:r w:rsidR="0097046A">
        <w:t xml:space="preserve"> at</w:t>
      </w:r>
      <w:r>
        <w:t xml:space="preserve"> 80˚C for a further 15 minutes.</w:t>
      </w:r>
    </w:p>
    <w:p w14:paraId="039A4342" w14:textId="16031D1E" w:rsidR="005F2C59" w:rsidRDefault="005F2C59" w:rsidP="005F2C59">
      <w:pPr>
        <w:pStyle w:val="Heading4"/>
      </w:pPr>
      <w:r>
        <w:lastRenderedPageBreak/>
        <w:t xml:space="preserve">Cloning of inserts greater than 1kb in length and </w:t>
      </w:r>
      <w:r w:rsidR="006B31AC">
        <w:t>extraction of plasmids</w:t>
      </w:r>
    </w:p>
    <w:p w14:paraId="3991836B" w14:textId="637491A0" w:rsidR="005F2C59" w:rsidRDefault="005F2C59" w:rsidP="00391005">
      <w:pPr>
        <w:pStyle w:val="ListParagraph"/>
      </w:pPr>
      <w:r>
        <w:t xml:space="preserve">Purified insert DNA was cloned into the Invitrogen </w:t>
      </w:r>
      <w:r w:rsidR="00C55591">
        <w:t>ZeroBlunt TOPO pCR®4 Blunt-TOPO® vector (45-0031) with a 24 hour incubation. 3</w:t>
      </w:r>
      <w:r w:rsidR="00C55591">
        <w:rPr>
          <w:rFonts w:ascii="Calibri" w:hAnsi="Calibri" w:cs="Calibri"/>
        </w:rPr>
        <w:t>μ</w:t>
      </w:r>
      <w:r w:rsidR="00982E75">
        <w:t>l of cloned product was</w:t>
      </w:r>
      <w:r w:rsidR="00C55591">
        <w:t xml:space="preserve"> used to transform One Shot® Mach1™-T1</w:t>
      </w:r>
      <w:r w:rsidR="00C55591">
        <w:rPr>
          <w:vertAlign w:val="superscript"/>
        </w:rPr>
        <w:t>R</w:t>
      </w:r>
      <w:r w:rsidR="00C55591">
        <w:t xml:space="preserve"> Competent </w:t>
      </w:r>
      <w:r w:rsidR="00C55591">
        <w:rPr>
          <w:i/>
        </w:rPr>
        <w:t>E. coli</w:t>
      </w:r>
      <w:r w:rsidR="00C55591">
        <w:t xml:space="preserve"> cells</w:t>
      </w:r>
      <w:r w:rsidR="00767D90">
        <w:t xml:space="preserve">, which were grown overnight on </w:t>
      </w:r>
      <w:r w:rsidR="00C55591">
        <w:t>kanamycin s</w:t>
      </w:r>
      <w:r w:rsidR="00767D90">
        <w:t>elective plates. Positive clone colonies</w:t>
      </w:r>
      <w:r w:rsidR="00C55591">
        <w:t xml:space="preserve"> were selected and added to 100</w:t>
      </w:r>
      <w:r w:rsidR="00C55591">
        <w:rPr>
          <w:rFonts w:ascii="Calibri" w:hAnsi="Calibri" w:cs="Calibri"/>
        </w:rPr>
        <w:t>μ</w:t>
      </w:r>
      <w:r w:rsidR="00C55591">
        <w:t>l of lysogeny broth (LB) supplemented with ampicillin</w:t>
      </w:r>
      <w:r w:rsidR="00767D90">
        <w:t xml:space="preserve"> (LB-amp)</w:t>
      </w:r>
      <w:r w:rsidR="00C55591">
        <w:t xml:space="preserve">, and checked for successful transformation by PCR </w:t>
      </w:r>
      <w:r w:rsidR="0097046A">
        <w:t>using</w:t>
      </w:r>
      <w:r w:rsidR="00C55591">
        <w:t xml:space="preserve"> the protocol described above. </w:t>
      </w:r>
      <w:r w:rsidR="00767D90">
        <w:t>40</w:t>
      </w:r>
      <w:r w:rsidR="00767D90">
        <w:rPr>
          <w:rFonts w:ascii="Calibri" w:hAnsi="Calibri" w:cs="Calibri"/>
        </w:rPr>
        <w:t>μ</w:t>
      </w:r>
      <w:r w:rsidR="00767D90">
        <w:t xml:space="preserve">l of successfully transformed </w:t>
      </w:r>
      <w:r w:rsidR="00982E75">
        <w:t xml:space="preserve">LB-amp colony solution was </w:t>
      </w:r>
      <w:r w:rsidR="00767D90">
        <w:t xml:space="preserve">transferred to 3ml LB-amp and incubated in the horizontal shaker at 37˚C for 48 hours. </w:t>
      </w:r>
    </w:p>
    <w:p w14:paraId="04C0C394" w14:textId="587A9E08" w:rsidR="00767D90" w:rsidRDefault="00767D90" w:rsidP="00391005">
      <w:pPr>
        <w:pStyle w:val="ListParagraph"/>
      </w:pPr>
      <w:r>
        <w:t>Colony incubations were homogenised and 2ml of solution spun down to leave a bact</w:t>
      </w:r>
      <w:r w:rsidR="00982E75">
        <w:t>erial pellet. Plasmids were</w:t>
      </w:r>
      <w:r>
        <w:t xml:space="preserve"> extracted from the pellet using the Invitrogen PureLink™ Quick Plasmid Miniprep kit (K210011), following the protocol for purification of DNA with a ce</w:t>
      </w:r>
      <w:r w:rsidR="00982E75">
        <w:t>ntrifuge, including the additional ethanol</w:t>
      </w:r>
      <w:r>
        <w:t xml:space="preserve"> wash</w:t>
      </w:r>
      <w:r w:rsidR="006B31AC">
        <w:t xml:space="preserve"> (W10)</w:t>
      </w:r>
      <w:r>
        <w:t>.</w:t>
      </w:r>
      <w:r w:rsidR="00982E75">
        <w:t xml:space="preserve"> Purified plasmid DNA was</w:t>
      </w:r>
      <w:r w:rsidR="006B31AC">
        <w:t xml:space="preserve"> eluted </w:t>
      </w:r>
      <w:r w:rsidR="002B5AA6">
        <w:t>into ambient temperature tris</w:t>
      </w:r>
      <w:r w:rsidR="001B00F0">
        <w:t xml:space="preserve"> elution</w:t>
      </w:r>
      <w:r w:rsidR="006B31AC">
        <w:t xml:space="preserve"> buffer and the concentration measured.</w:t>
      </w:r>
    </w:p>
    <w:p w14:paraId="2D5DBD04" w14:textId="58A4E432" w:rsidR="006B31AC" w:rsidRPr="006B31AC" w:rsidRDefault="006B31AC" w:rsidP="00391005">
      <w:pPr>
        <w:pStyle w:val="ListParagraph"/>
      </w:pPr>
    </w:p>
    <w:p w14:paraId="48D33C1D" w14:textId="0F7570CE" w:rsidR="006B31AC" w:rsidRDefault="00A44C45" w:rsidP="006B31AC">
      <w:pPr>
        <w:pStyle w:val="Heading4"/>
      </w:pPr>
      <w:r>
        <w:t>ALVE sequencing</w:t>
      </w:r>
      <w:r w:rsidR="00FA6757">
        <w:t xml:space="preserve"> and characterisation</w:t>
      </w:r>
    </w:p>
    <w:p w14:paraId="2D9980C4" w14:textId="303FAFBE" w:rsidR="006B31AC" w:rsidRDefault="006B31AC" w:rsidP="00391005">
      <w:pPr>
        <w:pStyle w:val="ListParagraph"/>
      </w:pPr>
      <w:r>
        <w:t xml:space="preserve">Purified </w:t>
      </w:r>
      <w:r w:rsidR="008320F3">
        <w:t>ALVE</w:t>
      </w:r>
      <w:r>
        <w:t xml:space="preserve"> DNA was amplified for sequencing using the Applied Biosystems BigDye Terminator v3.1 Cycle Sequencing kit (4337454) following the manufacturer’s instructions. The initial primers used for each amplification were the external, ‘no insert’ primers used to produce the PCR product. These reactions were then submitted to Edinburgh Genomics</w:t>
      </w:r>
      <w:r w:rsidR="00781DC6">
        <w:t xml:space="preserve"> (University of Edinburgh, UK)</w:t>
      </w:r>
      <w:r>
        <w:t xml:space="preserve"> for Sanger sequencing. </w:t>
      </w:r>
    </w:p>
    <w:p w14:paraId="258F0708" w14:textId="51BB81B6" w:rsidR="007F7BF0" w:rsidRDefault="00781DC6" w:rsidP="00391005">
      <w:pPr>
        <w:pStyle w:val="ListParagraph"/>
      </w:pPr>
      <w:r>
        <w:t xml:space="preserve">Sequences produced for each insert in this first sequencing run were mapped to the flanking DNA for each insertion as well as to the </w:t>
      </w:r>
      <w:r w:rsidR="00C563C7">
        <w:t>ALVE</w:t>
      </w:r>
      <w:r>
        <w:t xml:space="preserve">1 reference sequence (GenBank: </w:t>
      </w:r>
      <w:r w:rsidR="00595213">
        <w:t>AY013303.1</w:t>
      </w:r>
      <w:r>
        <w:t>) using the ‘Map to Reference’ tool in Geneious v7.0</w:t>
      </w:r>
      <w:r w:rsidR="002C3DAF">
        <w:t>.4</w:t>
      </w:r>
      <w:r>
        <w:t xml:space="preserve"> </w:t>
      </w:r>
      <w:r>
        <w:fldChar w:fldCharType="begin" w:fldLock="1"/>
      </w:r>
      <w:r w:rsidR="002953C1">
        <w:instrText>ADDIN CSL_CITATION { "citationItems" : [ { "id" : "ITEM-1", "itemData" : { "author" : [ { "dropping-particle" : "", "family" : "Kearse", "given" : "M", "non-dropping-particle" : "", "parse-names" : false, "suffix" : "" }, { "dropping-particle" : "", "family" : "Moir", "given" : "R", "non-dropping-particle" : "", "parse-names" : false, "suffix" : "" }, { "dropping-particle" : "", "family" : "Wilson", "given" : "A", "non-dropping-particle" : "", "parse-names" : false, "suffix" : "" }, { "dropping-particle" : "", "family" : "Stones-Havas", "given" : "S", "non-dropping-particle" : "", "parse-names" : false, "suffix" : "" }, { "dropping-particle" : "", "family" : "Cheung", "given" : "M", "non-dropping-particle" : "", "parse-names" : false, "suffix" : "" }, { "dropping-particle" : "", "family" : "Sturrock", "given" : "S", "non-dropping-particle" : "", "parse-names" : false, "suffix" : "" }, { "dropping-particle" : "", "family" : "Buxton", "given" : "S", "non-dropping-particle" : "", "parse-names" : false, "suffix" : "" }, { "dropping-particle" : "", "family" : "Cooper", "given" : "A", "non-dropping-particle" : "", "parse-names" : false, "suffix" : "" }, { "dropping-particle" : "", "family" : "Markowitz", "given" : "S", "non-dropping-particle" : "", "parse-names" : false, "suffix" : "" }, { "dropping-particle" : "", "family" : "Duran", "given" : "C", "non-dropping-particle" : "", "parse-names" : false, "suffix" : "" }, { "dropping-particle" : "", "family" : "Thierer", "given" : "T", "non-dropping-particle" : "", "parse-names" : false, "suffix" : "" }, { "dropping-particle" : "", "family" : "Ashton", "given" : "B", "non-dropping-particle" : "", "parse-names" : false, "suffix" : "" }, { "dropping-particle" : "", "family" : "Mentjies", "given" : "P", "non-dropping-particle" : "", "parse-names" : false, "suffix" : "" }, { "dropping-particle" : "", "family" : "Drummond", "given" : "A", "non-dropping-particle" : "", "parse-names" : false, "suffix" : "" } ], "container-title" : "Bioinformatics", "id" : "ITEM-1", "issue" : "12", "issued" : { "date-parts" : [ [ "2012" ] ] }, "page" : "1647-1649", "title" : "Geneious Basic: an integrated and extendable desktop software platform for the organization and analysis of sequence data", "type" : "article-journal", "volume" : "28" }, "uris" : [ "http://www.mendeley.com/documents/?uuid=ff49d444-9bfe-44ad-a64f-4c153dde7e69" ] } ], "mendeley" : { "formattedCitation" : "(Kearse et al. 2012)", "plainTextFormattedCitation" : "(Kearse et al. 2012)", "previouslyFormattedCitation" : "(Kearse et al. 2012)" }, "properties" : { "noteIndex" : 0 }, "schema" : "https://github.com/citation-style-language/schema/raw/master/csl-citation.json" }</w:instrText>
      </w:r>
      <w:r>
        <w:fldChar w:fldCharType="separate"/>
      </w:r>
      <w:r w:rsidRPr="00781DC6">
        <w:rPr>
          <w:noProof/>
        </w:rPr>
        <w:t>(Kearse et al. 2012)</w:t>
      </w:r>
      <w:r>
        <w:fldChar w:fldCharType="end"/>
      </w:r>
      <w:r>
        <w:t>.</w:t>
      </w:r>
      <w:r w:rsidR="0097046A">
        <w:t xml:space="preserve"> For </w:t>
      </w:r>
      <w:r>
        <w:t xml:space="preserve">inserts </w:t>
      </w:r>
      <w:r w:rsidR="0097046A">
        <w:t>shorter</w:t>
      </w:r>
      <w:r>
        <w:t xml:space="preserve"> than 1kb, one sequencing run from each of the original primers was sufficient to cover the whole insertion, so a consensus sequence was generated and observed SNPs or indels were annotated. </w:t>
      </w:r>
      <w:r w:rsidR="00595213">
        <w:t xml:space="preserve">For the longer inserts, the initial sequencing runs were used to observe any insert-terminal deletions (such as loss of the </w:t>
      </w:r>
      <w:r w:rsidR="00595213">
        <w:rPr>
          <w:i/>
        </w:rPr>
        <w:t>envelope</w:t>
      </w:r>
      <w:r w:rsidR="007F7BF0">
        <w:t>-</w:t>
      </w:r>
      <w:r w:rsidR="00595213">
        <w:t xml:space="preserve">LTR section of the insert) and to check that the start of each sequencing run matched the known flanking DNA. </w:t>
      </w:r>
    </w:p>
    <w:p w14:paraId="540401C0" w14:textId="329FAE7F" w:rsidR="005927AC" w:rsidRDefault="007F7BF0" w:rsidP="00391005">
      <w:pPr>
        <w:pStyle w:val="ListParagraph"/>
      </w:pPr>
      <w:r>
        <w:lastRenderedPageBreak/>
        <w:t>Sixteen further prime</w:t>
      </w:r>
      <w:r w:rsidR="00C563C7">
        <w:t>rs were designed based on the ALVE</w:t>
      </w:r>
      <w:r>
        <w:t>1 reference sequence to amplify the interior of the ALVE inserts</w:t>
      </w:r>
      <w:r w:rsidR="00071380">
        <w:t xml:space="preserve"> with the BigDye Terminator protocol</w:t>
      </w:r>
      <w:r>
        <w:t>. Fourteen of these were evenly spaced every 500</w:t>
      </w:r>
      <w:r w:rsidR="00797FB1">
        <w:t xml:space="preserve"> </w:t>
      </w:r>
      <w:r w:rsidR="00C563C7">
        <w:t>bp along the ALVE</w:t>
      </w:r>
      <w:r>
        <w:t>1 sequence, and the other two were designed to cover each LTR in the directi</w:t>
      </w:r>
      <w:r w:rsidR="00867B55">
        <w:t>on of the genomic flanking DNA (</w:t>
      </w:r>
      <w:r w:rsidR="00867B55" w:rsidRPr="00982E75">
        <w:fldChar w:fldCharType="begin" w:fldLock="1"/>
      </w:r>
      <w:r w:rsidR="00867B55" w:rsidRPr="00982E75">
        <w:instrText xml:space="preserve"> REF _Ref478649051 \h </w:instrText>
      </w:r>
      <w:r w:rsidR="00982E75" w:rsidRPr="00982E75">
        <w:instrText xml:space="preserve"> \* MERGEFORMAT </w:instrText>
      </w:r>
      <w:r w:rsidR="00867B55" w:rsidRPr="00982E75">
        <w:fldChar w:fldCharType="separate"/>
      </w:r>
      <w:r w:rsidR="002C549C" w:rsidRPr="00982E75">
        <w:t xml:space="preserve">Figure </w:t>
      </w:r>
      <w:r w:rsidR="002C549C">
        <w:rPr>
          <w:noProof/>
        </w:rPr>
        <w:t>5</w:t>
      </w:r>
      <w:r w:rsidR="002C549C" w:rsidRPr="00982E75">
        <w:rPr>
          <w:noProof/>
        </w:rPr>
        <w:t>.</w:t>
      </w:r>
      <w:r w:rsidR="002C549C">
        <w:rPr>
          <w:noProof/>
        </w:rPr>
        <w:t>5</w:t>
      </w:r>
      <w:r w:rsidR="00867B55" w:rsidRPr="00982E75">
        <w:fldChar w:fldCharType="end"/>
      </w:r>
      <w:r>
        <w:t xml:space="preserve">). </w:t>
      </w:r>
      <w:r w:rsidR="00F172F0">
        <w:t xml:space="preserve">Each primer </w:t>
      </w:r>
      <w:r w:rsidR="00797FB1">
        <w:t>sequence was designed to be 22 bases</w:t>
      </w:r>
      <w:r w:rsidR="00F172F0">
        <w:t xml:space="preserve"> in leng</w:t>
      </w:r>
      <w:r w:rsidR="00CD4F1D">
        <w:t>th and have terminal GC clamps (</w:t>
      </w:r>
      <w:r w:rsidR="00CD4F1D" w:rsidRPr="00982E75">
        <w:fldChar w:fldCharType="begin" w:fldLock="1"/>
      </w:r>
      <w:r w:rsidR="00CD4F1D" w:rsidRPr="00982E75">
        <w:instrText xml:space="preserve"> REF _Ref478645782 \h </w:instrText>
      </w:r>
      <w:r w:rsidR="00982E75" w:rsidRPr="00982E75">
        <w:instrText xml:space="preserve"> \* MERGEFORMAT </w:instrText>
      </w:r>
      <w:r w:rsidR="00CD4F1D" w:rsidRPr="00982E75">
        <w:fldChar w:fldCharType="separate"/>
      </w:r>
      <w:r w:rsidR="002C549C" w:rsidRPr="00982E75">
        <w:t xml:space="preserve">Table </w:t>
      </w:r>
      <w:r w:rsidR="002C549C">
        <w:rPr>
          <w:noProof/>
        </w:rPr>
        <w:t>5</w:t>
      </w:r>
      <w:r w:rsidR="002C549C" w:rsidRPr="00982E75">
        <w:rPr>
          <w:noProof/>
        </w:rPr>
        <w:t>.</w:t>
      </w:r>
      <w:r w:rsidR="002C549C">
        <w:rPr>
          <w:noProof/>
        </w:rPr>
        <w:t>2</w:t>
      </w:r>
      <w:r w:rsidR="00CD4F1D" w:rsidRPr="00982E75">
        <w:fldChar w:fldCharType="end"/>
      </w:r>
      <w:r w:rsidR="00F172F0">
        <w:t>). The Benkel LTR primers were not used as these are present twice in intact elements.</w:t>
      </w:r>
      <w:r w:rsidR="00071380">
        <w:t xml:space="preserve"> In each case, following amplification with the BigDye protocol, samples were submitted to Edinburgh Genomics for Sanger sequencing.</w:t>
      </w:r>
    </w:p>
    <w:p w14:paraId="4ED319AF" w14:textId="77777777" w:rsidR="00660796" w:rsidRDefault="00660796" w:rsidP="00660796">
      <w:pPr>
        <w:pStyle w:val="ListParagraph"/>
      </w:pPr>
      <w:r>
        <w:t xml:space="preserve">All additional sequencing runs for each insert were mapped to the respective flanking DNA sequences and ALVE1 to form contiguous consensus sequence using the Geneious ‘Map to Reference’ tool. Consensus sequences were then used as BLASTn queries against the NCBI non-redundant database to check for identity with other ALVE sequences, and to identify the extent of any retroviral domain deletions. </w:t>
      </w:r>
    </w:p>
    <w:p w14:paraId="5A498DAE" w14:textId="5EA2B83D" w:rsidR="00660796" w:rsidRDefault="00660796" w:rsidP="00660796">
      <w:pPr>
        <w:pStyle w:val="ListParagraph"/>
      </w:pPr>
      <w:r>
        <w:t xml:space="preserve">LTR pairs from intact elements were aligned using MUSCLE, with default settings, to identify LTR divergence and suggest the ALVE age. All 3’ LTRs, the two solo LTRs and the 3’ LTRs from reference ALV-A (GenBank: M37980.1) and ALV-J (GenBank: JF951728.1) exogenous retroviruses were aligned using MUSCLE with default settings. The alignment was trimmed to remove the insertion hexamers and a tree constructed using RAxML with a generalised time reversible (GTR) gamma nucleotide model with 100 bootstraps. In addition, transcription factor binding sites were identified using the EMBOSS v6.6.0 tfscan tool </w:t>
      </w:r>
      <w:r>
        <w:fldChar w:fldCharType="begin" w:fldLock="1"/>
      </w:r>
      <w:r>
        <w:instrText>ADDIN CSL_CITATION { "citationItems" : [ { "id" : "ITEM-1", "itemData" : { "author" : [ { "dropping-particle" : "", "family" : "Rice", "given" : "Peter", "non-dropping-particle" : "", "parse-names" : false, "suffix" : "" }, { "dropping-particle" : "", "family" : "Longden", "given" : "I", "non-dropping-particle" : "", "parse-names" : false, "suffix" : "" }, { "dropping-particle" : "", "family" : "Bleasby", "given" : "A", "non-dropping-particle" : "", "parse-names" : false, "suffix" : "" } ], "container-title" : "Trends in genetics", "id" : "ITEM-1", "issue" : "6", "issued" : { "date-parts" : [ [ "2000" ] ] }, "page" : "276-277", "title" : "EMBOSS: the European molecular biology open software suite", "type" : "article-journal", "volume" : "16" }, "uris" : [ "http://www.mendeley.com/documents/?uuid=c554aa09-897e-42ab-adf9-6fa865ed8d08" ] } ], "mendeley" : { "formattedCitation" : "(Rice et al. 2000)", "plainTextFormattedCitation" : "(Rice et al. 2000)", "previouslyFormattedCitation" : "(Rice et al. 2000)" }, "properties" : { "noteIndex" : 0 }, "schema" : "https://github.com/citation-style-language/schema/raw/master/csl-citation.json" }</w:instrText>
      </w:r>
      <w:r>
        <w:fldChar w:fldCharType="separate"/>
      </w:r>
      <w:r w:rsidRPr="00874A02">
        <w:rPr>
          <w:noProof/>
        </w:rPr>
        <w:t>(Rice et al. 2000)</w:t>
      </w:r>
      <w:r>
        <w:fldChar w:fldCharType="end"/>
      </w:r>
      <w:r>
        <w:t xml:space="preserve">, and the sequences scanned for the miR-155 target sequence (AGCATTA) </w:t>
      </w:r>
      <w:r>
        <w:fldChar w:fldCharType="begin" w:fldLock="1"/>
      </w:r>
      <w:r>
        <w:instrText>ADDIN CSL_CITATION { "citationItems" : [ { "id" : "ITEM-1", "itemData" : { "DOI" : "10.1007/s00705-016-2833-8", "ISSN" : "03048608", "PMID" : "27016933", "abstract" : "Endogenous retroviruses (ERVs) are important retroelements that reside in host genomes. However, ERV expression patterns and regulatory mechanisms are poorly understood. In this study, chicken embryo fibroblasts (CEFs) and MSB1 cells infected with Marek's disease virus (MDV) exhibited significantly increased expression of env from the endogenous retrovirus ALVE. In contrast, env expression was significantly lower in CEF and MSB1 cells infected with exogenous avian leukosis virus J (ALVJ) at the early infection stage. Furthermore, env was found to be ubiquitously expressed in various chicken tissues, with high expression in certain tissues at 2\u00a0days of age and low levels in most tissues, including immune organs (thymus, spleen and bursa) as well as the brain and heart, at 35\u00a0days of age. Sequence analysis revealed miR-155 target sites in env transcripts, which was verified using a firefly luciferase reporter assay, and treatment with miR-155 agomir significantly decreased levels of env transcripts in MSB1 and CEF cells. Together, these findings suggest that the env gene from the endogenous retrovirus ALVE is regulated by miR-155.", "author" : [ { "dropping-particle" : "", "family" : "Hu", "given" : "Xuming", "non-dropping-particle" : "", "parse-names" : false, "suffix" : "" }, { "dropping-particle" : "", "family" : "Zhu", "given" : "Wenqi", "non-dropping-particle" : "", "parse-names" : false, "suffix" : "" }, { "dropping-particle" : "", "family" : "Chen", "given" : "Shihao", "non-dropping-particle" : "", "parse-names" : false, "suffix" : "" }, { "dropping-particle" : "", "family" : "Liu", "given" : "Yangyang", "non-dropping-particle" : "", "parse-names" : false, "suffix" : "" }, { "dropping-particle" : "", "family" : "Sun", "given" : "Zhen", "non-dropping-particle" : "", "parse-names" : false, "suffix" : "" }, { "dropping-particle" : "", "family" : "Geng", "given" : "Tuoyu", "non-dropping-particle" : "", "parse-names" : false, "suffix" : "" }, { "dropping-particle" : "", "family" : "Wang", "given" : "Xiaoyan", "non-dropping-particle" : "", "parse-names" : false, "suffix" : "" }, { "dropping-particle" : "", "family" : "Gao", "given" : "Bo", "non-dropping-particle" : "", "parse-names" : false, "suffix" : "" }, { "dropping-particle" : "", "family" : "Song", "given" : "Chengyi", "non-dropping-particle" : "", "parse-names" : false, "suffix" : "" }, { "dropping-particle" : "", "family" : "Qin", "given" : "Aijian", "non-dropping-particle" : "", "parse-names" : false, "suffix" : "" }, { "dropping-particle" : "", "family" : "Cui", "given" : "Hengmi", "non-dropping-particle" : "", "parse-names" : false, "suffix" : "" } ], "container-title" : "Archives of Virology", "id" : "ITEM-1", "issue" : "6", "issued" : { "date-parts" : [ [ "2016" ] ] }, "page" : "1623-1632", "publisher" : "Springer Vienna", "title" : "Expression of the env gene from the avian endogenous retrovirus ALVE and regulation by miR-155", "type" : "article-journal", "volume" : "161" }, "uris" : [ "http://www.mendeley.com/documents/?uuid=fecfc91f-ea2c-4900-aa16-be66ffa5f8f7" ] } ], "mendeley" : { "formattedCitation" : "(Hu, Zhu, Chen, Liu, Sun, Geng, Wang, et al. 2016)", "manualFormatting" : "(Hu et al. 2016)", "plainTextFormattedCitation" : "(Hu, Zhu, Chen, Liu, Sun, Geng, Wang, et al. 2016)", "previouslyFormattedCitation" : "(Hu, Zhu, Chen, Liu, Sun, Geng, Wang, et al. 2016)" }, "properties" : { "noteIndex" : 0 }, "schema" : "https://github.com/citation-style-language/schema/raw/master/csl-citation.json" }</w:instrText>
      </w:r>
      <w:r>
        <w:fldChar w:fldCharType="separate"/>
      </w:r>
      <w:r>
        <w:rPr>
          <w:noProof/>
        </w:rPr>
        <w:t>(Hu</w:t>
      </w:r>
      <w:r w:rsidRPr="009B2049">
        <w:rPr>
          <w:noProof/>
        </w:rPr>
        <w:t xml:space="preserve"> et al. 2016)</w:t>
      </w:r>
      <w:r>
        <w:fldChar w:fldCharType="end"/>
      </w:r>
      <w:r>
        <w:t xml:space="preserve"> using the EMBOSS fuzznuc tool.</w:t>
      </w:r>
    </w:p>
    <w:p w14:paraId="2382F279" w14:textId="77777777" w:rsidR="00660796" w:rsidRPr="00660796" w:rsidRDefault="00660796" w:rsidP="00660796">
      <w:pPr>
        <w:pStyle w:val="ListParagraph"/>
        <w:rPr>
          <w:sz w:val="2"/>
        </w:rPr>
      </w:pPr>
    </w:p>
    <w:p w14:paraId="4A22AD36" w14:textId="31D17318" w:rsidR="00652CEE" w:rsidRPr="00982E75" w:rsidRDefault="00652CEE" w:rsidP="00391005">
      <w:pPr>
        <w:pStyle w:val="ListParagraph"/>
        <w:rPr>
          <w:sz w:val="2"/>
        </w:rPr>
      </w:pPr>
    </w:p>
    <w:p w14:paraId="4B3920FB" w14:textId="5B9910EF" w:rsidR="00867B55" w:rsidRDefault="00867B55" w:rsidP="00014ACA">
      <w:pPr>
        <w:pStyle w:val="ListParagraph"/>
        <w:jc w:val="center"/>
      </w:pPr>
      <w:r>
        <w:rPr>
          <w:noProof/>
          <w:lang w:eastAsia="en-GB"/>
        </w:rPr>
        <w:drawing>
          <wp:inline distT="0" distB="0" distL="0" distR="0" wp14:anchorId="3760B2F4" wp14:editId="552A31CE">
            <wp:extent cx="5239282" cy="623499"/>
            <wp:effectExtent l="0" t="0" r="0" b="571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a:extLst>
                        <a:ext uri="{28A0092B-C50C-407E-A947-70E740481C1C}">
                          <a14:useLocalDpi xmlns:a14="http://schemas.microsoft.com/office/drawing/2010/main" val="0"/>
                        </a:ext>
                      </a:extLst>
                    </a:blip>
                    <a:srcRect l="1284" r="1519"/>
                    <a:stretch/>
                  </pic:blipFill>
                  <pic:spPr bwMode="auto">
                    <a:xfrm>
                      <a:off x="0" y="0"/>
                      <a:ext cx="5343616" cy="635915"/>
                    </a:xfrm>
                    <a:prstGeom prst="rect">
                      <a:avLst/>
                    </a:prstGeom>
                    <a:noFill/>
                    <a:ln>
                      <a:noFill/>
                    </a:ln>
                    <a:extLst>
                      <a:ext uri="{53640926-AAD7-44D8-BBD7-CCE9431645EC}">
                        <a14:shadowObscured xmlns:a14="http://schemas.microsoft.com/office/drawing/2010/main"/>
                      </a:ext>
                    </a:extLst>
                  </pic:spPr>
                </pic:pic>
              </a:graphicData>
            </a:graphic>
          </wp:inline>
        </w:drawing>
      </w:r>
    </w:p>
    <w:p w14:paraId="6814307E" w14:textId="2D0A059D" w:rsidR="00867B55" w:rsidRDefault="00867B55" w:rsidP="00867B55">
      <w:pPr>
        <w:pStyle w:val="Figure"/>
      </w:pPr>
      <w:bookmarkStart w:id="361" w:name="_Ref478649051"/>
      <w:bookmarkStart w:id="362" w:name="_Toc486785445"/>
      <w:r w:rsidRPr="00982E75">
        <w:t xml:space="preserve">Figure </w:t>
      </w:r>
      <w:fldSimple w:instr=" STYLEREF 1 \s " w:fldLock="1">
        <w:r w:rsidR="002C549C">
          <w:rPr>
            <w:noProof/>
          </w:rPr>
          <w:t>5</w:t>
        </w:r>
      </w:fldSimple>
      <w:r w:rsidR="001167C6" w:rsidRPr="00982E75">
        <w:t>.</w:t>
      </w:r>
      <w:fldSimple w:instr=" SEQ Figure \* ARABIC \s 1 " w:fldLock="1">
        <w:r w:rsidR="002C549C">
          <w:rPr>
            <w:noProof/>
          </w:rPr>
          <w:t>5</w:t>
        </w:r>
      </w:fldSimple>
      <w:bookmarkEnd w:id="361"/>
      <w:r>
        <w:t xml:space="preserve"> ALVE1 reference sequence domains and sequencing primer locations. The alternating black and grey backbone represents 500 bp stretches of the 7.5 kb element. The triangles show the sequencing primer locations and directions. The 5’-3’ order of the primers is the same as is in </w:t>
      </w:r>
      <w:r w:rsidRPr="00867B55">
        <w:fldChar w:fldCharType="begin" w:fldLock="1"/>
      </w:r>
      <w:r w:rsidRPr="00867B55">
        <w:instrText xml:space="preserve"> REF _Ref478645782 \h  \* MERGEFORMAT </w:instrText>
      </w:r>
      <w:r w:rsidRPr="00867B55">
        <w:fldChar w:fldCharType="separate"/>
      </w:r>
      <w:r w:rsidR="002C549C" w:rsidRPr="00982E75">
        <w:t xml:space="preserve">Table </w:t>
      </w:r>
      <w:r w:rsidR="002C549C">
        <w:rPr>
          <w:noProof/>
        </w:rPr>
        <w:t>5</w:t>
      </w:r>
      <w:r w:rsidR="002C549C" w:rsidRPr="00982E75">
        <w:rPr>
          <w:noProof/>
        </w:rPr>
        <w:t>.</w:t>
      </w:r>
      <w:r w:rsidR="002C549C">
        <w:rPr>
          <w:noProof/>
        </w:rPr>
        <w:t>2</w:t>
      </w:r>
      <w:r w:rsidRPr="00867B55">
        <w:fldChar w:fldCharType="end"/>
      </w:r>
      <w:r>
        <w:t xml:space="preserve"> below. </w:t>
      </w:r>
      <w:r w:rsidR="00D20418">
        <w:t>Domains: matrix (p19 and p10), capsid (p27), nucleocapsid (p12), protease (PRO), reverse transcriptase (RT), integrase (INT), surface (gp85), and transmembrane (gp37).</w:t>
      </w:r>
      <w:bookmarkEnd w:id="362"/>
      <w:r w:rsidR="00D20418">
        <w:t xml:space="preserve"> </w:t>
      </w:r>
    </w:p>
    <w:p w14:paraId="1377066D" w14:textId="5E3EFF18" w:rsidR="00652CEE" w:rsidRDefault="00652CEE" w:rsidP="00652CEE">
      <w:pPr>
        <w:pStyle w:val="Caption"/>
      </w:pPr>
      <w:bookmarkStart w:id="363" w:name="_Ref478645782"/>
      <w:bookmarkStart w:id="364" w:name="_Toc486786321"/>
      <w:r w:rsidRPr="00982E75">
        <w:lastRenderedPageBreak/>
        <w:t xml:space="preserve">Table </w:t>
      </w:r>
      <w:fldSimple w:instr=" STYLEREF 1 \s " w:fldLock="1">
        <w:r w:rsidR="002C549C">
          <w:rPr>
            <w:noProof/>
          </w:rPr>
          <w:t>5</w:t>
        </w:r>
      </w:fldSimple>
      <w:r w:rsidR="001167C6" w:rsidRPr="00982E75">
        <w:t>.</w:t>
      </w:r>
      <w:fldSimple w:instr=" SEQ Table \* ARABIC \s 1 " w:fldLock="1">
        <w:r w:rsidR="002C549C">
          <w:rPr>
            <w:noProof/>
          </w:rPr>
          <w:t>2</w:t>
        </w:r>
      </w:fldSimple>
      <w:bookmarkEnd w:id="363"/>
      <w:r>
        <w:t xml:space="preserve"> </w:t>
      </w:r>
      <w:r w:rsidR="00CD4F1D">
        <w:t>Generic ALVE sequencing primers. Positional information based on the alignment against</w:t>
      </w:r>
      <w:r w:rsidR="00867B55">
        <w:t xml:space="preserve"> the ALVE1 reference sequence.</w:t>
      </w:r>
      <w:bookmarkEnd w:id="364"/>
    </w:p>
    <w:tbl>
      <w:tblPr>
        <w:tblStyle w:val="TableGrid"/>
        <w:tblW w:w="66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3402"/>
        <w:gridCol w:w="1701"/>
      </w:tblGrid>
      <w:tr w:rsidR="00652CEE" w14:paraId="489A2555" w14:textId="77777777" w:rsidTr="00652CEE">
        <w:trPr>
          <w:trHeight w:val="515"/>
          <w:jc w:val="center"/>
        </w:trPr>
        <w:tc>
          <w:tcPr>
            <w:tcW w:w="1560" w:type="dxa"/>
            <w:tcBorders>
              <w:top w:val="single" w:sz="4" w:space="0" w:color="auto"/>
              <w:bottom w:val="single" w:sz="4" w:space="0" w:color="auto"/>
            </w:tcBorders>
            <w:vAlign w:val="center"/>
          </w:tcPr>
          <w:p w14:paraId="47387B7F" w14:textId="5E141626" w:rsidR="00652CEE" w:rsidRDefault="00652CEE" w:rsidP="00652CEE">
            <w:pPr>
              <w:pStyle w:val="Tablecontent"/>
            </w:pPr>
            <w:r>
              <w:t>Name</w:t>
            </w:r>
          </w:p>
        </w:tc>
        <w:tc>
          <w:tcPr>
            <w:tcW w:w="3402" w:type="dxa"/>
            <w:tcBorders>
              <w:top w:val="single" w:sz="4" w:space="0" w:color="auto"/>
              <w:bottom w:val="single" w:sz="4" w:space="0" w:color="auto"/>
            </w:tcBorders>
            <w:vAlign w:val="center"/>
          </w:tcPr>
          <w:p w14:paraId="5CE68CDA" w14:textId="395C1117" w:rsidR="00652CEE" w:rsidRDefault="00652CEE" w:rsidP="00652CEE">
            <w:pPr>
              <w:pStyle w:val="Tablecontent"/>
            </w:pPr>
            <w:r>
              <w:t>Sequence</w:t>
            </w:r>
          </w:p>
        </w:tc>
        <w:tc>
          <w:tcPr>
            <w:tcW w:w="1701" w:type="dxa"/>
            <w:tcBorders>
              <w:top w:val="single" w:sz="4" w:space="0" w:color="auto"/>
              <w:bottom w:val="single" w:sz="4" w:space="0" w:color="auto"/>
            </w:tcBorders>
            <w:vAlign w:val="center"/>
          </w:tcPr>
          <w:p w14:paraId="13B67F9C" w14:textId="6908ECFC" w:rsidR="00652CEE" w:rsidRDefault="00CD4F1D" w:rsidP="00CD4F1D">
            <w:pPr>
              <w:pStyle w:val="Tablecontent"/>
            </w:pPr>
            <w:r>
              <w:t>Primer location</w:t>
            </w:r>
          </w:p>
        </w:tc>
      </w:tr>
      <w:tr w:rsidR="00652CEE" w14:paraId="565382C5" w14:textId="77777777" w:rsidTr="00652CEE">
        <w:trPr>
          <w:jc w:val="center"/>
        </w:trPr>
        <w:tc>
          <w:tcPr>
            <w:tcW w:w="1560" w:type="dxa"/>
            <w:tcBorders>
              <w:top w:val="single" w:sz="4" w:space="0" w:color="auto"/>
            </w:tcBorders>
          </w:tcPr>
          <w:p w14:paraId="5C96FB81" w14:textId="74A757ED" w:rsidR="00652CEE" w:rsidRDefault="00652CEE" w:rsidP="00652CEE">
            <w:pPr>
              <w:pStyle w:val="Tablecontent"/>
            </w:pPr>
            <w:r w:rsidRPr="00647BFD">
              <w:t>ALV_5LTRrc</w:t>
            </w:r>
          </w:p>
        </w:tc>
        <w:tc>
          <w:tcPr>
            <w:tcW w:w="3402" w:type="dxa"/>
            <w:tcBorders>
              <w:top w:val="single" w:sz="4" w:space="0" w:color="auto"/>
            </w:tcBorders>
          </w:tcPr>
          <w:p w14:paraId="273B6499" w14:textId="3B2AFBEE" w:rsidR="00652CEE" w:rsidRDefault="00652CEE" w:rsidP="00652CEE">
            <w:pPr>
              <w:pStyle w:val="Tablecontent"/>
            </w:pPr>
            <w:r w:rsidRPr="00647BFD">
              <w:t>5'-ACCACTATTCCCTAACGATCAC</w:t>
            </w:r>
          </w:p>
        </w:tc>
        <w:tc>
          <w:tcPr>
            <w:tcW w:w="1701" w:type="dxa"/>
            <w:tcBorders>
              <w:top w:val="single" w:sz="4" w:space="0" w:color="auto"/>
            </w:tcBorders>
          </w:tcPr>
          <w:p w14:paraId="2C8F082A" w14:textId="6CA96ECA" w:rsidR="00652CEE" w:rsidRDefault="00652CEE" w:rsidP="00652CEE">
            <w:pPr>
              <w:pStyle w:val="Tablecontent"/>
            </w:pPr>
            <w:r>
              <w:t xml:space="preserve">   </w:t>
            </w:r>
            <w:r w:rsidRPr="00647BFD">
              <w:t>290</w:t>
            </w:r>
            <w:r>
              <w:t xml:space="preserve"> – 311 </w:t>
            </w:r>
          </w:p>
        </w:tc>
      </w:tr>
      <w:tr w:rsidR="00652CEE" w14:paraId="52672807" w14:textId="77777777" w:rsidTr="00652CEE">
        <w:trPr>
          <w:jc w:val="center"/>
        </w:trPr>
        <w:tc>
          <w:tcPr>
            <w:tcW w:w="1560" w:type="dxa"/>
          </w:tcPr>
          <w:p w14:paraId="5CCCA099" w14:textId="2232D833" w:rsidR="00652CEE" w:rsidRDefault="00652CEE" w:rsidP="00652CEE">
            <w:pPr>
              <w:pStyle w:val="Tablecontent"/>
            </w:pPr>
            <w:r w:rsidRPr="00647BFD">
              <w:t>ALV_500</w:t>
            </w:r>
          </w:p>
        </w:tc>
        <w:tc>
          <w:tcPr>
            <w:tcW w:w="3402" w:type="dxa"/>
          </w:tcPr>
          <w:p w14:paraId="3139F00A" w14:textId="027A0150" w:rsidR="00652CEE" w:rsidRPr="00A062CC" w:rsidRDefault="00652CEE" w:rsidP="00652CEE">
            <w:pPr>
              <w:pStyle w:val="Tablecontent"/>
            </w:pPr>
            <w:r w:rsidRPr="00647BFD">
              <w:t>5'-CGACGACTGAGCAGTCCACCCC</w:t>
            </w:r>
          </w:p>
        </w:tc>
        <w:tc>
          <w:tcPr>
            <w:tcW w:w="1701" w:type="dxa"/>
          </w:tcPr>
          <w:p w14:paraId="16BA7D09" w14:textId="789CAE3C" w:rsidR="00652CEE" w:rsidRPr="00A062CC" w:rsidRDefault="00652CEE" w:rsidP="00652CEE">
            <w:pPr>
              <w:pStyle w:val="Tablecontent"/>
            </w:pPr>
            <w:r>
              <w:t xml:space="preserve">   </w:t>
            </w:r>
            <w:r w:rsidRPr="00647BFD">
              <w:t>500</w:t>
            </w:r>
            <w:r>
              <w:t xml:space="preserve"> – 521 </w:t>
            </w:r>
          </w:p>
        </w:tc>
      </w:tr>
      <w:tr w:rsidR="00652CEE" w14:paraId="38FFAA19" w14:textId="77777777" w:rsidTr="00652CEE">
        <w:trPr>
          <w:jc w:val="center"/>
        </w:trPr>
        <w:tc>
          <w:tcPr>
            <w:tcW w:w="1560" w:type="dxa"/>
          </w:tcPr>
          <w:p w14:paraId="5A77714E" w14:textId="082F515E" w:rsidR="00652CEE" w:rsidRDefault="00652CEE" w:rsidP="00652CEE">
            <w:pPr>
              <w:pStyle w:val="Tablecontent"/>
            </w:pPr>
            <w:r w:rsidRPr="00647BFD">
              <w:t>ALV_1000</w:t>
            </w:r>
          </w:p>
        </w:tc>
        <w:tc>
          <w:tcPr>
            <w:tcW w:w="3402" w:type="dxa"/>
          </w:tcPr>
          <w:p w14:paraId="3342923B" w14:textId="3730DABD" w:rsidR="00652CEE" w:rsidRPr="00A062CC" w:rsidRDefault="00652CEE" w:rsidP="00652CEE">
            <w:pPr>
              <w:pStyle w:val="Tablecontent"/>
            </w:pPr>
            <w:r w:rsidRPr="00647BFD">
              <w:t>5'-CGTTGGCACATCCTGCTATCAG</w:t>
            </w:r>
          </w:p>
        </w:tc>
        <w:tc>
          <w:tcPr>
            <w:tcW w:w="1701" w:type="dxa"/>
          </w:tcPr>
          <w:p w14:paraId="1BF0B38F" w14:textId="588AB7BC" w:rsidR="00652CEE" w:rsidRPr="00A062CC" w:rsidRDefault="00652CEE" w:rsidP="00652CEE">
            <w:pPr>
              <w:pStyle w:val="Tablecontent"/>
            </w:pPr>
            <w:r w:rsidRPr="00647BFD">
              <w:t>1</w:t>
            </w:r>
            <w:r>
              <w:t>,</w:t>
            </w:r>
            <w:r w:rsidRPr="00647BFD">
              <w:t>000</w:t>
            </w:r>
            <w:r>
              <w:t xml:space="preserve"> – </w:t>
            </w:r>
            <w:r w:rsidRPr="00647BFD">
              <w:t>1</w:t>
            </w:r>
            <w:r>
              <w:t>,</w:t>
            </w:r>
            <w:r w:rsidRPr="00647BFD">
              <w:t>021</w:t>
            </w:r>
          </w:p>
        </w:tc>
      </w:tr>
      <w:tr w:rsidR="00652CEE" w14:paraId="216D3FCF" w14:textId="77777777" w:rsidTr="00652CEE">
        <w:trPr>
          <w:jc w:val="center"/>
        </w:trPr>
        <w:tc>
          <w:tcPr>
            <w:tcW w:w="1560" w:type="dxa"/>
          </w:tcPr>
          <w:p w14:paraId="432D4F3B" w14:textId="1314CA64" w:rsidR="00652CEE" w:rsidRDefault="00652CEE" w:rsidP="00652CEE">
            <w:pPr>
              <w:pStyle w:val="Tablecontent"/>
            </w:pPr>
            <w:r w:rsidRPr="00647BFD">
              <w:t>ALV_1500</w:t>
            </w:r>
          </w:p>
        </w:tc>
        <w:tc>
          <w:tcPr>
            <w:tcW w:w="3402" w:type="dxa"/>
          </w:tcPr>
          <w:p w14:paraId="3C457595" w14:textId="196F8B9B" w:rsidR="00652CEE" w:rsidRPr="00A062CC" w:rsidRDefault="00652CEE" w:rsidP="00652CEE">
            <w:pPr>
              <w:pStyle w:val="Tablecontent"/>
            </w:pPr>
            <w:r w:rsidRPr="00647BFD">
              <w:t>5'-TACAGACGGTTATAGCGGCAGC</w:t>
            </w:r>
          </w:p>
        </w:tc>
        <w:tc>
          <w:tcPr>
            <w:tcW w:w="1701" w:type="dxa"/>
          </w:tcPr>
          <w:p w14:paraId="4FBCA53A" w14:textId="01676A47" w:rsidR="00652CEE" w:rsidRPr="00A062CC" w:rsidRDefault="00652CEE" w:rsidP="00652CEE">
            <w:pPr>
              <w:pStyle w:val="Tablecontent"/>
            </w:pPr>
            <w:r w:rsidRPr="00647BFD">
              <w:t>1</w:t>
            </w:r>
            <w:r>
              <w:t>,</w:t>
            </w:r>
            <w:r w:rsidRPr="00647BFD">
              <w:t>500</w:t>
            </w:r>
            <w:r>
              <w:t xml:space="preserve"> – </w:t>
            </w:r>
            <w:r w:rsidRPr="00647BFD">
              <w:t>1</w:t>
            </w:r>
            <w:r>
              <w:t>,</w:t>
            </w:r>
            <w:r w:rsidRPr="00647BFD">
              <w:t>521</w:t>
            </w:r>
          </w:p>
        </w:tc>
      </w:tr>
      <w:tr w:rsidR="00652CEE" w14:paraId="22B9A9A4" w14:textId="77777777" w:rsidTr="00652CEE">
        <w:trPr>
          <w:jc w:val="center"/>
        </w:trPr>
        <w:tc>
          <w:tcPr>
            <w:tcW w:w="1560" w:type="dxa"/>
          </w:tcPr>
          <w:p w14:paraId="7735AC15" w14:textId="76BA3BE9" w:rsidR="00652CEE" w:rsidRDefault="00652CEE" w:rsidP="00652CEE">
            <w:pPr>
              <w:pStyle w:val="Tablecontent"/>
            </w:pPr>
            <w:r w:rsidRPr="00647BFD">
              <w:t>ALV_2000</w:t>
            </w:r>
          </w:p>
        </w:tc>
        <w:tc>
          <w:tcPr>
            <w:tcW w:w="3402" w:type="dxa"/>
          </w:tcPr>
          <w:p w14:paraId="61179132" w14:textId="524F74A1" w:rsidR="00652CEE" w:rsidRPr="00A062CC" w:rsidRDefault="00652CEE" w:rsidP="00652CEE">
            <w:pPr>
              <w:pStyle w:val="Tablecontent"/>
            </w:pPr>
            <w:r w:rsidRPr="00647BFD">
              <w:t>5'-ATCCAGCCCTTAGTTATGGCAG</w:t>
            </w:r>
          </w:p>
        </w:tc>
        <w:tc>
          <w:tcPr>
            <w:tcW w:w="1701" w:type="dxa"/>
          </w:tcPr>
          <w:p w14:paraId="602A16D6" w14:textId="4982811C" w:rsidR="00652CEE" w:rsidRPr="00A062CC" w:rsidRDefault="00652CEE" w:rsidP="00652CEE">
            <w:pPr>
              <w:pStyle w:val="Tablecontent"/>
            </w:pPr>
            <w:r w:rsidRPr="00647BFD">
              <w:t>2</w:t>
            </w:r>
            <w:r>
              <w:t>,</w:t>
            </w:r>
            <w:r w:rsidRPr="00647BFD">
              <w:t>000</w:t>
            </w:r>
            <w:r>
              <w:t xml:space="preserve"> – </w:t>
            </w:r>
            <w:r w:rsidRPr="00647BFD">
              <w:t>2</w:t>
            </w:r>
            <w:r>
              <w:t>,</w:t>
            </w:r>
            <w:r w:rsidRPr="00647BFD">
              <w:t>021</w:t>
            </w:r>
          </w:p>
        </w:tc>
      </w:tr>
      <w:tr w:rsidR="00652CEE" w14:paraId="2700A930" w14:textId="77777777" w:rsidTr="00652CEE">
        <w:trPr>
          <w:jc w:val="center"/>
        </w:trPr>
        <w:tc>
          <w:tcPr>
            <w:tcW w:w="1560" w:type="dxa"/>
          </w:tcPr>
          <w:p w14:paraId="47ADACE1" w14:textId="3B780AD1" w:rsidR="00652CEE" w:rsidRDefault="00652CEE" w:rsidP="00652CEE">
            <w:pPr>
              <w:pStyle w:val="Tablecontent"/>
            </w:pPr>
            <w:r w:rsidRPr="00647BFD">
              <w:t>ALV_2500</w:t>
            </w:r>
          </w:p>
        </w:tc>
        <w:tc>
          <w:tcPr>
            <w:tcW w:w="3402" w:type="dxa"/>
          </w:tcPr>
          <w:p w14:paraId="6CCE0555" w14:textId="5089FABE" w:rsidR="00652CEE" w:rsidRPr="00A062CC" w:rsidRDefault="00652CEE" w:rsidP="00652CEE">
            <w:pPr>
              <w:pStyle w:val="Tablecontent"/>
            </w:pPr>
            <w:r w:rsidRPr="00647BFD">
              <w:t>5'-CATGCGAAAATCCCGGGATATG</w:t>
            </w:r>
          </w:p>
        </w:tc>
        <w:tc>
          <w:tcPr>
            <w:tcW w:w="1701" w:type="dxa"/>
          </w:tcPr>
          <w:p w14:paraId="36AF86AA" w14:textId="3A49B737" w:rsidR="00652CEE" w:rsidRPr="00A062CC" w:rsidRDefault="00652CEE" w:rsidP="00652CEE">
            <w:pPr>
              <w:pStyle w:val="Tablecontent"/>
            </w:pPr>
            <w:r w:rsidRPr="00647BFD">
              <w:t>2</w:t>
            </w:r>
            <w:r>
              <w:t>,</w:t>
            </w:r>
            <w:r w:rsidRPr="00647BFD">
              <w:t>500</w:t>
            </w:r>
            <w:r>
              <w:t xml:space="preserve"> – </w:t>
            </w:r>
            <w:r w:rsidRPr="00647BFD">
              <w:t>2</w:t>
            </w:r>
            <w:r>
              <w:t>,</w:t>
            </w:r>
            <w:r w:rsidRPr="00647BFD">
              <w:t>521</w:t>
            </w:r>
          </w:p>
        </w:tc>
      </w:tr>
      <w:tr w:rsidR="00652CEE" w14:paraId="639F70BD" w14:textId="77777777" w:rsidTr="00652CEE">
        <w:trPr>
          <w:jc w:val="center"/>
        </w:trPr>
        <w:tc>
          <w:tcPr>
            <w:tcW w:w="1560" w:type="dxa"/>
          </w:tcPr>
          <w:p w14:paraId="5F6765EF" w14:textId="1831F784" w:rsidR="00652CEE" w:rsidRDefault="00652CEE" w:rsidP="00652CEE">
            <w:pPr>
              <w:pStyle w:val="Tablecontent"/>
            </w:pPr>
            <w:r w:rsidRPr="00647BFD">
              <w:t>ALV_3000</w:t>
            </w:r>
          </w:p>
        </w:tc>
        <w:tc>
          <w:tcPr>
            <w:tcW w:w="3402" w:type="dxa"/>
          </w:tcPr>
          <w:p w14:paraId="1CBE7750" w14:textId="7329927C" w:rsidR="00652CEE" w:rsidRPr="00A062CC" w:rsidRDefault="00652CEE" w:rsidP="00652CEE">
            <w:pPr>
              <w:pStyle w:val="Tablecontent"/>
            </w:pPr>
            <w:r w:rsidRPr="00647BFD">
              <w:t>5'-CAAGGATTGCTTCTTTTCTATTC</w:t>
            </w:r>
          </w:p>
        </w:tc>
        <w:tc>
          <w:tcPr>
            <w:tcW w:w="1701" w:type="dxa"/>
          </w:tcPr>
          <w:p w14:paraId="51F40AB5" w14:textId="0856145D" w:rsidR="00652CEE" w:rsidRPr="00A062CC" w:rsidRDefault="00652CEE" w:rsidP="00652CEE">
            <w:pPr>
              <w:pStyle w:val="Tablecontent"/>
            </w:pPr>
            <w:r w:rsidRPr="00647BFD">
              <w:t>3</w:t>
            </w:r>
            <w:r>
              <w:t>,</w:t>
            </w:r>
            <w:r w:rsidRPr="00647BFD">
              <w:t>000</w:t>
            </w:r>
            <w:r>
              <w:t xml:space="preserve"> – </w:t>
            </w:r>
            <w:r w:rsidRPr="00647BFD">
              <w:t>3</w:t>
            </w:r>
            <w:r>
              <w:t>,</w:t>
            </w:r>
            <w:r w:rsidRPr="00647BFD">
              <w:t>021</w:t>
            </w:r>
          </w:p>
        </w:tc>
      </w:tr>
      <w:tr w:rsidR="00652CEE" w14:paraId="1F617FA1" w14:textId="77777777" w:rsidTr="00652CEE">
        <w:trPr>
          <w:jc w:val="center"/>
        </w:trPr>
        <w:tc>
          <w:tcPr>
            <w:tcW w:w="1560" w:type="dxa"/>
          </w:tcPr>
          <w:p w14:paraId="76B4F9A5" w14:textId="733C46CC" w:rsidR="00652CEE" w:rsidRDefault="00652CEE" w:rsidP="00652CEE">
            <w:pPr>
              <w:pStyle w:val="Tablecontent"/>
            </w:pPr>
            <w:r w:rsidRPr="00647BFD">
              <w:t>ALV_3500</w:t>
            </w:r>
          </w:p>
        </w:tc>
        <w:tc>
          <w:tcPr>
            <w:tcW w:w="3402" w:type="dxa"/>
          </w:tcPr>
          <w:p w14:paraId="17DA19DE" w14:textId="2346C982" w:rsidR="00652CEE" w:rsidRPr="00A062CC" w:rsidRDefault="00652CEE" w:rsidP="00652CEE">
            <w:pPr>
              <w:pStyle w:val="Tablecontent"/>
            </w:pPr>
            <w:r w:rsidRPr="00647BFD">
              <w:t>5'-CCTTTTATGAGCAGTTACGAGG</w:t>
            </w:r>
          </w:p>
        </w:tc>
        <w:tc>
          <w:tcPr>
            <w:tcW w:w="1701" w:type="dxa"/>
          </w:tcPr>
          <w:p w14:paraId="251F14EB" w14:textId="63024539" w:rsidR="00652CEE" w:rsidRPr="00A062CC" w:rsidRDefault="00652CEE" w:rsidP="00652CEE">
            <w:pPr>
              <w:pStyle w:val="Tablecontent"/>
            </w:pPr>
            <w:r w:rsidRPr="00647BFD">
              <w:t>3</w:t>
            </w:r>
            <w:r>
              <w:t>,</w:t>
            </w:r>
            <w:r w:rsidRPr="00647BFD">
              <w:t>500</w:t>
            </w:r>
            <w:r>
              <w:t xml:space="preserve"> – </w:t>
            </w:r>
            <w:r w:rsidRPr="00647BFD">
              <w:t>3</w:t>
            </w:r>
            <w:r>
              <w:t>,</w:t>
            </w:r>
            <w:r w:rsidRPr="00647BFD">
              <w:t>521</w:t>
            </w:r>
          </w:p>
        </w:tc>
      </w:tr>
      <w:tr w:rsidR="00652CEE" w14:paraId="172DCB14" w14:textId="77777777" w:rsidTr="00652CEE">
        <w:trPr>
          <w:jc w:val="center"/>
        </w:trPr>
        <w:tc>
          <w:tcPr>
            <w:tcW w:w="1560" w:type="dxa"/>
          </w:tcPr>
          <w:p w14:paraId="7A6A124F" w14:textId="539AC54E" w:rsidR="00652CEE" w:rsidRDefault="00652CEE" w:rsidP="00652CEE">
            <w:pPr>
              <w:pStyle w:val="Tablecontent"/>
            </w:pPr>
            <w:r w:rsidRPr="00647BFD">
              <w:t>ALV_4000rc</w:t>
            </w:r>
          </w:p>
        </w:tc>
        <w:tc>
          <w:tcPr>
            <w:tcW w:w="3402" w:type="dxa"/>
          </w:tcPr>
          <w:p w14:paraId="524D6433" w14:textId="7A416116" w:rsidR="00652CEE" w:rsidRPr="00A062CC" w:rsidRDefault="00652CEE" w:rsidP="00652CEE">
            <w:pPr>
              <w:pStyle w:val="Tablecontent"/>
            </w:pPr>
            <w:r w:rsidRPr="00647BFD">
              <w:t>5'-CAGGGTGGTCGGTAACCCTCAC</w:t>
            </w:r>
          </w:p>
        </w:tc>
        <w:tc>
          <w:tcPr>
            <w:tcW w:w="1701" w:type="dxa"/>
          </w:tcPr>
          <w:p w14:paraId="7E09C9F9" w14:textId="65F67516" w:rsidR="00652CEE" w:rsidRPr="00A062CC" w:rsidRDefault="00652CEE" w:rsidP="00652CEE">
            <w:pPr>
              <w:pStyle w:val="Tablecontent"/>
            </w:pPr>
            <w:r w:rsidRPr="00647BFD">
              <w:t>3</w:t>
            </w:r>
            <w:r>
              <w:t>,</w:t>
            </w:r>
            <w:r w:rsidRPr="00647BFD">
              <w:t>979</w:t>
            </w:r>
            <w:r>
              <w:t xml:space="preserve"> – </w:t>
            </w:r>
            <w:r w:rsidRPr="00647BFD">
              <w:t>4</w:t>
            </w:r>
            <w:r>
              <w:t>,</w:t>
            </w:r>
            <w:r w:rsidRPr="00647BFD">
              <w:t>000</w:t>
            </w:r>
          </w:p>
        </w:tc>
      </w:tr>
      <w:tr w:rsidR="00652CEE" w14:paraId="2F9A4F9E" w14:textId="77777777" w:rsidTr="00652CEE">
        <w:trPr>
          <w:jc w:val="center"/>
        </w:trPr>
        <w:tc>
          <w:tcPr>
            <w:tcW w:w="1560" w:type="dxa"/>
          </w:tcPr>
          <w:p w14:paraId="52D47077" w14:textId="01CB059D" w:rsidR="00652CEE" w:rsidRDefault="00652CEE" w:rsidP="00652CEE">
            <w:pPr>
              <w:pStyle w:val="Tablecontent"/>
            </w:pPr>
            <w:r w:rsidRPr="00647BFD">
              <w:t>ALV_4500rc</w:t>
            </w:r>
          </w:p>
        </w:tc>
        <w:tc>
          <w:tcPr>
            <w:tcW w:w="3402" w:type="dxa"/>
          </w:tcPr>
          <w:p w14:paraId="3AEB79E5" w14:textId="5BA4AD4B" w:rsidR="00652CEE" w:rsidRPr="00A062CC" w:rsidRDefault="00652CEE" w:rsidP="00652CEE">
            <w:pPr>
              <w:pStyle w:val="Tablecontent"/>
            </w:pPr>
            <w:r w:rsidRPr="00647BFD">
              <w:t>5'-GGTCTGAACAACCTCCCTAGCC</w:t>
            </w:r>
          </w:p>
        </w:tc>
        <w:tc>
          <w:tcPr>
            <w:tcW w:w="1701" w:type="dxa"/>
          </w:tcPr>
          <w:p w14:paraId="76B018E9" w14:textId="1CA81344" w:rsidR="00652CEE" w:rsidRPr="00A062CC" w:rsidRDefault="00652CEE" w:rsidP="00652CEE">
            <w:pPr>
              <w:pStyle w:val="Tablecontent"/>
            </w:pPr>
            <w:r w:rsidRPr="00647BFD">
              <w:t>4</w:t>
            </w:r>
            <w:r>
              <w:t>,</w:t>
            </w:r>
            <w:r w:rsidRPr="00647BFD">
              <w:t>479</w:t>
            </w:r>
            <w:r>
              <w:t xml:space="preserve"> – </w:t>
            </w:r>
            <w:r w:rsidRPr="00647BFD">
              <w:t>4</w:t>
            </w:r>
            <w:r>
              <w:t>,</w:t>
            </w:r>
            <w:r w:rsidRPr="00647BFD">
              <w:t>500</w:t>
            </w:r>
          </w:p>
        </w:tc>
      </w:tr>
      <w:tr w:rsidR="00652CEE" w14:paraId="7DD8A40B" w14:textId="77777777" w:rsidTr="00652CEE">
        <w:trPr>
          <w:jc w:val="center"/>
        </w:trPr>
        <w:tc>
          <w:tcPr>
            <w:tcW w:w="1560" w:type="dxa"/>
          </w:tcPr>
          <w:p w14:paraId="284F2F8D" w14:textId="321391F6" w:rsidR="00652CEE" w:rsidRDefault="00652CEE" w:rsidP="00652CEE">
            <w:pPr>
              <w:pStyle w:val="Tablecontent"/>
            </w:pPr>
            <w:r w:rsidRPr="00647BFD">
              <w:t>ALV_5000rc</w:t>
            </w:r>
          </w:p>
        </w:tc>
        <w:tc>
          <w:tcPr>
            <w:tcW w:w="3402" w:type="dxa"/>
          </w:tcPr>
          <w:p w14:paraId="00DFEF7F" w14:textId="33D36016" w:rsidR="00652CEE" w:rsidRDefault="00652CEE" w:rsidP="00652CEE">
            <w:pPr>
              <w:pStyle w:val="Tablecontent"/>
            </w:pPr>
            <w:r w:rsidRPr="00647BFD">
              <w:t>5'-TCACCACGCTCAAAGTGATTGAG</w:t>
            </w:r>
          </w:p>
        </w:tc>
        <w:tc>
          <w:tcPr>
            <w:tcW w:w="1701" w:type="dxa"/>
          </w:tcPr>
          <w:p w14:paraId="29F38240" w14:textId="1C564C84" w:rsidR="00652CEE" w:rsidRDefault="00652CEE" w:rsidP="00652CEE">
            <w:pPr>
              <w:pStyle w:val="Tablecontent"/>
            </w:pPr>
            <w:r w:rsidRPr="00647BFD">
              <w:t>4</w:t>
            </w:r>
            <w:r>
              <w:t>,</w:t>
            </w:r>
            <w:r w:rsidRPr="00647BFD">
              <w:t>978</w:t>
            </w:r>
            <w:r>
              <w:t xml:space="preserve"> – </w:t>
            </w:r>
            <w:r w:rsidRPr="00647BFD">
              <w:t>5</w:t>
            </w:r>
            <w:r>
              <w:t>,</w:t>
            </w:r>
            <w:r w:rsidRPr="00647BFD">
              <w:t>000</w:t>
            </w:r>
          </w:p>
        </w:tc>
      </w:tr>
      <w:tr w:rsidR="00652CEE" w14:paraId="6A8CEF39" w14:textId="77777777" w:rsidTr="00652CEE">
        <w:trPr>
          <w:jc w:val="center"/>
        </w:trPr>
        <w:tc>
          <w:tcPr>
            <w:tcW w:w="1560" w:type="dxa"/>
          </w:tcPr>
          <w:p w14:paraId="307E691B" w14:textId="33339B80" w:rsidR="00652CEE" w:rsidRDefault="00652CEE" w:rsidP="00652CEE">
            <w:pPr>
              <w:pStyle w:val="Tablecontent"/>
            </w:pPr>
            <w:r w:rsidRPr="00647BFD">
              <w:t>ALV_5500rc</w:t>
            </w:r>
          </w:p>
        </w:tc>
        <w:tc>
          <w:tcPr>
            <w:tcW w:w="3402" w:type="dxa"/>
          </w:tcPr>
          <w:p w14:paraId="7C92F0A5" w14:textId="5DE15D7B" w:rsidR="00652CEE" w:rsidRDefault="00652CEE" w:rsidP="00652CEE">
            <w:pPr>
              <w:pStyle w:val="Tablecontent"/>
            </w:pPr>
            <w:r w:rsidRPr="00647BFD">
              <w:t>5'-GAGAGGCAGAAATCCGTTTGGC</w:t>
            </w:r>
          </w:p>
        </w:tc>
        <w:tc>
          <w:tcPr>
            <w:tcW w:w="1701" w:type="dxa"/>
          </w:tcPr>
          <w:p w14:paraId="2C26E0DB" w14:textId="2D02BF81" w:rsidR="00652CEE" w:rsidRDefault="00652CEE" w:rsidP="00652CEE">
            <w:pPr>
              <w:pStyle w:val="Tablecontent"/>
            </w:pPr>
            <w:r w:rsidRPr="00647BFD">
              <w:t>5</w:t>
            </w:r>
            <w:r>
              <w:t>,</w:t>
            </w:r>
            <w:r w:rsidRPr="00647BFD">
              <w:t>479</w:t>
            </w:r>
            <w:r>
              <w:t xml:space="preserve"> – </w:t>
            </w:r>
            <w:r w:rsidRPr="00647BFD">
              <w:t>5</w:t>
            </w:r>
            <w:r>
              <w:t>,</w:t>
            </w:r>
            <w:r w:rsidRPr="00647BFD">
              <w:t>500</w:t>
            </w:r>
          </w:p>
        </w:tc>
      </w:tr>
      <w:tr w:rsidR="00652CEE" w14:paraId="1DB6EFB4" w14:textId="77777777" w:rsidTr="00652CEE">
        <w:trPr>
          <w:jc w:val="center"/>
        </w:trPr>
        <w:tc>
          <w:tcPr>
            <w:tcW w:w="1560" w:type="dxa"/>
          </w:tcPr>
          <w:p w14:paraId="55DA5258" w14:textId="18B44638" w:rsidR="00652CEE" w:rsidRDefault="00652CEE" w:rsidP="00652CEE">
            <w:pPr>
              <w:pStyle w:val="Tablecontent"/>
            </w:pPr>
            <w:r w:rsidRPr="00647BFD">
              <w:t>ALV_6000rc</w:t>
            </w:r>
          </w:p>
        </w:tc>
        <w:tc>
          <w:tcPr>
            <w:tcW w:w="3402" w:type="dxa"/>
          </w:tcPr>
          <w:p w14:paraId="3395DBD4" w14:textId="56F698ED" w:rsidR="00652CEE" w:rsidRDefault="00652CEE" w:rsidP="00652CEE">
            <w:pPr>
              <w:pStyle w:val="Tablecontent"/>
            </w:pPr>
            <w:r w:rsidRPr="00647BFD">
              <w:t>5'-ATGCACCGCAGTACTCACTCCC</w:t>
            </w:r>
          </w:p>
        </w:tc>
        <w:tc>
          <w:tcPr>
            <w:tcW w:w="1701" w:type="dxa"/>
          </w:tcPr>
          <w:p w14:paraId="171F1009" w14:textId="0A37866C" w:rsidR="00652CEE" w:rsidRDefault="00652CEE" w:rsidP="00652CEE">
            <w:pPr>
              <w:pStyle w:val="Tablecontent"/>
            </w:pPr>
            <w:r w:rsidRPr="00647BFD">
              <w:t>5</w:t>
            </w:r>
            <w:r>
              <w:t>,</w:t>
            </w:r>
            <w:r w:rsidRPr="00647BFD">
              <w:t>978</w:t>
            </w:r>
            <w:r>
              <w:t xml:space="preserve"> – </w:t>
            </w:r>
            <w:r w:rsidRPr="00647BFD">
              <w:t>6</w:t>
            </w:r>
            <w:r>
              <w:t>,</w:t>
            </w:r>
            <w:r w:rsidRPr="00647BFD">
              <w:t>000</w:t>
            </w:r>
          </w:p>
        </w:tc>
      </w:tr>
      <w:tr w:rsidR="00652CEE" w14:paraId="43E5A278" w14:textId="77777777" w:rsidTr="00652CEE">
        <w:trPr>
          <w:jc w:val="center"/>
        </w:trPr>
        <w:tc>
          <w:tcPr>
            <w:tcW w:w="1560" w:type="dxa"/>
          </w:tcPr>
          <w:p w14:paraId="017A9D14" w14:textId="680122E0" w:rsidR="00652CEE" w:rsidRDefault="00652CEE" w:rsidP="00652CEE">
            <w:pPr>
              <w:pStyle w:val="Tablecontent"/>
            </w:pPr>
            <w:r w:rsidRPr="00647BFD">
              <w:t>ALV_6500rc</w:t>
            </w:r>
          </w:p>
        </w:tc>
        <w:tc>
          <w:tcPr>
            <w:tcW w:w="3402" w:type="dxa"/>
          </w:tcPr>
          <w:p w14:paraId="57E8B4EC" w14:textId="0EA3CC69" w:rsidR="00652CEE" w:rsidRDefault="00652CEE" w:rsidP="00652CEE">
            <w:pPr>
              <w:pStyle w:val="Tablecontent"/>
            </w:pPr>
            <w:r w:rsidRPr="00647BFD">
              <w:t>5'-ATCTGAGCATGTATCATCCAGG</w:t>
            </w:r>
          </w:p>
        </w:tc>
        <w:tc>
          <w:tcPr>
            <w:tcW w:w="1701" w:type="dxa"/>
          </w:tcPr>
          <w:p w14:paraId="1571A578" w14:textId="5F3BF799" w:rsidR="00652CEE" w:rsidRDefault="00652CEE" w:rsidP="00652CEE">
            <w:pPr>
              <w:pStyle w:val="Tablecontent"/>
            </w:pPr>
            <w:r w:rsidRPr="00647BFD">
              <w:t>6</w:t>
            </w:r>
            <w:r>
              <w:t>,</w:t>
            </w:r>
            <w:r w:rsidRPr="00647BFD">
              <w:t>479</w:t>
            </w:r>
            <w:r>
              <w:t xml:space="preserve"> – </w:t>
            </w:r>
            <w:r w:rsidRPr="00647BFD">
              <w:t>6</w:t>
            </w:r>
            <w:r>
              <w:t>,</w:t>
            </w:r>
            <w:r w:rsidRPr="00647BFD">
              <w:t>500</w:t>
            </w:r>
          </w:p>
        </w:tc>
      </w:tr>
      <w:tr w:rsidR="00652CEE" w14:paraId="13321B04" w14:textId="77777777" w:rsidTr="00652CEE">
        <w:trPr>
          <w:jc w:val="center"/>
        </w:trPr>
        <w:tc>
          <w:tcPr>
            <w:tcW w:w="1560" w:type="dxa"/>
          </w:tcPr>
          <w:p w14:paraId="1D2F2881" w14:textId="4E74B58F" w:rsidR="00652CEE" w:rsidRDefault="00652CEE" w:rsidP="00652CEE">
            <w:pPr>
              <w:pStyle w:val="Tablecontent"/>
            </w:pPr>
            <w:r w:rsidRPr="00647BFD">
              <w:t>ALV_7000rc</w:t>
            </w:r>
          </w:p>
        </w:tc>
        <w:tc>
          <w:tcPr>
            <w:tcW w:w="3402" w:type="dxa"/>
          </w:tcPr>
          <w:p w14:paraId="35319283" w14:textId="6E662123" w:rsidR="00652CEE" w:rsidRDefault="00652CEE" w:rsidP="00652CEE">
            <w:pPr>
              <w:pStyle w:val="Tablecontent"/>
            </w:pPr>
            <w:r w:rsidRPr="00647BFD">
              <w:t>5'-CATCTTTCGGATGCTACTGGAC</w:t>
            </w:r>
          </w:p>
        </w:tc>
        <w:tc>
          <w:tcPr>
            <w:tcW w:w="1701" w:type="dxa"/>
          </w:tcPr>
          <w:p w14:paraId="49CE8787" w14:textId="51D65F70" w:rsidR="00652CEE" w:rsidRDefault="00652CEE" w:rsidP="00652CEE">
            <w:pPr>
              <w:pStyle w:val="Tablecontent"/>
            </w:pPr>
            <w:r w:rsidRPr="00647BFD">
              <w:t>6</w:t>
            </w:r>
            <w:r>
              <w:t>,</w:t>
            </w:r>
            <w:r w:rsidRPr="00647BFD">
              <w:t>983</w:t>
            </w:r>
            <w:r>
              <w:t xml:space="preserve"> – </w:t>
            </w:r>
            <w:r w:rsidRPr="00647BFD">
              <w:t>7</w:t>
            </w:r>
            <w:r>
              <w:t>,</w:t>
            </w:r>
            <w:r w:rsidRPr="00647BFD">
              <w:t>004</w:t>
            </w:r>
          </w:p>
        </w:tc>
      </w:tr>
      <w:tr w:rsidR="00652CEE" w14:paraId="29DA5D46" w14:textId="77777777" w:rsidTr="00652CEE">
        <w:trPr>
          <w:jc w:val="center"/>
        </w:trPr>
        <w:tc>
          <w:tcPr>
            <w:tcW w:w="1560" w:type="dxa"/>
            <w:tcBorders>
              <w:bottom w:val="single" w:sz="4" w:space="0" w:color="auto"/>
            </w:tcBorders>
          </w:tcPr>
          <w:p w14:paraId="4DED385D" w14:textId="1B6BE951" w:rsidR="00652CEE" w:rsidRDefault="00652CEE" w:rsidP="00652CEE">
            <w:pPr>
              <w:pStyle w:val="Tablecontent"/>
            </w:pPr>
            <w:r w:rsidRPr="00647BFD">
              <w:t>ALV_3LTR</w:t>
            </w:r>
          </w:p>
        </w:tc>
        <w:tc>
          <w:tcPr>
            <w:tcW w:w="3402" w:type="dxa"/>
            <w:tcBorders>
              <w:bottom w:val="single" w:sz="4" w:space="0" w:color="auto"/>
            </w:tcBorders>
          </w:tcPr>
          <w:p w14:paraId="20982B11" w14:textId="30B1B0CF" w:rsidR="00652CEE" w:rsidRPr="00A062CC" w:rsidRDefault="00652CEE" w:rsidP="00652CEE">
            <w:pPr>
              <w:pStyle w:val="Tablecontent"/>
            </w:pPr>
            <w:r w:rsidRPr="00647BFD">
              <w:t>5'-GATATAGTAGTTGCGCTTTTGC</w:t>
            </w:r>
          </w:p>
        </w:tc>
        <w:tc>
          <w:tcPr>
            <w:tcW w:w="1701" w:type="dxa"/>
            <w:tcBorders>
              <w:bottom w:val="single" w:sz="4" w:space="0" w:color="auto"/>
            </w:tcBorders>
          </w:tcPr>
          <w:p w14:paraId="08B8F881" w14:textId="7F2A85AD" w:rsidR="00652CEE" w:rsidRPr="00A062CC" w:rsidRDefault="00652CEE" w:rsidP="00652CEE">
            <w:pPr>
              <w:pStyle w:val="Tablecontent"/>
            </w:pPr>
            <w:r w:rsidRPr="00647BFD">
              <w:t>7</w:t>
            </w:r>
            <w:r>
              <w:t>,</w:t>
            </w:r>
            <w:r w:rsidRPr="00647BFD">
              <w:t>215</w:t>
            </w:r>
            <w:r>
              <w:t xml:space="preserve"> – </w:t>
            </w:r>
            <w:r w:rsidRPr="00647BFD">
              <w:t>7</w:t>
            </w:r>
            <w:r>
              <w:t>,</w:t>
            </w:r>
            <w:r w:rsidRPr="00647BFD">
              <w:t>236</w:t>
            </w:r>
          </w:p>
        </w:tc>
      </w:tr>
    </w:tbl>
    <w:p w14:paraId="5C5F4215" w14:textId="6B3A6ADF" w:rsidR="00660796" w:rsidRDefault="00FA6757" w:rsidP="00660796">
      <w:pPr>
        <w:pStyle w:val="ListParagraph"/>
      </w:pPr>
      <w:r>
        <w:t xml:space="preserve"> </w:t>
      </w:r>
    </w:p>
    <w:p w14:paraId="4D771843" w14:textId="77777777" w:rsidR="00660796" w:rsidRDefault="00660796" w:rsidP="00660796">
      <w:pPr>
        <w:pStyle w:val="ListParagraph"/>
      </w:pPr>
      <w:r>
        <w:t xml:space="preserve">Geneious-hosted GLIMMER3 </w:t>
      </w:r>
      <w:r>
        <w:fldChar w:fldCharType="begin" w:fldLock="1"/>
      </w:r>
      <w:r>
        <w:instrText>ADDIN CSL_CITATION { "citationItems" : [ { "id" : "ITEM-1", "itemData" : { "DOI" : "10.1093/bioinformatics/btm009", "ISBN" : "1367-4811 (Electronic)\\n1367-4803 (Linking)", "ISSN" : "13674803", "PMID" : "17237039", "abstract" : "The Glimmer gene-finding software has been successfully used for finding genes in bacteria, archaea and viruses representing hundreds of species. We describe several major changes to the Glimmer system, including improved methods for identifying both coding regions and start codons. We also describe a new module of Glimmer that can distinguish host and endosymbiont DNA. This module was developed in response to the discovery that eukaryotic genome sequencing projects sometimes inadvertently capture the DNA of intracellular bacteria living in the host.", "author" : [ { "dropping-particle" : "", "family" : "Delcher", "given" : "Arthur L.", "non-dropping-particle" : "", "parse-names" : false, "suffix" : "" }, { "dropping-particle" : "", "family" : "Bratke", "given" : "Kirsten A.", "non-dropping-particle" : "", "parse-names" : false, "suffix" : "" }, { "dropping-particle" : "", "family" : "Powers", "given" : "Edwin C.", "non-dropping-particle" : "", "parse-names" : false, "suffix" : "" }, { "dropping-particle" : "", "family" : "Salzberg", "given" : "Steven L.", "non-dropping-particle" : "", "parse-names" : false, "suffix" : "" } ], "container-title" : "Bioinformatics", "id" : "ITEM-1", "issue" : "6", "issued" : { "date-parts" : [ [ "2007" ] ] }, "page" : "673-679", "title" : "Identifying bacterial genes and endosymbiont DNA with Glimmer", "type" : "article-journal", "volume" : "23" }, "uris" : [ "http://www.mendeley.com/documents/?uuid=fdc009be-3979-4476-94f6-775095795711" ] } ], "mendeley" : { "formattedCitation" : "(Delcher et al. 2007)", "plainTextFormattedCitation" : "(Delcher et al. 2007)", "previouslyFormattedCitation" : "(Delcher et al. 2007)" }, "properties" : { "noteIndex" : 0 }, "schema" : "https://github.com/citation-style-language/schema/raw/master/csl-citation.json" }</w:instrText>
      </w:r>
      <w:r>
        <w:fldChar w:fldCharType="separate"/>
      </w:r>
      <w:r w:rsidRPr="00FA6757">
        <w:rPr>
          <w:noProof/>
        </w:rPr>
        <w:t>(Delcher et al. 2007)</w:t>
      </w:r>
      <w:r>
        <w:fldChar w:fldCharType="end"/>
      </w:r>
      <w:r>
        <w:t xml:space="preserve"> was used to predict retroviral ORFs with default settings. ORFs were translated into the appropriate frame and aligned to well annotated ALV protein sequences (GenBank:</w:t>
      </w:r>
      <w:r>
        <w:rPr>
          <w:sz w:val="2"/>
        </w:rPr>
        <w:t xml:space="preserve"> </w:t>
      </w:r>
      <w:r>
        <w:t xml:space="preserve">Q04095.2, </w:t>
      </w:r>
      <w:r w:rsidRPr="00C563C7">
        <w:t>AAK13201.1</w:t>
      </w:r>
      <w:r>
        <w:t>).</w:t>
      </w:r>
    </w:p>
    <w:p w14:paraId="225BB95B" w14:textId="62CD0FAF" w:rsidR="00A44C45" w:rsidRPr="00841150" w:rsidRDefault="00A44C45" w:rsidP="00391005">
      <w:pPr>
        <w:pStyle w:val="ListParagraph"/>
      </w:pPr>
    </w:p>
    <w:p w14:paraId="43A18F8D" w14:textId="27214857" w:rsidR="00043440" w:rsidRDefault="00D6091C" w:rsidP="00043440">
      <w:pPr>
        <w:pStyle w:val="Heading3"/>
      </w:pPr>
      <w:bookmarkStart w:id="365" w:name="_Toc485721628"/>
      <w:bookmarkStart w:id="366" w:name="_Toc486787208"/>
      <w:bookmarkStart w:id="367" w:name="_Toc486787356"/>
      <w:r>
        <w:t xml:space="preserve">Characterisation of </w:t>
      </w:r>
      <w:r w:rsidR="00A44C45">
        <w:t xml:space="preserve">the </w:t>
      </w:r>
      <w:r w:rsidR="00A44C45">
        <w:rPr>
          <w:i/>
        </w:rPr>
        <w:t xml:space="preserve">K </w:t>
      </w:r>
      <w:r w:rsidR="00A44C45">
        <w:t>locus</w:t>
      </w:r>
      <w:r w:rsidR="00043440">
        <w:t xml:space="preserve"> in the Hy-Line </w:t>
      </w:r>
      <w:r w:rsidR="00A44C45">
        <w:t>elite layer lines</w:t>
      </w:r>
      <w:bookmarkEnd w:id="365"/>
      <w:bookmarkEnd w:id="366"/>
      <w:bookmarkEnd w:id="367"/>
    </w:p>
    <w:p w14:paraId="280CF1F6" w14:textId="155F03A1" w:rsidR="00043440" w:rsidRDefault="00043440" w:rsidP="00043440">
      <w:pPr>
        <w:pStyle w:val="Heading4"/>
      </w:pPr>
      <w:r>
        <w:t xml:space="preserve">Identification of </w:t>
      </w:r>
      <w:r w:rsidRPr="00043440">
        <w:t>the</w:t>
      </w:r>
      <w:r>
        <w:t xml:space="preserve"> </w:t>
      </w:r>
      <w:r w:rsidR="00841150">
        <w:t>Galgal5 K locus</w:t>
      </w:r>
      <w:r>
        <w:t xml:space="preserve"> and design of the diagnostic K locus assay</w:t>
      </w:r>
    </w:p>
    <w:p w14:paraId="13AB26C3" w14:textId="16BA4AE2" w:rsidR="00043440" w:rsidRDefault="005D06BE" w:rsidP="00391005">
      <w:pPr>
        <w:pStyle w:val="ListParagraph"/>
      </w:pPr>
      <w:r w:rsidRPr="005D06BE">
        <w:t xml:space="preserve">Previously published PCR primer sequences </w:t>
      </w:r>
      <w:r w:rsidRPr="005D06BE">
        <w:fldChar w:fldCharType="begin" w:fldLock="1"/>
      </w:r>
      <w:r w:rsidRPr="005D06BE">
        <w:instrText>ADDIN CSL_CITATION { "citationItems" : [ { "id" : "ITEM-1", "itemData" : { "DOI" : "10.3382/ps.0731612", "ISSN" : "0032-5791", "abstract" : "The molecular architecture of the sex-linked late-feathering region of the chicken genome is still poorly defined. Current evidence points to a strong association between the presence of the endogenous viral element ev21 and the late-feathering phenotype. However, analysis at the molecular level has demonstrated that this is not a simple case of insertional mutagenesis. Instead, the structure of the region of the chicken genome containing the feathering locus is complex and variable between and within lines of chickens. Significant clues to the molecular structure of this genomic region can be obtained by analyzing rare and revertant genotypes. However, searching for rare genotypes can only be carried out effectively using quick screen methodology. This paper describes a quick, polymerase chain reaction-based test for ev21 that facilitates the search for rare genotypes.", "author" : [ { "dropping-particle" : "", "family" : "Tixier-Boichard", "given" : "M. H.", "non-dropping-particle" : "", "parse-names" : false, "suffix" : "" }, { "dropping-particle" : "", "family" : "Benkel", "given" : "B. F.", "non-dropping-particle" : "", "parse-names" : false, "suffix" : "" }, { "dropping-particle" : "", "family" : "Chambers", "given" : "J. R.", "non-dropping-particle" : "", "parse-names" : false, "suffix" : "" }, { "dropping-particle" : "", "family" : "Gavora", "given" : "J. S.", "non-dropping-particle" : "", "parse-names" : false, "suffix" : "" } ], "container-title" : "Poultry Science", "id" : "ITEM-1", "issue" : "10", "issued" : { "date-parts" : [ [ "1994", "10", "1" ] ] }, "note" : "Ev21 is not necessary for the late feathering phenotype as some brown egg lines have ev21 but are early feathering. \nSuccessfully developed a PCR test of the ev21 region. \nNot accessible online from Ed Uni - Journals available at the Vet School Library", "page" : "1612-1616", "title" : "Screening Chickens for Endogenous Virus ev21 Viral Element by the Polymerase Chain Reaction", "type" : "article-journal", "volume" : "73" }, "uris" : [ "http://www.mendeley.com/documents/?uuid=f86a12d9-c8de-4553-808b-5691107f3b99" ] }, { "id" : "ITEM-2", "itemData" : { "abstract" : "Very poor feather development has been observed in chickens of the Nunukan strain, originating from Indonesia. The wing of the newly hatched chick does not show any primary or covert feathers; this phenotype will be referred to as very-late feathering (VLF). As adults, chickens are feathered but tail feathers are short and fragile. An experimental population was set up at the National Institute of Agronomic Research (INRA), Jouy-en-Josas, from one Nunukan male and four Nunukan females. Preliminary observations did not support the hypothesis of a sex-linked dominant mode of inheritance for the VLF phenotype. A restriction fragment length polymorphism (RFLP) study using five restriction enzymes and two probes, RAV-2 and en- dogenous virus (ev) ev21-int specific for the endogenous viral locus ALVE21, showed the presence of the expected 3\u2032 junction fragments for the ev21 occupied site but failed to reveal the expected 5\u2032 junction fragments for ev21 in Nunukan chickens. The unoccupied site corresponded to the ev21 unoccupied repeat (UR) of type a (URa). A deletion in the 5\u2032 region of the provirus and of the insertion site was indicated by the RFLP analysis and confirmed by a PCR study. Primers were designed in order to amplify a 5\u2032 junction fragment specific to the modified ev21 found in the Nunukan chickens. The sequence of this amplified product showed that the deletion started 652 bp upstream of the insertion site of ev21 and ended within the pol gene of the viral genome. This deletion represents a new allele, OSD, at the ev21 insertion site (locus ALVE21), that appears insufficient to produce a complete virus. Current data do not show a clear causal relationship between OSD and the VLF phenotype. The presence of OSD may be required but is not in itself sufficient to obtain the VLF phenotype. The genetic relationships between OSD and the altered feathering phenotype of Nunukan chickens will be investigated further in families segregating for the VLF phenotype, using the locus-specific PCR test developed as part of this study.", "author" : [ { "dropping-particle" : "", "family" : "Tixier-Boichard", "given" : "M", "non-dropping-particle" : "", "parse-names" : false, "suffix" : "" }, { "dropping-particle" : "", "family" : "Boulliou-Robic", "given" : "A", "non-dropping-particle" : "", "parse-names" : false, "suffix" : "" } ], "container-title" : "Poultry science", "id" : "ITEM-2", "issued" : { "date-parts" : [ [ "1997" ] ] }, "note" : "Identified a deletion at the ALVE21 locus which means the locus is now insufficient to produce virus. The deletion starts 652bp upstream of the standard insertion site for ev21 and ends within the pol gene. It may still be able to express the env gene, like ev6 does. \n\n\nThe locus was investigated due to the identification of the VLF (very late feathering) phenotype in Nunukan strain chickens from Indonesia. The genetic relationships were not fully explained. But the fact that there is a deletion in a closely linked ERV is quite suggestive.\n\n\nThe presence of ev21 alone is not sufficient to induce the mutant late-feathering phenotype.", "page" : "733-742", "title" : "A deleted retroviral insertion at the ev21-K complex locus in Indonesian chickens", "type" : "article-journal", "volume" : "76" }, "uris" : [ "http://www.mendeley.com/documents/?uuid=cc34bfa0-1512-4230-96a8-5fd8643b41eb" ] }, { "id" : "ITEM-3", "itemData" : { "DOI" : "10.1186/1471-2164-9-391", "ISSN" : "1471-2164", "PMID" : "18713476", "abstract" : "BACKGROUND: One of the loci responsible for feather development in chickens is K. The K allele is partially dominant to the k+ allele and causes a retard in the emergence of flight feathers at hatch. The K locus is sex linked and located on the Z chromosome. Therefore, the locus can be utilized to produce phenotypes that identify the sexes of chicks at hatch. Previous studies on the organization of the K allele concluded the integration of endogenous retrovirus 21 (ev21) into one of two large homologous segments located on the Z chromosome of late feathering chickens. In this study, a detailed molecular analysis of the K locus and a DNA test to distinguish between homozygous and heterozygous late feathering males are presented. RESULTS: The K locus was investigated with quantitative PCR by examining copy number variations in a total of fourteen markers surrounding the ev21 integration site. The results showed a duplication at the K allele and sequence analysis of the breakpoint junction indicated a tandem duplication of 176,324 basepairs. The tandem duplication of this region results in the partial duplication of two genes; the prolactin receptor and the gene encoding sperm flagellar protein 2. Sequence analysis revealed that the duplication is similar in Broiler and White Leghorn. In addition, twelve late feathering animals, including Broiler, White Leghorn, and Brown Layer lines, contained a 78 bp breakpoint junction fragment, indicating that the duplication is similar in all breeds. The breakpoint junction was used to develop a TaqMan-based quantitative PCR test to allow distinction between homozygous and heterozygous late feathering males. In total, 85.3% of the animals tested were correctly assigned, 14.7% were unassigned and no animals were incorrectly assigned. CONCLUSION: The detailed molecular analysis presented in this study revealed the presence of a tandem duplication in the K allele. The duplication resulted in the partial duplication of two genes; the prolactin receptor and the gene encoding sperm flagellar protein 2. Furthermore, a DNA test was developed to distinguish between homozygous and heterozygous late feathering males.", "author" : [ { "dropping-particle" : "", "family" : "Elferink", "given" : "Martin G", "non-dropping-particle" : "", "parse-names" : false, "suffix" : "" }, { "dropping-particle" : "", "family" : "Vall\u00e9e", "given" : "Am\u00e9lie a a", "non-dropping-particle" : "", "parse-names" : false, "suffix" : "" }, { "dropping-particle" : "", "family" : "Jungerius", "given" : "Annemieke P", "non-dropping-particle" : "", "parse-names" : false, "suffix" : "" }, { "dropping-particle" : "", "family" : "Crooijmans", "given" : "Richard P M a", "non-dropping-particle" : "", "parse-names" : false, "suffix" : "" }, { "dropping-particle" : "", "family" : "Groenen", "given" : "Martien a M", "non-dropping-particle" : "", "parse-names" : false, "suffix" : "" } ], "container-title" : "BMC genomics", "id" : "ITEM-3", "issued" : { "date-parts" : [ [ "2008", "1" ] ] }, "page" : "391", "title" : "Partial duplication of the PRLR and SPEF2 genes at the late feathering locus in chicken.", "type" : "article-journal", "volume" : "9" }, "uris" : [ "http://www.mendeley.com/documents/?uuid=c0f6c8e2-2413-434a-bc72-3bcc3de5d016" ] } ], "mendeley" : { "formattedCitation" : "(Tixier-Boichard et al. 1994; Tixier-Boichard &amp; Boulliou-Robic 1997; Elferink et al. 2008)", "plainTextFormattedCitation" : "(Tixier-Boichard et al. 1994; Tixier-Boichard &amp; Boulliou-Robic 1997; Elferink et al. 2008)", "previouslyFormattedCitation" : "(Tixier-Boichard et al. 1994; Tixier-Boichard &amp; Boulliou-Robic 1997; Elferink et al. 2008)" }, "properties" : { "noteIndex" : 0 }, "schema" : "https://github.com/citation-style-language/schema/raw/master/csl-citation.json" }</w:instrText>
      </w:r>
      <w:r w:rsidRPr="005D06BE">
        <w:fldChar w:fldCharType="separate"/>
      </w:r>
      <w:r w:rsidRPr="005D06BE">
        <w:rPr>
          <w:noProof/>
        </w:rPr>
        <w:t>(Tixier-Boichard et al. 1994; Tixier-Boichard &amp; Boulliou-Robic 1997; Elferink et al. 2008)</w:t>
      </w:r>
      <w:r w:rsidRPr="005D06BE">
        <w:fldChar w:fldCharType="end"/>
      </w:r>
      <w:r w:rsidRPr="005D06BE">
        <w:t xml:space="preserve"> and the </w:t>
      </w:r>
      <w:r w:rsidRPr="005D06BE">
        <w:rPr>
          <w:i/>
        </w:rPr>
        <w:t>K</w:t>
      </w:r>
      <w:r w:rsidRPr="005D06BE">
        <w:t xml:space="preserve"> locus bridging </w:t>
      </w:r>
      <w:r w:rsidRPr="005D06BE">
        <w:lastRenderedPageBreak/>
        <w:t xml:space="preserve">sequence </w:t>
      </w:r>
      <w:r w:rsidRPr="005D06BE">
        <w:fldChar w:fldCharType="begin" w:fldLock="1"/>
      </w:r>
      <w:r w:rsidRPr="005D06BE">
        <w:instrText>ADDIN CSL_CITATION { "citationItems" : [ { "id" : "ITEM-1", "itemData" : { "DOI" : "10.1530/JME-13-0068", "ISSN" : "1479-6813", "PMID" : "23940279", "abstract" : "A partial duplication of the prolactin (PRL) receptor gene (designated as dPRLR) has been identified at the late-feathering (LF) K locus on chromosome Z of some chicken strains recently, implying that dPRLR is probably a candidate gene associated with LF development in chickens. However, little is known about the structure, functionality, and spatiotemporal expression of the dPRLR gene in chickens. In this study, using 3'-RACE and RT-PCR, the full-length cDNA of the dPRLR obtained from the kidneys of male Lohmann layer chickens carrying a K allele was cloned. The cloned dPRLR is predicted to encode a membrane-spanning receptor of 683 amino acids, which is nearly identical to the original PRLR, except for its lack of a 149-amino acid C-terminal tail. Using a 5\u00d7 STAT5-Luciferase reporter system and western blot analysis, we demonstrated that dPRLR expressed in HepG2 cells could be potently activated by chicken PRL and functionally coupled to the intracellular STAT5 signaling pathway, suggesting that dPRLR may function as a novel receptor for PRL. RT-PCR assays revealed that similar to the original PRLR gene, dPRLR mRNA is widely expressed in all embryonic and adult tissues examined including the skin of male Lohmann chickens with a K allele. These findings, together with the expression of PRL mRNA detected in the skin of embryos at embryonic day 20 and 1-week-old chicks, suggest that skin-expressed dPRLR and PRLR, together with plasma and skin-derived PRL, may be involved in the control of the LF development of chicks at hatching. Moreover, the wide tissue expression of dPRLR implies that dPRLR may regulate other physiological processes of chickens carrying the K allele.", "author" : [ { "dropping-particle" : "", "family" : "Bu", "given" : "Guixian", "non-dropping-particle" : "", "parse-names" : false, "suffix" : "" }, { "dropping-particle" : "", "family" : "Huang", "given" : "Guian", "non-dropping-particle" : "", "parse-names" : false, "suffix" : "" }, { "dropping-particle" : "", "family" : "Fu", "given" : "Hao", "non-dropping-particle" : "", "parse-names" : false, "suffix" : "" }, { "dropping-particle" : "", "family" : "Li", "given" : "Juan", "non-dropping-particle" : "", "parse-names" : false, "suffix" : "" }, { "dropping-particle" : "", "family" : "Huang", "given" : "Simiao", "non-dropping-particle" : "", "parse-names" : false, "suffix" : "" }, { "dropping-particle" : "", "family" : "Wang", "given" : "Yajun", "non-dropping-particle" : "", "parse-names" : false, "suffix" : "" } ], "container-title" : "Journal of molecular endocrinology", "id" : "ITEM-1", "issue" : "2", "issued" : { "date-parts" : [ [ "2013", "1" ] ] }, "page" : "261-76", "title" : "Characterization of the novel duplicated PRLR gene at the late-feathering K locus in Lohmann chickens.", "type" : "article-journal", "volume" : "51" }, "uris" : [ "http://www.mendeley.com/documents/?uuid=91ac1252-e4fb-4002-abd8-32f19e159081" ] } ], "mendeley" : { "formattedCitation" : "(Bu et al. 2013)", "plainTextFormattedCitation" : "(Bu et al. 2013)", "previouslyFormattedCitation" : "(Bu et al. 2013)" }, "properties" : { "noteIndex" : 0 }, "schema" : "https://github.com/citation-style-language/schema/raw/master/csl-citation.json" }</w:instrText>
      </w:r>
      <w:r w:rsidRPr="005D06BE">
        <w:fldChar w:fldCharType="separate"/>
      </w:r>
      <w:r w:rsidRPr="005D06BE">
        <w:rPr>
          <w:noProof/>
        </w:rPr>
        <w:t>(Bu et al. 2013)</w:t>
      </w:r>
      <w:r w:rsidRPr="005D06BE">
        <w:fldChar w:fldCharType="end"/>
      </w:r>
      <w:r w:rsidRPr="005D06BE">
        <w:t xml:space="preserve"> were mapped to the Galgal5 assembly using the </w:t>
      </w:r>
      <w:r w:rsidR="002C3DAF">
        <w:t>‘</w:t>
      </w:r>
      <w:r w:rsidRPr="005D06BE">
        <w:t>Map to R</w:t>
      </w:r>
      <w:r w:rsidR="002C3DAF">
        <w:t>eference’ tool in Geneious</w:t>
      </w:r>
      <w:r w:rsidRPr="005D06BE">
        <w:t xml:space="preserve">, to characterise the size of the </w:t>
      </w:r>
      <w:r w:rsidRPr="005D06BE">
        <w:rPr>
          <w:i/>
        </w:rPr>
        <w:t xml:space="preserve">K </w:t>
      </w:r>
      <w:r w:rsidRPr="005D06BE">
        <w:t xml:space="preserve">locus tandem duplication. The predicted </w:t>
      </w:r>
      <w:r w:rsidRPr="005D06BE">
        <w:rPr>
          <w:i/>
        </w:rPr>
        <w:t>K</w:t>
      </w:r>
      <w:r w:rsidR="00841150">
        <w:t xml:space="preserve"> locus sequence was</w:t>
      </w:r>
      <w:r w:rsidRPr="005D06BE">
        <w:t xml:space="preserve"> used to design a KASP assay for the duplicated region bridging sequence, to be used in t</w:t>
      </w:r>
      <w:r w:rsidR="008E4A83">
        <w:t xml:space="preserve">andem with the </w:t>
      </w:r>
      <w:r w:rsidR="00D6091C">
        <w:t>ALVE</w:t>
      </w:r>
      <w:r w:rsidR="008E4A83">
        <w:t>21 KASP assay</w:t>
      </w:r>
      <w:r w:rsidRPr="005D06BE">
        <w:t>.</w:t>
      </w:r>
    </w:p>
    <w:p w14:paraId="0645D7E6" w14:textId="77777777" w:rsidR="0097046A" w:rsidRDefault="0097046A" w:rsidP="00391005">
      <w:pPr>
        <w:pStyle w:val="ListParagraph"/>
      </w:pPr>
    </w:p>
    <w:p w14:paraId="27FAC9C1" w14:textId="77777777" w:rsidR="00043440" w:rsidRDefault="00043440" w:rsidP="00043440">
      <w:pPr>
        <w:pStyle w:val="Heading4"/>
      </w:pPr>
      <w:r>
        <w:t>Optic mapping of the K locus</w:t>
      </w:r>
    </w:p>
    <w:p w14:paraId="5B1AAC75" w14:textId="1F4B21FB" w:rsidR="00043440" w:rsidRDefault="005D06BE" w:rsidP="00391005">
      <w:pPr>
        <w:pStyle w:val="ListParagraph"/>
      </w:pPr>
      <w:r w:rsidRPr="005D06BE">
        <w:t xml:space="preserve">Blood samples were taken from one </w:t>
      </w:r>
      <w:r w:rsidR="00AF1C13">
        <w:t>male individual from each of five</w:t>
      </w:r>
      <w:r w:rsidRPr="005D06BE">
        <w:t xml:space="preserve"> Hy-Line lines, using the same blood extrac</w:t>
      </w:r>
      <w:r w:rsidR="00050EC1">
        <w:t>tion protocol as described</w:t>
      </w:r>
      <w:r w:rsidRPr="005D06BE">
        <w:t xml:space="preserve"> in</w:t>
      </w:r>
      <w:r w:rsidR="00050EC1">
        <w:t xml:space="preserve"> section </w:t>
      </w:r>
      <w:r w:rsidR="00050EC1">
        <w:fldChar w:fldCharType="begin" w:fldLock="1"/>
      </w:r>
      <w:r w:rsidR="00050EC1">
        <w:instrText xml:space="preserve"> REF _Ref486618399 \r \h </w:instrText>
      </w:r>
      <w:r w:rsidR="00050EC1">
        <w:fldChar w:fldCharType="separate"/>
      </w:r>
      <w:r w:rsidR="002C549C">
        <w:t>5.2.1</w:t>
      </w:r>
      <w:r w:rsidR="00050EC1">
        <w:fldChar w:fldCharType="end"/>
      </w:r>
      <w:r w:rsidRPr="005D06BE">
        <w:t xml:space="preserve">. </w:t>
      </w:r>
      <w:r w:rsidR="008E4A83">
        <w:t>Samples were taken from the slow feathering WL4 and WPR1, as well as the sister line of the RIR used for the sequencing of this project (RIR-sf). Samples were also taken from the fast feathering WL3 and WPR2.</w:t>
      </w:r>
      <w:r w:rsidRPr="005D06BE">
        <w:t xml:space="preserve"> Blood samples were mixed with ThermoFisher Scientific UltraPure Low Melting Point Agarose, formed into stable plugs and then analysed with the BioNano Irys platform at The Earlham Institute, UK. Samples were extracted from the agarose plugs and quality controlled before analysis. The restriction enzyme Nt.BspQ1 (recognition site: GCTCTTC) was used for mapping due to its suitable frequency of occurrence in the </w:t>
      </w:r>
      <w:r w:rsidRPr="005D06BE">
        <w:rPr>
          <w:i/>
        </w:rPr>
        <w:t xml:space="preserve">K </w:t>
      </w:r>
      <w:r w:rsidRPr="005D06BE">
        <w:t>locus target region.</w:t>
      </w:r>
      <w:r w:rsidR="00721C41">
        <w:t xml:space="preserve"> </w:t>
      </w:r>
    </w:p>
    <w:p w14:paraId="65CA419E" w14:textId="77777777" w:rsidR="0097046A" w:rsidRDefault="0097046A" w:rsidP="00391005">
      <w:pPr>
        <w:pStyle w:val="ListParagraph"/>
      </w:pPr>
    </w:p>
    <w:p w14:paraId="2956D8F3" w14:textId="77777777" w:rsidR="00043440" w:rsidRDefault="00043440" w:rsidP="00043440">
      <w:pPr>
        <w:pStyle w:val="Heading4"/>
      </w:pPr>
      <w:r w:rsidRPr="00E51067">
        <w:t>Analysis of BioNano results</w:t>
      </w:r>
    </w:p>
    <w:p w14:paraId="5398277D" w14:textId="73C635DE" w:rsidR="00090CDE" w:rsidRPr="00625703" w:rsidRDefault="00625703" w:rsidP="00391005">
      <w:pPr>
        <w:pStyle w:val="ListParagraph"/>
      </w:pPr>
      <w:r>
        <w:t xml:space="preserve">Molecule object files generated by the Earlham Institute were quality checked and submitted to Kees-Jan Francoijs (KJF), the European support scientist at BioNano Genomics. KJF performed an </w:t>
      </w:r>
      <w:r>
        <w:rPr>
          <w:i/>
        </w:rPr>
        <w:t>in silico</w:t>
      </w:r>
      <w:r w:rsidR="00885125">
        <w:t xml:space="preserve"> Nt.BspQ1 digest</w:t>
      </w:r>
      <w:r>
        <w:t xml:space="preserve"> of the Galgal5 Z chromosome using the BioNano Knickers v1.5.5.0 software, to generate a </w:t>
      </w:r>
      <w:r w:rsidR="00885125">
        <w:t>consensus map (</w:t>
      </w:r>
      <w:r>
        <w:t>CMAP</w:t>
      </w:r>
      <w:r w:rsidR="00885125">
        <w:t>)</w:t>
      </w:r>
      <w:r>
        <w:t xml:space="preserve"> file with the predicted fluorescence patterns. Molecule object files were then viewed in IrysView v2.5.1 and assembled to the CMAP using the Refaligner and Assembler v5122 packages (available: </w:t>
      </w:r>
      <w:r w:rsidR="00885125" w:rsidRPr="00885125">
        <w:t>https://bionanogenomics.com/support/software-downloads/</w:t>
      </w:r>
      <w:r>
        <w:t>)</w:t>
      </w:r>
      <w:r w:rsidR="00885125">
        <w:t>. All viewing and interpretation was undertaken locally in a</w:t>
      </w:r>
      <w:r w:rsidR="001A2788">
        <w:t>n</w:t>
      </w:r>
      <w:r w:rsidR="00885125">
        <w:t xml:space="preserve"> IrysView</w:t>
      </w:r>
      <w:r w:rsidR="00841150">
        <w:t xml:space="preserve"> v2.5.1</w:t>
      </w:r>
      <w:r w:rsidR="00885125">
        <w:t xml:space="preserve"> instance. </w:t>
      </w:r>
    </w:p>
    <w:p w14:paraId="0439A3A2" w14:textId="70AF30EA" w:rsidR="00090CDE" w:rsidRPr="001A2788" w:rsidRDefault="001A2788" w:rsidP="00391005">
      <w:pPr>
        <w:pStyle w:val="ListParagraph"/>
      </w:pPr>
      <w:r>
        <w:t>A</w:t>
      </w:r>
      <w:r w:rsidR="00885125">
        <w:t xml:space="preserve">nalyses were undertaken by KJF due to large memory requirements for performing </w:t>
      </w:r>
      <w:r w:rsidR="00885125">
        <w:rPr>
          <w:i/>
        </w:rPr>
        <w:t>de novo</w:t>
      </w:r>
      <w:r w:rsidR="00885125">
        <w:t xml:space="preserve"> assemblies using IrysView (recommended &gt;48 GB RAM</w:t>
      </w:r>
      <w:r>
        <w:t xml:space="preserve"> limited to Windows architecture</w:t>
      </w:r>
      <w:r w:rsidR="00885125">
        <w:t>)</w:t>
      </w:r>
      <w:r>
        <w:t xml:space="preserve">. The new BioNano Access (which can connect to a dedicated Linux server </w:t>
      </w:r>
      <w:r>
        <w:lastRenderedPageBreak/>
        <w:t>for memory-intensive analyses)</w:t>
      </w:r>
      <w:r w:rsidR="00885125">
        <w:t xml:space="preserve"> was still in beta testing when analysis was undertaken, and th</w:t>
      </w:r>
      <w:r>
        <w:t>ere were difficulties using the Access</w:t>
      </w:r>
      <w:r w:rsidR="00885125">
        <w:t xml:space="preserve"> </w:t>
      </w:r>
      <w:r>
        <w:t>pipeline due to</w:t>
      </w:r>
      <w:r w:rsidR="00885125">
        <w:t xml:space="preserve"> university regulations on SQL databases and </w:t>
      </w:r>
      <w:r w:rsidR="00621445">
        <w:t>remote Linux server access.</w:t>
      </w:r>
      <w:r>
        <w:t xml:space="preserve"> Consequently, the analysis undertaken in this thesis has been to view the generated alignments across the </w:t>
      </w:r>
      <w:r>
        <w:rPr>
          <w:i/>
        </w:rPr>
        <w:t xml:space="preserve">K </w:t>
      </w:r>
      <w:r>
        <w:t xml:space="preserve">locus region, rather than running the BioNano structural variant detection pipelines. The molecule objects for each analysed line were viewed separately </w:t>
      </w:r>
      <w:r w:rsidR="00C77F8E">
        <w:t>with the mapping confidence set at 20</w:t>
      </w:r>
      <w:r>
        <w:t xml:space="preserve">. </w:t>
      </w:r>
    </w:p>
    <w:p w14:paraId="7CE1BAD2" w14:textId="77777777" w:rsidR="0066582C" w:rsidRDefault="0066582C" w:rsidP="00391005">
      <w:pPr>
        <w:pStyle w:val="ListParagraph"/>
      </w:pPr>
    </w:p>
    <w:p w14:paraId="77A5C4B7" w14:textId="4C7DD589" w:rsidR="00F84444" w:rsidRDefault="00F84444" w:rsidP="00D4225A">
      <w:pPr>
        <w:pStyle w:val="Heading2"/>
      </w:pPr>
      <w:bookmarkStart w:id="368" w:name="_Toc485721629"/>
      <w:bookmarkStart w:id="369" w:name="_Toc486787209"/>
      <w:bookmarkStart w:id="370" w:name="_Toc486787357"/>
      <w:r>
        <w:t>Identification of ALVEs from the DNA resequencing data of various commercial, experimental and ‘wild’ chicken populations</w:t>
      </w:r>
      <w:bookmarkEnd w:id="368"/>
      <w:bookmarkEnd w:id="369"/>
      <w:bookmarkEnd w:id="370"/>
    </w:p>
    <w:p w14:paraId="2D78A9FA" w14:textId="45102D68" w:rsidR="00F84444" w:rsidRDefault="00BB19BE" w:rsidP="00BB19BE">
      <w:pPr>
        <w:pStyle w:val="Heading3"/>
      </w:pPr>
      <w:bookmarkStart w:id="371" w:name="_Toc485721630"/>
      <w:bookmarkStart w:id="372" w:name="_Toc486787210"/>
      <w:bookmarkStart w:id="373" w:name="_Toc486787358"/>
      <w:r>
        <w:t>Pipeline implementation with</w:t>
      </w:r>
      <w:r w:rsidR="00203C7B">
        <w:t xml:space="preserve"> </w:t>
      </w:r>
      <w:r>
        <w:t>single-end reads</w:t>
      </w:r>
      <w:bookmarkEnd w:id="371"/>
      <w:bookmarkEnd w:id="372"/>
      <w:bookmarkEnd w:id="373"/>
    </w:p>
    <w:p w14:paraId="091D9B4A" w14:textId="77777777" w:rsidR="00D65AA0" w:rsidRDefault="00BB19BE" w:rsidP="00D65AA0">
      <w:pPr>
        <w:pStyle w:val="Heading4"/>
      </w:pPr>
      <w:r>
        <w:t>Required adjustments to pipeline for single-end reads</w:t>
      </w:r>
    </w:p>
    <w:p w14:paraId="4FDB1397" w14:textId="780E1946" w:rsidR="00BB19BE" w:rsidRDefault="00E47136" w:rsidP="00391005">
      <w:pPr>
        <w:pStyle w:val="ListParagraph"/>
      </w:pPr>
      <w:r>
        <w:t>For user ease, separate scripts were written</w:t>
      </w:r>
      <w:r w:rsidR="00D65AA0">
        <w:t xml:space="preserve"> for use with single-end data. T</w:t>
      </w:r>
      <w:r>
        <w:t>he changes made within the script files were relatively minor</w:t>
      </w:r>
      <w:r w:rsidR="00D65AA0">
        <w:t>, adapting input/output to handle a single FASTQ file rather than two, and adjusting the required region size to 80</w:t>
      </w:r>
      <w:r w:rsidR="00E52296">
        <w:t xml:space="preserve"> </w:t>
      </w:r>
      <w:r w:rsidR="00D65AA0">
        <w:t>bp compared to the 200</w:t>
      </w:r>
      <w:r w:rsidR="00E52296">
        <w:t xml:space="preserve"> </w:t>
      </w:r>
      <w:r w:rsidR="00D65AA0">
        <w:t>bp used with paired end data</w:t>
      </w:r>
      <w:r>
        <w:t xml:space="preserve">. </w:t>
      </w:r>
    </w:p>
    <w:p w14:paraId="52E9D970" w14:textId="77777777" w:rsidR="0097046A" w:rsidRDefault="0097046A" w:rsidP="00391005">
      <w:pPr>
        <w:pStyle w:val="ListParagraph"/>
      </w:pPr>
    </w:p>
    <w:p w14:paraId="228B5A0E" w14:textId="265214D5" w:rsidR="00BB19BE" w:rsidRDefault="00841150" w:rsidP="00BB19BE">
      <w:pPr>
        <w:pStyle w:val="Heading4"/>
      </w:pPr>
      <w:r>
        <w:t>E</w:t>
      </w:r>
      <w:r w:rsidR="00BB19BE">
        <w:t>ffec</w:t>
      </w:r>
      <w:r>
        <w:t xml:space="preserve">ts on pipeline sensitivity </w:t>
      </w:r>
      <w:r w:rsidR="00BB19BE">
        <w:t>using single-end rather than paired-end datasets</w:t>
      </w:r>
    </w:p>
    <w:p w14:paraId="570A8887" w14:textId="10BEFDBB" w:rsidR="00BB19BE" w:rsidRDefault="00E47136" w:rsidP="00391005">
      <w:pPr>
        <w:pStyle w:val="ListParagraph"/>
      </w:pPr>
      <w:r>
        <w:t>T</w:t>
      </w:r>
      <w:r w:rsidR="007342FA">
        <w:t>he HL and JL paired-end data were</w:t>
      </w:r>
      <w:r>
        <w:t xml:space="preserve"> used to create pseudo-single-end FASTQ files </w:t>
      </w:r>
      <w:r w:rsidR="00FC7E2C">
        <w:t xml:space="preserve">by concatenating paired files and removing pair information from the sequence headers. </w:t>
      </w:r>
      <w:r w:rsidR="00AD460C">
        <w:t>This was completed with a custom Python script (pseudo_fastq.py</w:t>
      </w:r>
      <w:r w:rsidR="00841150">
        <w:t>; Appendix 1</w:t>
      </w:r>
      <w:r w:rsidR="00AD460C">
        <w:t xml:space="preserve">). Pseudo-FASTQ files were mapped to the Galgal5 reference genome using BWA and average genome coverage calculated with samtools mpileup. </w:t>
      </w:r>
    </w:p>
    <w:p w14:paraId="4A247AC9" w14:textId="1D6A9546" w:rsidR="00AD460C" w:rsidRDefault="00AD460C" w:rsidP="00391005">
      <w:pPr>
        <w:pStyle w:val="ListParagraph"/>
      </w:pPr>
      <w:r>
        <w:t>Pseudo-single-end datasets were then analysed for ALVE insertions using the scripts adapte</w:t>
      </w:r>
      <w:r w:rsidR="00DB2FB8">
        <w:t>d for single-end data analysis</w:t>
      </w:r>
      <w:r>
        <w:t>, and the identified locations were manually checked as described above (section</w:t>
      </w:r>
      <w:r w:rsidR="004C22FA">
        <w:t xml:space="preserve"> </w:t>
      </w:r>
      <w:r w:rsidR="004C22FA">
        <w:fldChar w:fldCharType="begin" w:fldLock="1"/>
      </w:r>
      <w:r w:rsidR="004C22FA">
        <w:instrText xml:space="preserve"> REF _Ref467854164 \r \h </w:instrText>
      </w:r>
      <w:r w:rsidR="004C22FA">
        <w:fldChar w:fldCharType="separate"/>
      </w:r>
      <w:r w:rsidR="002C549C">
        <w:t>5.1.2</w:t>
      </w:r>
      <w:r w:rsidR="004C22FA">
        <w:fldChar w:fldCharType="end"/>
      </w:r>
      <w:r>
        <w:t xml:space="preserve">). Identified ALVE insertion sites were compared to the data from the paired-end analysis and the relative sensitivity of the single-end pipeline was assessed. </w:t>
      </w:r>
    </w:p>
    <w:p w14:paraId="1CF5E7F2" w14:textId="77777777" w:rsidR="0097046A" w:rsidRDefault="0097046A" w:rsidP="00391005">
      <w:pPr>
        <w:pStyle w:val="ListParagraph"/>
      </w:pPr>
    </w:p>
    <w:p w14:paraId="74873F64" w14:textId="7C4C5E7C" w:rsidR="00203C7B" w:rsidRDefault="00203C7B" w:rsidP="00BB19BE">
      <w:pPr>
        <w:pStyle w:val="Heading3"/>
      </w:pPr>
      <w:bookmarkStart w:id="374" w:name="_Ref467946156"/>
      <w:bookmarkStart w:id="375" w:name="_Toc485721631"/>
      <w:bookmarkStart w:id="376" w:name="_Toc486787211"/>
      <w:bookmarkStart w:id="377" w:name="_Toc486787359"/>
      <w:r>
        <w:lastRenderedPageBreak/>
        <w:t>Genomic resources</w:t>
      </w:r>
      <w:bookmarkEnd w:id="374"/>
      <w:bookmarkEnd w:id="375"/>
      <w:bookmarkEnd w:id="376"/>
      <w:bookmarkEnd w:id="377"/>
    </w:p>
    <w:p w14:paraId="0397DF62" w14:textId="5978704A" w:rsidR="00976A9C" w:rsidRDefault="00976A9C" w:rsidP="00391005">
      <w:pPr>
        <w:pStyle w:val="ListParagraph"/>
      </w:pPr>
      <w:r>
        <w:t>Chicken rese</w:t>
      </w:r>
      <w:r w:rsidR="00335341">
        <w:t>quencing data was analysed from</w:t>
      </w:r>
      <w:r w:rsidR="00000042">
        <w:t xml:space="preserve"> nineteen</w:t>
      </w:r>
      <w:r w:rsidR="00335341">
        <w:t xml:space="preserve"> </w:t>
      </w:r>
      <w:r>
        <w:t xml:space="preserve">projects, </w:t>
      </w:r>
      <w:r w:rsidR="00335341">
        <w:t xml:space="preserve">enabling ALVE identification of </w:t>
      </w:r>
      <w:r w:rsidR="00000042">
        <w:t>eighty-nine</w:t>
      </w:r>
      <w:r w:rsidR="00DB2FB8">
        <w:t xml:space="preserve"> datasets</w:t>
      </w:r>
      <w:r>
        <w:t xml:space="preserve">. </w:t>
      </w:r>
      <w:r w:rsidR="00BC489D">
        <w:t xml:space="preserve">Most datasets were </w:t>
      </w:r>
      <w:r w:rsidR="002A444A">
        <w:t>publicly</w:t>
      </w:r>
      <w:r w:rsidR="00745431">
        <w:t xml:space="preserve"> available through the </w:t>
      </w:r>
      <w:r w:rsidR="00BC489D">
        <w:t xml:space="preserve">ENA or DDBJ Short Read Archive, but some were kindly provided by collaborators. </w:t>
      </w:r>
    </w:p>
    <w:p w14:paraId="74617669" w14:textId="16DE041B" w:rsidR="00BC489D" w:rsidRDefault="00745431" w:rsidP="00391005">
      <w:pPr>
        <w:pStyle w:val="ListParagraph"/>
      </w:pPr>
      <w:r>
        <w:t>Most</w:t>
      </w:r>
      <w:r w:rsidR="00000042">
        <w:t xml:space="preserve"> </w:t>
      </w:r>
      <w:r w:rsidR="00BC489D">
        <w:t>datasets were sequenced with Illumina technology. However, the Andersson and Kauai Feral Chicken datasets were sequenced using the Applied BioSystems SOLiD platform, which produces output not directly compatible with BWA. For both datasets, the raw FASTA and quality score (QUAL) files had already been merged to create colorspace FASTQ files with Sanger quality scores. A custom Python script (color-fastq2sanger-fastq.py</w:t>
      </w:r>
      <w:r w:rsidR="00303F07">
        <w:t>; Appendix 1</w:t>
      </w:r>
      <w:r w:rsidR="00BC489D">
        <w:t xml:space="preserve">) was used to convert these to standard ‘basespace’ FASTQ files ready for use in the pipeline. </w:t>
      </w:r>
    </w:p>
    <w:p w14:paraId="4096CE3F" w14:textId="6D7D316A" w:rsidR="0097046A" w:rsidRDefault="00BC489D" w:rsidP="00391005">
      <w:pPr>
        <w:pStyle w:val="ListParagraph"/>
      </w:pPr>
      <w:r>
        <w:t xml:space="preserve">Datasets were quality checked with FASTQC and reads were trimmed if base quality score dropped beneath 20, and read pairs removed if over half a read was trimmed, or if the read was mostly Ns. Trimming was completed with TrimGalore v0.4.0 </w:t>
      </w:r>
      <w:r>
        <w:fldChar w:fldCharType="begin" w:fldLock="1"/>
      </w:r>
      <w:r>
        <w:instrText>ADDIN CSL_CITATION { "citationItems" : [ { "id" : "ITEM-1", "itemData" : { "author" : [ { "dropping-particle" : "", "family" : "Krueger", "given" : "F", "non-dropping-particle" : "", "parse-names" : false, "suffix" : "" } ], "id" : "ITEM-1", "issued" : { "date-parts" : [ [ "2013" ] ] }, "title" : "Trim Galore. \"A wrapper tool around Cutadapt and FastQC to consistently apply quality and adapter trimming to FastQ files, with some extra functionality for MspI-digested RRBS-type (Reduced Representation Buisulfite-Seq) libraries", "type" : "article" }, "uris" : [ "http://www.mendeley.com/documents/?uuid=c58e9eb3-2792-4a5a-b77b-7c3eeb9dfc5a" ] } ], "mendeley" : { "formattedCitation" : "(Krueger 2013)", "plainTextFormattedCitation" : "(Krueger 2013)", "previouslyFormattedCitation" : "(Krueger 2013)" }, "properties" : { "noteIndex" : 0 }, "schema" : "https://github.com/citation-style-language/schema/raw/master/csl-citation.json" }</w:instrText>
      </w:r>
      <w:r>
        <w:fldChar w:fldCharType="separate"/>
      </w:r>
      <w:r w:rsidRPr="00E41D19">
        <w:rPr>
          <w:noProof/>
        </w:rPr>
        <w:t>(Krueger 2013)</w:t>
      </w:r>
      <w:r>
        <w:fldChar w:fldCharType="end"/>
      </w:r>
      <w:r>
        <w:t xml:space="preserve"> using Cutadapt v1.4 </w:t>
      </w:r>
      <w:r>
        <w:fldChar w:fldCharType="begin" w:fldLock="1"/>
      </w:r>
      <w:r>
        <w:instrText>ADDIN CSL_CITATION { "citationItems" : [ { "id" : "ITEM-1", "itemData" : { "author" : [ { "dropping-particle" : "", "family" : "Martin", "given" : "M", "non-dropping-particle" : "", "parse-names" : false, "suffix" : "" } ], "id" : "ITEM-1", "issued" : { "date-parts" : [ [ "2011" ] ] }, "title" : "Cutadapt removes adapter sequences from high-throughput sequencing reads", "type" : "article" }, "uris" : [ "http://www.mendeley.com/documents/?uuid=57d5bb50-ceb6-4813-9990-ebe62b33f07a" ] } ], "mendeley" : { "formattedCitation" : "(Martin 2011)", "plainTextFormattedCitation" : "(Martin 2011)", "previouslyFormattedCitation" : "(Martin 2011)" }, "properties" : { "noteIndex" : 0 }, "schema" : "https://github.com/citation-style-language/schema/raw/master/csl-citation.json" }</w:instrText>
      </w:r>
      <w:r>
        <w:fldChar w:fldCharType="separate"/>
      </w:r>
      <w:r w:rsidRPr="00E41D19">
        <w:rPr>
          <w:noProof/>
        </w:rPr>
        <w:t>(Martin 2011)</w:t>
      </w:r>
      <w:r>
        <w:fldChar w:fldCharType="end"/>
      </w:r>
      <w:r>
        <w:t>.</w:t>
      </w:r>
      <w:r w:rsidR="0028007B">
        <w:t xml:space="preserve"> </w:t>
      </w:r>
      <w:r w:rsidR="00C56738">
        <w:t>T</w:t>
      </w:r>
      <w:r w:rsidR="00335341">
        <w:t xml:space="preserve">he </w:t>
      </w:r>
      <w:r w:rsidR="00E16C9F">
        <w:t xml:space="preserve">analysed </w:t>
      </w:r>
      <w:r w:rsidR="00335341">
        <w:t>projects are detailed below.</w:t>
      </w:r>
    </w:p>
    <w:p w14:paraId="700672C9" w14:textId="0053DBD1" w:rsidR="00100163" w:rsidRDefault="00100163" w:rsidP="00391005">
      <w:pPr>
        <w:pStyle w:val="ListParagraph"/>
      </w:pPr>
    </w:p>
    <w:p w14:paraId="2C248E55" w14:textId="49ED0F65" w:rsidR="00292816" w:rsidRDefault="00292816" w:rsidP="00292816">
      <w:pPr>
        <w:pStyle w:val="Heading4"/>
      </w:pPr>
      <w:r>
        <w:t>Paired end sequencing datasets</w:t>
      </w:r>
    </w:p>
    <w:p w14:paraId="26747108" w14:textId="1EC0F2A4" w:rsidR="00292816" w:rsidRDefault="00745431" w:rsidP="00391005">
      <w:pPr>
        <w:pStyle w:val="ListParagraph"/>
      </w:pPr>
      <w:r>
        <w:t>Most</w:t>
      </w:r>
      <w:r w:rsidR="00292816">
        <w:t xml:space="preserve"> datasets were paired end, Illumina s</w:t>
      </w:r>
      <w:r w:rsidR="00050EC1">
        <w:t>equencing data. The</w:t>
      </w:r>
      <w:r w:rsidR="00292816">
        <w:t xml:space="preserve"> lines are</w:t>
      </w:r>
      <w:r w:rsidR="00050EC1">
        <w:t xml:space="preserve"> presented</w:t>
      </w:r>
      <w:r w:rsidR="00292816">
        <w:t xml:space="preserve"> in </w:t>
      </w:r>
      <w:r w:rsidR="00292816" w:rsidRPr="0004035F">
        <w:fldChar w:fldCharType="begin" w:fldLock="1"/>
      </w:r>
      <w:r w:rsidR="00292816" w:rsidRPr="0004035F">
        <w:instrText xml:space="preserve"> REF _Ref480807905 \h </w:instrText>
      </w:r>
      <w:r w:rsidR="0004035F" w:rsidRPr="0004035F">
        <w:instrText xml:space="preserve"> \* MERGEFORMAT </w:instrText>
      </w:r>
      <w:r w:rsidR="00292816" w:rsidRPr="0004035F">
        <w:fldChar w:fldCharType="separate"/>
      </w:r>
      <w:r w:rsidR="002C549C" w:rsidRPr="00303F07">
        <w:t xml:space="preserve">Table </w:t>
      </w:r>
      <w:r w:rsidR="002C549C">
        <w:rPr>
          <w:noProof/>
        </w:rPr>
        <w:t>5</w:t>
      </w:r>
      <w:r w:rsidR="002C549C" w:rsidRPr="00303F07">
        <w:rPr>
          <w:noProof/>
        </w:rPr>
        <w:t>.</w:t>
      </w:r>
      <w:r w:rsidR="002C549C">
        <w:rPr>
          <w:noProof/>
        </w:rPr>
        <w:t>3</w:t>
      </w:r>
      <w:r w:rsidR="00292816" w:rsidRPr="0004035F">
        <w:fldChar w:fldCharType="end"/>
      </w:r>
      <w:r w:rsidR="00292816" w:rsidRPr="0004035F">
        <w:t xml:space="preserve"> and the accession numbers for the datasets are shown in </w:t>
      </w:r>
      <w:r w:rsidR="00292816" w:rsidRPr="0004035F">
        <w:fldChar w:fldCharType="begin" w:fldLock="1"/>
      </w:r>
      <w:r w:rsidR="00292816" w:rsidRPr="0004035F">
        <w:instrText xml:space="preserve"> REF _Ref480820666 \h </w:instrText>
      </w:r>
      <w:r w:rsidR="0004035F" w:rsidRPr="0004035F">
        <w:instrText xml:space="preserve"> \* MERGEFORMAT </w:instrText>
      </w:r>
      <w:r w:rsidR="00292816" w:rsidRPr="0004035F">
        <w:fldChar w:fldCharType="separate"/>
      </w:r>
      <w:r w:rsidR="002C549C" w:rsidRPr="00303F07">
        <w:t xml:space="preserve">Table </w:t>
      </w:r>
      <w:r w:rsidR="002C549C">
        <w:rPr>
          <w:noProof/>
        </w:rPr>
        <w:t>5</w:t>
      </w:r>
      <w:r w:rsidR="002C549C" w:rsidRPr="00303F07">
        <w:rPr>
          <w:noProof/>
        </w:rPr>
        <w:t>.</w:t>
      </w:r>
      <w:r w:rsidR="002C549C">
        <w:rPr>
          <w:noProof/>
        </w:rPr>
        <w:t>4</w:t>
      </w:r>
      <w:r w:rsidR="00292816" w:rsidRPr="0004035F">
        <w:fldChar w:fldCharType="end"/>
      </w:r>
      <w:r w:rsidR="00292816">
        <w:t>.</w:t>
      </w:r>
    </w:p>
    <w:p w14:paraId="78CF216F" w14:textId="0130AE49" w:rsidR="00E70A56" w:rsidRDefault="007108D5" w:rsidP="007108D5">
      <w:pPr>
        <w:pStyle w:val="Caption"/>
      </w:pPr>
      <w:bookmarkStart w:id="378" w:name="_Ref480807905"/>
      <w:bookmarkStart w:id="379" w:name="_Ref480968586"/>
      <w:bookmarkStart w:id="380" w:name="_Toc486786322"/>
      <w:r w:rsidRPr="00303F07">
        <w:t xml:space="preserve">Table </w:t>
      </w:r>
      <w:fldSimple w:instr=" STYLEREF 1 \s " w:fldLock="1">
        <w:r w:rsidR="002C549C">
          <w:rPr>
            <w:noProof/>
          </w:rPr>
          <w:t>5</w:t>
        </w:r>
      </w:fldSimple>
      <w:r w:rsidR="001167C6" w:rsidRPr="00303F07">
        <w:t>.</w:t>
      </w:r>
      <w:fldSimple w:instr=" SEQ Table \* ARABIC \s 1 " w:fldLock="1">
        <w:r w:rsidR="002C549C">
          <w:rPr>
            <w:noProof/>
          </w:rPr>
          <w:t>3</w:t>
        </w:r>
      </w:fldSimple>
      <w:bookmarkEnd w:id="378"/>
      <w:r w:rsidR="00083395">
        <w:t xml:space="preserve"> Paired end W</w:t>
      </w:r>
      <w:r>
        <w:t>GS datasets analysed for this study</w:t>
      </w:r>
      <w:r w:rsidR="00485576">
        <w:t xml:space="preserve">. The </w:t>
      </w:r>
      <w:r>
        <w:t xml:space="preserve">datasets </w:t>
      </w:r>
      <w:r w:rsidR="00050EC1">
        <w:t>and the lines they contain are listed. Each line was given</w:t>
      </w:r>
      <w:r>
        <w:t xml:space="preserve"> a coded name which is either a shortening of the full line name or includes the breed, where </w:t>
      </w:r>
      <w:r w:rsidR="00050EC1">
        <w:t>BL = Brown L</w:t>
      </w:r>
      <w:r w:rsidR="00290877">
        <w:t>eghorn, Br</w:t>
      </w:r>
      <w:r w:rsidR="00050EC1">
        <w:t xml:space="preserve"> = broiler, RIR = Rhode Island Red, RIW = Rhode Island W</w:t>
      </w:r>
      <w:r w:rsidR="00290877">
        <w:t>hite, RJF = red jungle fow</w:t>
      </w:r>
      <w:r w:rsidR="00050EC1">
        <w:t>l, WL = White Leghorn, and WPR = W</w:t>
      </w:r>
      <w:r w:rsidR="00290877">
        <w:t xml:space="preserve">hite Plymouth Rock. The RJF abbreviations include their countries (C = China, J = Java, S = Sumatra) and the Ethiopian village birds are abbreviated with the international code for Ethiopia (ETH). The Tibetan highland breeds are abbreviated as TIB-HL. </w:t>
      </w:r>
      <w:r w:rsidR="000F1981">
        <w:t xml:space="preserve">The library type is shown for each line, showing either the number of individuals used in each pool, or the number of individual (indiv) sequencing libraries available. </w:t>
      </w:r>
      <w:r w:rsidR="00050EC1">
        <w:t xml:space="preserve">The final </w:t>
      </w:r>
      <w:r w:rsidR="00485576">
        <w:t xml:space="preserve">column assigns each line a </w:t>
      </w:r>
      <w:r w:rsidR="00303F07">
        <w:t xml:space="preserve">group </w:t>
      </w:r>
      <w:r w:rsidR="00485576">
        <w:t xml:space="preserve">number (1-5) for </w:t>
      </w:r>
      <w:r w:rsidR="00303F07">
        <w:t>the GLM analysis</w:t>
      </w:r>
      <w:r w:rsidR="00485576">
        <w:t xml:space="preserve"> in section </w:t>
      </w:r>
      <w:r w:rsidR="00485576">
        <w:fldChar w:fldCharType="begin" w:fldLock="1"/>
      </w:r>
      <w:r w:rsidR="00485576">
        <w:instrText xml:space="preserve"> REF _Ref480884203 \r \h </w:instrText>
      </w:r>
      <w:r w:rsidR="00485576">
        <w:fldChar w:fldCharType="separate"/>
      </w:r>
      <w:r w:rsidR="002C549C">
        <w:t>7.4.1</w:t>
      </w:r>
      <w:r w:rsidR="00485576">
        <w:fldChar w:fldCharType="end"/>
      </w:r>
      <w:r w:rsidR="00485576">
        <w:t xml:space="preserve">. Group 1 is commercial white egg layers, group 2 is commercial brown egg layers, group 3 is </w:t>
      </w:r>
      <w:r w:rsidR="00303F07">
        <w:t>broilers, group 4 is generalist</w:t>
      </w:r>
      <w:r w:rsidR="00485576">
        <w:t xml:space="preserve"> and ‘native’ breeds, and group 5 is RJFs and ‘village’ chickens.</w:t>
      </w:r>
      <w:bookmarkEnd w:id="379"/>
      <w:bookmarkEnd w:id="380"/>
    </w:p>
    <w:tbl>
      <w:tblPr>
        <w:tblStyle w:val="TableGrid"/>
        <w:tblW w:w="85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8"/>
        <w:gridCol w:w="1701"/>
        <w:gridCol w:w="1559"/>
        <w:gridCol w:w="1417"/>
        <w:gridCol w:w="850"/>
      </w:tblGrid>
      <w:tr w:rsidR="00485576" w14:paraId="051EF212" w14:textId="6D2D7BFE" w:rsidTr="00014ACA">
        <w:trPr>
          <w:jc w:val="center"/>
        </w:trPr>
        <w:tc>
          <w:tcPr>
            <w:tcW w:w="2978" w:type="dxa"/>
            <w:tcBorders>
              <w:top w:val="single" w:sz="4" w:space="0" w:color="auto"/>
              <w:bottom w:val="single" w:sz="4" w:space="0" w:color="auto"/>
            </w:tcBorders>
            <w:vAlign w:val="center"/>
          </w:tcPr>
          <w:p w14:paraId="5397A442" w14:textId="77777777" w:rsidR="00485576" w:rsidRDefault="00485576" w:rsidP="00014ACA">
            <w:pPr>
              <w:pStyle w:val="Tablecontent"/>
            </w:pPr>
            <w:r>
              <w:lastRenderedPageBreak/>
              <w:t>Dataset</w:t>
            </w:r>
          </w:p>
        </w:tc>
        <w:tc>
          <w:tcPr>
            <w:tcW w:w="1701" w:type="dxa"/>
            <w:tcBorders>
              <w:top w:val="single" w:sz="4" w:space="0" w:color="auto"/>
              <w:bottom w:val="single" w:sz="4" w:space="0" w:color="auto"/>
            </w:tcBorders>
            <w:vAlign w:val="center"/>
          </w:tcPr>
          <w:p w14:paraId="7B855FAD" w14:textId="77777777" w:rsidR="00485576" w:rsidRDefault="00485576" w:rsidP="00014ACA">
            <w:pPr>
              <w:pStyle w:val="Tablecontent"/>
            </w:pPr>
            <w:r>
              <w:t>Line</w:t>
            </w:r>
          </w:p>
        </w:tc>
        <w:tc>
          <w:tcPr>
            <w:tcW w:w="1559" w:type="dxa"/>
            <w:tcBorders>
              <w:top w:val="single" w:sz="4" w:space="0" w:color="auto"/>
              <w:bottom w:val="single" w:sz="4" w:space="0" w:color="auto"/>
            </w:tcBorders>
          </w:tcPr>
          <w:p w14:paraId="46B458AC" w14:textId="77777777" w:rsidR="00485576" w:rsidRDefault="00485576" w:rsidP="00014ACA">
            <w:pPr>
              <w:pStyle w:val="Tablecontent"/>
            </w:pPr>
            <w:r>
              <w:t>Code</w:t>
            </w:r>
          </w:p>
        </w:tc>
        <w:tc>
          <w:tcPr>
            <w:tcW w:w="1417" w:type="dxa"/>
            <w:tcBorders>
              <w:top w:val="single" w:sz="4" w:space="0" w:color="auto"/>
              <w:bottom w:val="single" w:sz="4" w:space="0" w:color="auto"/>
            </w:tcBorders>
          </w:tcPr>
          <w:p w14:paraId="0FBA9CD3" w14:textId="77777777" w:rsidR="00485576" w:rsidRDefault="00485576" w:rsidP="00014ACA">
            <w:pPr>
              <w:pStyle w:val="Tablecontent"/>
            </w:pPr>
            <w:r>
              <w:t>Library type</w:t>
            </w:r>
          </w:p>
        </w:tc>
        <w:tc>
          <w:tcPr>
            <w:tcW w:w="850" w:type="dxa"/>
            <w:tcBorders>
              <w:top w:val="single" w:sz="4" w:space="0" w:color="auto"/>
              <w:bottom w:val="single" w:sz="4" w:space="0" w:color="auto"/>
            </w:tcBorders>
          </w:tcPr>
          <w:p w14:paraId="04FAA7F4" w14:textId="523A77D6" w:rsidR="00485576" w:rsidRDefault="00485576" w:rsidP="00014ACA">
            <w:pPr>
              <w:pStyle w:val="Tablecontent"/>
              <w:jc w:val="center"/>
            </w:pPr>
            <w:r>
              <w:t>Group</w:t>
            </w:r>
          </w:p>
        </w:tc>
      </w:tr>
      <w:tr w:rsidR="00485576" w14:paraId="70CB619E" w14:textId="1F09E5AE" w:rsidTr="00014ACA">
        <w:trPr>
          <w:jc w:val="center"/>
        </w:trPr>
        <w:tc>
          <w:tcPr>
            <w:tcW w:w="2978" w:type="dxa"/>
            <w:vMerge w:val="restart"/>
            <w:tcBorders>
              <w:top w:val="single" w:sz="4" w:space="0" w:color="auto"/>
            </w:tcBorders>
          </w:tcPr>
          <w:p w14:paraId="0F393E7C" w14:textId="77777777" w:rsidR="00485576" w:rsidRDefault="00485576" w:rsidP="00014ACA">
            <w:pPr>
              <w:pStyle w:val="Tablecontent"/>
            </w:pPr>
            <w:r>
              <w:t xml:space="preserve">Arkansas </w:t>
            </w:r>
            <w:r w:rsidRPr="004A265B">
              <w:t xml:space="preserve">vitiligo </w:t>
            </w:r>
            <w:r>
              <w:t>model</w:t>
            </w:r>
          </w:p>
        </w:tc>
        <w:tc>
          <w:tcPr>
            <w:tcW w:w="1701" w:type="dxa"/>
            <w:tcBorders>
              <w:top w:val="single" w:sz="4" w:space="0" w:color="auto"/>
            </w:tcBorders>
          </w:tcPr>
          <w:p w14:paraId="221ED964" w14:textId="77777777" w:rsidR="00485576" w:rsidRDefault="00485576" w:rsidP="00014ACA">
            <w:pPr>
              <w:pStyle w:val="Tablecontent"/>
            </w:pPr>
            <w:r>
              <w:t xml:space="preserve">Brown </w:t>
            </w:r>
          </w:p>
        </w:tc>
        <w:tc>
          <w:tcPr>
            <w:tcW w:w="1559" w:type="dxa"/>
            <w:tcBorders>
              <w:top w:val="single" w:sz="4" w:space="0" w:color="auto"/>
            </w:tcBorders>
          </w:tcPr>
          <w:p w14:paraId="1486899A" w14:textId="77777777" w:rsidR="00485576" w:rsidRDefault="00485576" w:rsidP="00014ACA">
            <w:pPr>
              <w:pStyle w:val="Tablecontent"/>
            </w:pPr>
            <w:r>
              <w:t>BL-Br</w:t>
            </w:r>
          </w:p>
        </w:tc>
        <w:tc>
          <w:tcPr>
            <w:tcW w:w="1417" w:type="dxa"/>
            <w:tcBorders>
              <w:top w:val="single" w:sz="4" w:space="0" w:color="auto"/>
            </w:tcBorders>
          </w:tcPr>
          <w:p w14:paraId="08599C3C" w14:textId="77777777" w:rsidR="00485576" w:rsidRDefault="00485576" w:rsidP="00014ACA">
            <w:pPr>
              <w:pStyle w:val="Tablecontent"/>
            </w:pPr>
            <w:r>
              <w:t>Pool (10)</w:t>
            </w:r>
          </w:p>
        </w:tc>
        <w:tc>
          <w:tcPr>
            <w:tcW w:w="850" w:type="dxa"/>
            <w:tcBorders>
              <w:top w:val="single" w:sz="4" w:space="0" w:color="auto"/>
            </w:tcBorders>
          </w:tcPr>
          <w:p w14:paraId="59BCF3DD" w14:textId="3BC50D4C" w:rsidR="00485576" w:rsidRDefault="00485576" w:rsidP="00014ACA">
            <w:pPr>
              <w:pStyle w:val="Tablecontent"/>
              <w:jc w:val="center"/>
            </w:pPr>
            <w:r>
              <w:t>1</w:t>
            </w:r>
          </w:p>
        </w:tc>
      </w:tr>
      <w:tr w:rsidR="00485576" w14:paraId="34E59F20" w14:textId="40E45335" w:rsidTr="00014ACA">
        <w:trPr>
          <w:jc w:val="center"/>
        </w:trPr>
        <w:tc>
          <w:tcPr>
            <w:tcW w:w="2978" w:type="dxa"/>
            <w:vMerge/>
          </w:tcPr>
          <w:p w14:paraId="456CD09A" w14:textId="77777777" w:rsidR="00485576" w:rsidRDefault="00485576" w:rsidP="00014ACA">
            <w:pPr>
              <w:pStyle w:val="Tablecontent"/>
            </w:pPr>
          </w:p>
        </w:tc>
        <w:tc>
          <w:tcPr>
            <w:tcW w:w="1701" w:type="dxa"/>
          </w:tcPr>
          <w:p w14:paraId="7A8B747D" w14:textId="77777777" w:rsidR="00485576" w:rsidRDefault="00485576" w:rsidP="00014ACA">
            <w:pPr>
              <w:pStyle w:val="Tablecontent"/>
            </w:pPr>
            <w:r>
              <w:t>Smyth</w:t>
            </w:r>
          </w:p>
        </w:tc>
        <w:tc>
          <w:tcPr>
            <w:tcW w:w="1559" w:type="dxa"/>
          </w:tcPr>
          <w:p w14:paraId="5300E9BA" w14:textId="77777777" w:rsidR="00485576" w:rsidRDefault="00485576" w:rsidP="00014ACA">
            <w:pPr>
              <w:pStyle w:val="Tablecontent"/>
            </w:pPr>
            <w:r>
              <w:t>BL-Sm</w:t>
            </w:r>
          </w:p>
        </w:tc>
        <w:tc>
          <w:tcPr>
            <w:tcW w:w="1417" w:type="dxa"/>
          </w:tcPr>
          <w:p w14:paraId="65136A65" w14:textId="77777777" w:rsidR="00485576" w:rsidRDefault="00485576" w:rsidP="00014ACA">
            <w:pPr>
              <w:pStyle w:val="Tablecontent"/>
            </w:pPr>
            <w:r>
              <w:t>Pool (10)</w:t>
            </w:r>
          </w:p>
        </w:tc>
        <w:tc>
          <w:tcPr>
            <w:tcW w:w="850" w:type="dxa"/>
          </w:tcPr>
          <w:p w14:paraId="1258DDA4" w14:textId="16B9B892" w:rsidR="00485576" w:rsidRDefault="00485576" w:rsidP="00014ACA">
            <w:pPr>
              <w:pStyle w:val="Tablecontent"/>
              <w:jc w:val="center"/>
            </w:pPr>
            <w:r>
              <w:t>1</w:t>
            </w:r>
          </w:p>
        </w:tc>
      </w:tr>
      <w:tr w:rsidR="00485576" w14:paraId="6CF1A95C" w14:textId="763B97B2" w:rsidTr="00014ACA">
        <w:trPr>
          <w:jc w:val="center"/>
        </w:trPr>
        <w:tc>
          <w:tcPr>
            <w:tcW w:w="2978" w:type="dxa"/>
          </w:tcPr>
          <w:p w14:paraId="681660D2" w14:textId="77777777" w:rsidR="00485576" w:rsidRDefault="00485576" w:rsidP="00014ACA">
            <w:pPr>
              <w:pStyle w:val="Tablecontent"/>
            </w:pPr>
            <w:r>
              <w:t>Cobb heritage broiler</w:t>
            </w:r>
          </w:p>
        </w:tc>
        <w:tc>
          <w:tcPr>
            <w:tcW w:w="1701" w:type="dxa"/>
          </w:tcPr>
          <w:p w14:paraId="3D8D3C18" w14:textId="77777777" w:rsidR="00485576" w:rsidRDefault="00485576" w:rsidP="00014ACA">
            <w:pPr>
              <w:pStyle w:val="Tablecontent"/>
            </w:pPr>
            <w:r>
              <w:t>-</w:t>
            </w:r>
          </w:p>
        </w:tc>
        <w:tc>
          <w:tcPr>
            <w:tcW w:w="1559" w:type="dxa"/>
          </w:tcPr>
          <w:p w14:paraId="6E473C75" w14:textId="77777777" w:rsidR="00485576" w:rsidRDefault="00485576" w:rsidP="00014ACA">
            <w:pPr>
              <w:pStyle w:val="Tablecontent"/>
            </w:pPr>
            <w:r>
              <w:t>Br-Cobb</w:t>
            </w:r>
          </w:p>
        </w:tc>
        <w:tc>
          <w:tcPr>
            <w:tcW w:w="1417" w:type="dxa"/>
          </w:tcPr>
          <w:p w14:paraId="3DE7493E" w14:textId="77777777" w:rsidR="00485576" w:rsidRDefault="00485576" w:rsidP="00014ACA">
            <w:pPr>
              <w:pStyle w:val="Tablecontent"/>
            </w:pPr>
            <w:r>
              <w:t>Indiv (20)</w:t>
            </w:r>
          </w:p>
        </w:tc>
        <w:tc>
          <w:tcPr>
            <w:tcW w:w="850" w:type="dxa"/>
          </w:tcPr>
          <w:p w14:paraId="67376D91" w14:textId="0139697E" w:rsidR="00485576" w:rsidRDefault="00485576" w:rsidP="00014ACA">
            <w:pPr>
              <w:pStyle w:val="Tablecontent"/>
              <w:jc w:val="center"/>
            </w:pPr>
            <w:r>
              <w:t>3</w:t>
            </w:r>
          </w:p>
        </w:tc>
      </w:tr>
      <w:tr w:rsidR="00485576" w14:paraId="724A6C3F" w14:textId="54732EB6" w:rsidTr="00014ACA">
        <w:trPr>
          <w:jc w:val="center"/>
        </w:trPr>
        <w:tc>
          <w:tcPr>
            <w:tcW w:w="2978" w:type="dxa"/>
          </w:tcPr>
          <w:p w14:paraId="0DFB2676" w14:textId="77777777" w:rsidR="00485576" w:rsidRDefault="00485576" w:rsidP="00014ACA">
            <w:pPr>
              <w:pStyle w:val="Tablecontent"/>
            </w:pPr>
            <w:r>
              <w:t>Commercial 1995 broiler</w:t>
            </w:r>
          </w:p>
        </w:tc>
        <w:tc>
          <w:tcPr>
            <w:tcW w:w="1701" w:type="dxa"/>
          </w:tcPr>
          <w:p w14:paraId="76FF300A" w14:textId="77777777" w:rsidR="00485576" w:rsidRDefault="00485576" w:rsidP="00014ACA">
            <w:pPr>
              <w:pStyle w:val="Tablecontent"/>
            </w:pPr>
            <w:r>
              <w:t>-</w:t>
            </w:r>
          </w:p>
        </w:tc>
        <w:tc>
          <w:tcPr>
            <w:tcW w:w="1559" w:type="dxa"/>
          </w:tcPr>
          <w:p w14:paraId="36E2F229" w14:textId="77777777" w:rsidR="00485576" w:rsidRDefault="00485576" w:rsidP="00014ACA">
            <w:pPr>
              <w:pStyle w:val="Tablecontent"/>
            </w:pPr>
            <w:r>
              <w:t>Br-REL</w:t>
            </w:r>
          </w:p>
        </w:tc>
        <w:tc>
          <w:tcPr>
            <w:tcW w:w="1417" w:type="dxa"/>
          </w:tcPr>
          <w:p w14:paraId="3B70D28E" w14:textId="236C8036" w:rsidR="00485576" w:rsidRDefault="00485576" w:rsidP="00014ACA">
            <w:pPr>
              <w:pStyle w:val="Tablecontent"/>
            </w:pPr>
            <w:r>
              <w:t>8 x Pool (10)</w:t>
            </w:r>
          </w:p>
        </w:tc>
        <w:tc>
          <w:tcPr>
            <w:tcW w:w="850" w:type="dxa"/>
          </w:tcPr>
          <w:p w14:paraId="61D3F08E" w14:textId="2618108E" w:rsidR="00485576" w:rsidRDefault="00485576" w:rsidP="00014ACA">
            <w:pPr>
              <w:pStyle w:val="Tablecontent"/>
              <w:jc w:val="center"/>
            </w:pPr>
            <w:r>
              <w:t>3</w:t>
            </w:r>
          </w:p>
        </w:tc>
      </w:tr>
      <w:tr w:rsidR="00485576" w14:paraId="23ECA517" w14:textId="1AC05BC5" w:rsidTr="00014ACA">
        <w:trPr>
          <w:jc w:val="center"/>
        </w:trPr>
        <w:tc>
          <w:tcPr>
            <w:tcW w:w="2978" w:type="dxa"/>
          </w:tcPr>
          <w:p w14:paraId="2C27A4D9" w14:textId="77777777" w:rsidR="00485576" w:rsidRDefault="00485576" w:rsidP="00014ACA">
            <w:pPr>
              <w:pStyle w:val="Tablecontent"/>
            </w:pPr>
            <w:r>
              <w:t>Egg shell strength</w:t>
            </w:r>
          </w:p>
        </w:tc>
        <w:tc>
          <w:tcPr>
            <w:tcW w:w="1701" w:type="dxa"/>
          </w:tcPr>
          <w:p w14:paraId="07EBEB55" w14:textId="77777777" w:rsidR="00485576" w:rsidRDefault="00485576" w:rsidP="00014ACA">
            <w:pPr>
              <w:pStyle w:val="Tablecontent"/>
            </w:pPr>
            <w:r>
              <w:t>High</w:t>
            </w:r>
          </w:p>
        </w:tc>
        <w:tc>
          <w:tcPr>
            <w:tcW w:w="1559" w:type="dxa"/>
          </w:tcPr>
          <w:p w14:paraId="00AFCED6" w14:textId="77777777" w:rsidR="00485576" w:rsidRDefault="00485576" w:rsidP="00014ACA">
            <w:pPr>
              <w:pStyle w:val="Tablecontent"/>
            </w:pPr>
            <w:r>
              <w:t>RIW-ESH</w:t>
            </w:r>
          </w:p>
        </w:tc>
        <w:tc>
          <w:tcPr>
            <w:tcW w:w="1417" w:type="dxa"/>
          </w:tcPr>
          <w:p w14:paraId="739E88A2" w14:textId="77777777" w:rsidR="00485576" w:rsidRDefault="00485576" w:rsidP="00014ACA">
            <w:pPr>
              <w:pStyle w:val="Tablecontent"/>
            </w:pPr>
            <w:r>
              <w:t>Pool (8)</w:t>
            </w:r>
          </w:p>
        </w:tc>
        <w:tc>
          <w:tcPr>
            <w:tcW w:w="850" w:type="dxa"/>
          </w:tcPr>
          <w:p w14:paraId="608D426C" w14:textId="5377FF5A" w:rsidR="00485576" w:rsidRDefault="00485576" w:rsidP="00014ACA">
            <w:pPr>
              <w:pStyle w:val="Tablecontent"/>
              <w:jc w:val="center"/>
            </w:pPr>
            <w:r>
              <w:t>2</w:t>
            </w:r>
          </w:p>
        </w:tc>
      </w:tr>
      <w:tr w:rsidR="00485576" w14:paraId="592D193C" w14:textId="263A095F" w:rsidTr="00014ACA">
        <w:trPr>
          <w:jc w:val="center"/>
        </w:trPr>
        <w:tc>
          <w:tcPr>
            <w:tcW w:w="2978" w:type="dxa"/>
          </w:tcPr>
          <w:p w14:paraId="48863A7F" w14:textId="77777777" w:rsidR="00485576" w:rsidRDefault="00485576" w:rsidP="00014ACA">
            <w:pPr>
              <w:pStyle w:val="Tablecontent"/>
            </w:pPr>
          </w:p>
        </w:tc>
        <w:tc>
          <w:tcPr>
            <w:tcW w:w="1701" w:type="dxa"/>
          </w:tcPr>
          <w:p w14:paraId="607EFD7D" w14:textId="77777777" w:rsidR="00485576" w:rsidRDefault="00485576" w:rsidP="00014ACA">
            <w:pPr>
              <w:pStyle w:val="Tablecontent"/>
            </w:pPr>
            <w:r>
              <w:t>Low</w:t>
            </w:r>
          </w:p>
        </w:tc>
        <w:tc>
          <w:tcPr>
            <w:tcW w:w="1559" w:type="dxa"/>
          </w:tcPr>
          <w:p w14:paraId="02CF9F12" w14:textId="77777777" w:rsidR="00485576" w:rsidRDefault="00485576" w:rsidP="00014ACA">
            <w:pPr>
              <w:pStyle w:val="Tablecontent"/>
            </w:pPr>
            <w:r>
              <w:t>RIW-ESL</w:t>
            </w:r>
          </w:p>
        </w:tc>
        <w:tc>
          <w:tcPr>
            <w:tcW w:w="1417" w:type="dxa"/>
          </w:tcPr>
          <w:p w14:paraId="72163646" w14:textId="77777777" w:rsidR="00485576" w:rsidRDefault="00485576" w:rsidP="00014ACA">
            <w:pPr>
              <w:pStyle w:val="Tablecontent"/>
            </w:pPr>
            <w:r>
              <w:t>Pool (8)</w:t>
            </w:r>
          </w:p>
        </w:tc>
        <w:tc>
          <w:tcPr>
            <w:tcW w:w="850" w:type="dxa"/>
          </w:tcPr>
          <w:p w14:paraId="1B8636B7" w14:textId="157EAF7B" w:rsidR="00485576" w:rsidRDefault="00485576" w:rsidP="00014ACA">
            <w:pPr>
              <w:pStyle w:val="Tablecontent"/>
              <w:jc w:val="center"/>
            </w:pPr>
            <w:r>
              <w:t>2</w:t>
            </w:r>
          </w:p>
        </w:tc>
      </w:tr>
      <w:tr w:rsidR="00485576" w14:paraId="5C9F6B41" w14:textId="06EDBC9C" w:rsidTr="00014ACA">
        <w:trPr>
          <w:jc w:val="center"/>
        </w:trPr>
        <w:tc>
          <w:tcPr>
            <w:tcW w:w="2978" w:type="dxa"/>
          </w:tcPr>
          <w:p w14:paraId="322E02AA" w14:textId="77777777" w:rsidR="00485576" w:rsidRDefault="00485576" w:rsidP="00014ACA">
            <w:pPr>
              <w:pStyle w:val="Tablecontent"/>
            </w:pPr>
            <w:r>
              <w:t>Ethiopian village birds</w:t>
            </w:r>
          </w:p>
        </w:tc>
        <w:tc>
          <w:tcPr>
            <w:tcW w:w="1701" w:type="dxa"/>
          </w:tcPr>
          <w:p w14:paraId="2A2914DE" w14:textId="77777777" w:rsidR="00485576" w:rsidRDefault="00485576" w:rsidP="00014ACA">
            <w:pPr>
              <w:pStyle w:val="Tablecontent"/>
            </w:pPr>
            <w:r>
              <w:t>Horro</w:t>
            </w:r>
          </w:p>
        </w:tc>
        <w:tc>
          <w:tcPr>
            <w:tcW w:w="1559" w:type="dxa"/>
          </w:tcPr>
          <w:p w14:paraId="05124BB7" w14:textId="77777777" w:rsidR="00485576" w:rsidRDefault="00485576" w:rsidP="00014ACA">
            <w:pPr>
              <w:pStyle w:val="Tablecontent"/>
            </w:pPr>
            <w:r>
              <w:t>ETH-Horro</w:t>
            </w:r>
          </w:p>
        </w:tc>
        <w:tc>
          <w:tcPr>
            <w:tcW w:w="1417" w:type="dxa"/>
          </w:tcPr>
          <w:p w14:paraId="29EF4E66" w14:textId="77777777" w:rsidR="00485576" w:rsidRDefault="00485576" w:rsidP="00014ACA">
            <w:pPr>
              <w:pStyle w:val="Tablecontent"/>
            </w:pPr>
            <w:r>
              <w:t>Indiv (6)</w:t>
            </w:r>
          </w:p>
        </w:tc>
        <w:tc>
          <w:tcPr>
            <w:tcW w:w="850" w:type="dxa"/>
          </w:tcPr>
          <w:p w14:paraId="69697400" w14:textId="204CD1F6" w:rsidR="00485576" w:rsidRDefault="00485576" w:rsidP="00014ACA">
            <w:pPr>
              <w:pStyle w:val="Tablecontent"/>
              <w:jc w:val="center"/>
            </w:pPr>
            <w:r>
              <w:t>5</w:t>
            </w:r>
          </w:p>
        </w:tc>
      </w:tr>
      <w:tr w:rsidR="00485576" w14:paraId="7FFFE5EC" w14:textId="0D942135" w:rsidTr="00014ACA">
        <w:trPr>
          <w:jc w:val="center"/>
        </w:trPr>
        <w:tc>
          <w:tcPr>
            <w:tcW w:w="2978" w:type="dxa"/>
          </w:tcPr>
          <w:p w14:paraId="6AE29266" w14:textId="77777777" w:rsidR="00485576" w:rsidRDefault="00485576" w:rsidP="00014ACA">
            <w:pPr>
              <w:pStyle w:val="Tablecontent"/>
            </w:pPr>
          </w:p>
        </w:tc>
        <w:tc>
          <w:tcPr>
            <w:tcW w:w="1701" w:type="dxa"/>
          </w:tcPr>
          <w:p w14:paraId="11174194" w14:textId="77777777" w:rsidR="00485576" w:rsidRDefault="00485576" w:rsidP="00014ACA">
            <w:pPr>
              <w:pStyle w:val="Tablecontent"/>
            </w:pPr>
            <w:r>
              <w:t>Jarso</w:t>
            </w:r>
          </w:p>
        </w:tc>
        <w:tc>
          <w:tcPr>
            <w:tcW w:w="1559" w:type="dxa"/>
          </w:tcPr>
          <w:p w14:paraId="443B7B3F" w14:textId="77777777" w:rsidR="00485576" w:rsidRDefault="00485576" w:rsidP="00014ACA">
            <w:pPr>
              <w:pStyle w:val="Tablecontent"/>
            </w:pPr>
            <w:r>
              <w:t>ETH-Jarso</w:t>
            </w:r>
          </w:p>
        </w:tc>
        <w:tc>
          <w:tcPr>
            <w:tcW w:w="1417" w:type="dxa"/>
          </w:tcPr>
          <w:p w14:paraId="38F3E75E" w14:textId="77777777" w:rsidR="00485576" w:rsidRDefault="00485576" w:rsidP="00014ACA">
            <w:pPr>
              <w:pStyle w:val="Tablecontent"/>
            </w:pPr>
            <w:r>
              <w:t>Indiv (5)</w:t>
            </w:r>
          </w:p>
        </w:tc>
        <w:tc>
          <w:tcPr>
            <w:tcW w:w="850" w:type="dxa"/>
          </w:tcPr>
          <w:p w14:paraId="06CAB5BD" w14:textId="5530FB3E" w:rsidR="00485576" w:rsidRDefault="00485576" w:rsidP="00014ACA">
            <w:pPr>
              <w:pStyle w:val="Tablecontent"/>
              <w:jc w:val="center"/>
            </w:pPr>
            <w:r>
              <w:t>5</w:t>
            </w:r>
          </w:p>
        </w:tc>
      </w:tr>
      <w:tr w:rsidR="00485576" w14:paraId="21596563" w14:textId="29AAD214" w:rsidTr="00014ACA">
        <w:trPr>
          <w:jc w:val="center"/>
        </w:trPr>
        <w:tc>
          <w:tcPr>
            <w:tcW w:w="2978" w:type="dxa"/>
          </w:tcPr>
          <w:p w14:paraId="17249AB4" w14:textId="77777777" w:rsidR="00485576" w:rsidRDefault="00485576" w:rsidP="00014ACA">
            <w:pPr>
              <w:pStyle w:val="Tablecontent"/>
            </w:pPr>
            <w:r>
              <w:t>Fat-Lean broilers</w:t>
            </w:r>
          </w:p>
        </w:tc>
        <w:tc>
          <w:tcPr>
            <w:tcW w:w="1701" w:type="dxa"/>
          </w:tcPr>
          <w:p w14:paraId="724FAA8D" w14:textId="77777777" w:rsidR="00485576" w:rsidRDefault="00485576" w:rsidP="00014ACA">
            <w:pPr>
              <w:pStyle w:val="Tablecontent"/>
            </w:pPr>
            <w:r>
              <w:t>Fat</w:t>
            </w:r>
          </w:p>
        </w:tc>
        <w:tc>
          <w:tcPr>
            <w:tcW w:w="1559" w:type="dxa"/>
          </w:tcPr>
          <w:p w14:paraId="754EE824" w14:textId="77777777" w:rsidR="00485576" w:rsidRDefault="00485576" w:rsidP="00014ACA">
            <w:pPr>
              <w:pStyle w:val="Tablecontent"/>
            </w:pPr>
            <w:r>
              <w:t>Br-VLDL-F</w:t>
            </w:r>
          </w:p>
        </w:tc>
        <w:tc>
          <w:tcPr>
            <w:tcW w:w="1417" w:type="dxa"/>
          </w:tcPr>
          <w:p w14:paraId="6F2CB645" w14:textId="77777777" w:rsidR="00485576" w:rsidRDefault="00485576" w:rsidP="00014ACA">
            <w:pPr>
              <w:pStyle w:val="Tablecontent"/>
            </w:pPr>
            <w:r>
              <w:t>Indiv (4)</w:t>
            </w:r>
          </w:p>
        </w:tc>
        <w:tc>
          <w:tcPr>
            <w:tcW w:w="850" w:type="dxa"/>
          </w:tcPr>
          <w:p w14:paraId="194A0882" w14:textId="061398B4" w:rsidR="00485576" w:rsidRDefault="00485576" w:rsidP="00014ACA">
            <w:pPr>
              <w:pStyle w:val="Tablecontent"/>
              <w:jc w:val="center"/>
            </w:pPr>
            <w:r>
              <w:t>3</w:t>
            </w:r>
          </w:p>
        </w:tc>
      </w:tr>
      <w:tr w:rsidR="00485576" w14:paraId="17B07505" w14:textId="48352264" w:rsidTr="00014ACA">
        <w:trPr>
          <w:jc w:val="center"/>
        </w:trPr>
        <w:tc>
          <w:tcPr>
            <w:tcW w:w="2978" w:type="dxa"/>
          </w:tcPr>
          <w:p w14:paraId="7D93453A" w14:textId="77777777" w:rsidR="00485576" w:rsidRDefault="00485576" w:rsidP="00014ACA">
            <w:pPr>
              <w:pStyle w:val="Tablecontent"/>
            </w:pPr>
          </w:p>
        </w:tc>
        <w:tc>
          <w:tcPr>
            <w:tcW w:w="1701" w:type="dxa"/>
          </w:tcPr>
          <w:p w14:paraId="15D3C01A" w14:textId="77777777" w:rsidR="00485576" w:rsidRDefault="00485576" w:rsidP="00014ACA">
            <w:pPr>
              <w:pStyle w:val="Tablecontent"/>
            </w:pPr>
            <w:r>
              <w:t>Lean</w:t>
            </w:r>
          </w:p>
        </w:tc>
        <w:tc>
          <w:tcPr>
            <w:tcW w:w="1559" w:type="dxa"/>
          </w:tcPr>
          <w:p w14:paraId="777D6D00" w14:textId="77777777" w:rsidR="00485576" w:rsidRDefault="00485576" w:rsidP="00014ACA">
            <w:pPr>
              <w:pStyle w:val="Tablecontent"/>
            </w:pPr>
            <w:r>
              <w:t>Br-VLDL-L</w:t>
            </w:r>
          </w:p>
        </w:tc>
        <w:tc>
          <w:tcPr>
            <w:tcW w:w="1417" w:type="dxa"/>
          </w:tcPr>
          <w:p w14:paraId="21CB84C0" w14:textId="77777777" w:rsidR="00485576" w:rsidRDefault="00485576" w:rsidP="00014ACA">
            <w:pPr>
              <w:pStyle w:val="Tablecontent"/>
            </w:pPr>
            <w:r>
              <w:t>Indiv (4)</w:t>
            </w:r>
          </w:p>
        </w:tc>
        <w:tc>
          <w:tcPr>
            <w:tcW w:w="850" w:type="dxa"/>
          </w:tcPr>
          <w:p w14:paraId="397534E3" w14:textId="0B9BE47C" w:rsidR="00485576" w:rsidRDefault="00485576" w:rsidP="00014ACA">
            <w:pPr>
              <w:pStyle w:val="Tablecontent"/>
              <w:jc w:val="center"/>
            </w:pPr>
            <w:r>
              <w:t>3</w:t>
            </w:r>
          </w:p>
        </w:tc>
      </w:tr>
      <w:tr w:rsidR="00485576" w14:paraId="3CDED9F8" w14:textId="607ACB25" w:rsidTr="00014ACA">
        <w:trPr>
          <w:jc w:val="center"/>
        </w:trPr>
        <w:tc>
          <w:tcPr>
            <w:tcW w:w="2978" w:type="dxa"/>
          </w:tcPr>
          <w:p w14:paraId="67860E4A" w14:textId="77777777" w:rsidR="00485576" w:rsidRDefault="00485576" w:rsidP="00014ACA">
            <w:pPr>
              <w:pStyle w:val="Tablecontent"/>
            </w:pPr>
            <w:r>
              <w:t>High and Low antibody</w:t>
            </w:r>
          </w:p>
        </w:tc>
        <w:tc>
          <w:tcPr>
            <w:tcW w:w="1701" w:type="dxa"/>
          </w:tcPr>
          <w:p w14:paraId="1CDF260B" w14:textId="77777777" w:rsidR="00485576" w:rsidRDefault="00485576" w:rsidP="00014ACA">
            <w:pPr>
              <w:pStyle w:val="Tablecontent"/>
            </w:pPr>
            <w:r>
              <w:t>High</w:t>
            </w:r>
          </w:p>
        </w:tc>
        <w:tc>
          <w:tcPr>
            <w:tcW w:w="1559" w:type="dxa"/>
          </w:tcPr>
          <w:p w14:paraId="37C342D2" w14:textId="77777777" w:rsidR="00485576" w:rsidRDefault="00485576" w:rsidP="00014ACA">
            <w:pPr>
              <w:pStyle w:val="Tablecontent"/>
            </w:pPr>
            <w:r>
              <w:t>WL-HA</w:t>
            </w:r>
          </w:p>
        </w:tc>
        <w:tc>
          <w:tcPr>
            <w:tcW w:w="1417" w:type="dxa"/>
          </w:tcPr>
          <w:p w14:paraId="58E74F6C" w14:textId="77777777" w:rsidR="00485576" w:rsidRDefault="00485576" w:rsidP="00014ACA">
            <w:pPr>
              <w:pStyle w:val="Tablecontent"/>
            </w:pPr>
            <w:r>
              <w:t>Pool (16)</w:t>
            </w:r>
          </w:p>
        </w:tc>
        <w:tc>
          <w:tcPr>
            <w:tcW w:w="850" w:type="dxa"/>
          </w:tcPr>
          <w:p w14:paraId="61D02CBF" w14:textId="03875916" w:rsidR="00485576" w:rsidRDefault="00485576" w:rsidP="00014ACA">
            <w:pPr>
              <w:pStyle w:val="Tablecontent"/>
              <w:jc w:val="center"/>
            </w:pPr>
            <w:r>
              <w:t>1</w:t>
            </w:r>
          </w:p>
        </w:tc>
      </w:tr>
      <w:tr w:rsidR="00485576" w14:paraId="48FA4E44" w14:textId="0A518138" w:rsidTr="00014ACA">
        <w:trPr>
          <w:jc w:val="center"/>
        </w:trPr>
        <w:tc>
          <w:tcPr>
            <w:tcW w:w="2978" w:type="dxa"/>
          </w:tcPr>
          <w:p w14:paraId="4C5CE2F9" w14:textId="77777777" w:rsidR="00485576" w:rsidRDefault="00485576" w:rsidP="00014ACA">
            <w:pPr>
              <w:pStyle w:val="Tablecontent"/>
            </w:pPr>
          </w:p>
        </w:tc>
        <w:tc>
          <w:tcPr>
            <w:tcW w:w="1701" w:type="dxa"/>
          </w:tcPr>
          <w:p w14:paraId="227C492B" w14:textId="77777777" w:rsidR="00485576" w:rsidRDefault="00485576" w:rsidP="00014ACA">
            <w:pPr>
              <w:pStyle w:val="Tablecontent"/>
            </w:pPr>
            <w:r>
              <w:t>Low</w:t>
            </w:r>
          </w:p>
        </w:tc>
        <w:tc>
          <w:tcPr>
            <w:tcW w:w="1559" w:type="dxa"/>
          </w:tcPr>
          <w:p w14:paraId="150FC0E1" w14:textId="77777777" w:rsidR="00485576" w:rsidRDefault="00485576" w:rsidP="00014ACA">
            <w:pPr>
              <w:pStyle w:val="Tablecontent"/>
            </w:pPr>
            <w:r>
              <w:t>WL-La</w:t>
            </w:r>
          </w:p>
        </w:tc>
        <w:tc>
          <w:tcPr>
            <w:tcW w:w="1417" w:type="dxa"/>
          </w:tcPr>
          <w:p w14:paraId="18672B71" w14:textId="77777777" w:rsidR="00485576" w:rsidRDefault="00485576" w:rsidP="00014ACA">
            <w:pPr>
              <w:pStyle w:val="Tablecontent"/>
            </w:pPr>
            <w:r>
              <w:t>Pool (16)</w:t>
            </w:r>
          </w:p>
        </w:tc>
        <w:tc>
          <w:tcPr>
            <w:tcW w:w="850" w:type="dxa"/>
          </w:tcPr>
          <w:p w14:paraId="73D6EF0C" w14:textId="6A796191" w:rsidR="00485576" w:rsidRDefault="00485576" w:rsidP="00014ACA">
            <w:pPr>
              <w:pStyle w:val="Tablecontent"/>
              <w:jc w:val="center"/>
            </w:pPr>
            <w:r>
              <w:t>1</w:t>
            </w:r>
          </w:p>
        </w:tc>
      </w:tr>
      <w:tr w:rsidR="00485576" w14:paraId="19D43115" w14:textId="179D97EC" w:rsidTr="00014ACA">
        <w:trPr>
          <w:jc w:val="center"/>
        </w:trPr>
        <w:tc>
          <w:tcPr>
            <w:tcW w:w="2978" w:type="dxa"/>
          </w:tcPr>
          <w:p w14:paraId="459953BB" w14:textId="77777777" w:rsidR="00485576" w:rsidRDefault="00485576" w:rsidP="00014ACA">
            <w:pPr>
              <w:pStyle w:val="Tablecontent"/>
            </w:pPr>
            <w:r>
              <w:t>INRA high/low fat cross</w:t>
            </w:r>
          </w:p>
        </w:tc>
        <w:tc>
          <w:tcPr>
            <w:tcW w:w="1701" w:type="dxa"/>
          </w:tcPr>
          <w:p w14:paraId="262DFC49" w14:textId="77777777" w:rsidR="00485576" w:rsidRDefault="00485576" w:rsidP="00014ACA">
            <w:pPr>
              <w:pStyle w:val="Tablecontent"/>
            </w:pPr>
            <w:r>
              <w:t>-</w:t>
            </w:r>
          </w:p>
        </w:tc>
        <w:tc>
          <w:tcPr>
            <w:tcW w:w="1559" w:type="dxa"/>
          </w:tcPr>
          <w:p w14:paraId="4D343DB5" w14:textId="77777777" w:rsidR="00485576" w:rsidRDefault="00485576" w:rsidP="00014ACA">
            <w:pPr>
              <w:pStyle w:val="Tablecontent"/>
            </w:pPr>
            <w:r>
              <w:t>Br-INRA</w:t>
            </w:r>
          </w:p>
        </w:tc>
        <w:tc>
          <w:tcPr>
            <w:tcW w:w="1417" w:type="dxa"/>
          </w:tcPr>
          <w:p w14:paraId="683023A4" w14:textId="77777777" w:rsidR="00485576" w:rsidRDefault="00485576" w:rsidP="00014ACA">
            <w:pPr>
              <w:pStyle w:val="Tablecontent"/>
            </w:pPr>
            <w:r>
              <w:t>Indiv (16)</w:t>
            </w:r>
          </w:p>
        </w:tc>
        <w:tc>
          <w:tcPr>
            <w:tcW w:w="850" w:type="dxa"/>
          </w:tcPr>
          <w:p w14:paraId="13D9F641" w14:textId="238840CD" w:rsidR="00485576" w:rsidRDefault="00485576" w:rsidP="00014ACA">
            <w:pPr>
              <w:pStyle w:val="Tablecontent"/>
              <w:jc w:val="center"/>
            </w:pPr>
            <w:r>
              <w:t>3</w:t>
            </w:r>
          </w:p>
        </w:tc>
      </w:tr>
      <w:tr w:rsidR="00485576" w14:paraId="25493F09" w14:textId="2BC8D3F6" w:rsidTr="00014ACA">
        <w:trPr>
          <w:jc w:val="center"/>
        </w:trPr>
        <w:tc>
          <w:tcPr>
            <w:tcW w:w="2978" w:type="dxa"/>
          </w:tcPr>
          <w:p w14:paraId="7C6BB8AF" w14:textId="77777777" w:rsidR="00485576" w:rsidRDefault="00485576" w:rsidP="00014ACA">
            <w:pPr>
              <w:pStyle w:val="Tablecontent"/>
            </w:pPr>
            <w:r>
              <w:t>Indonesian natives</w:t>
            </w:r>
          </w:p>
        </w:tc>
        <w:tc>
          <w:tcPr>
            <w:tcW w:w="1701" w:type="dxa"/>
          </w:tcPr>
          <w:p w14:paraId="4B990B68" w14:textId="77777777" w:rsidR="00485576" w:rsidRDefault="00485576" w:rsidP="00014ACA">
            <w:pPr>
              <w:pStyle w:val="Tablecontent"/>
            </w:pPr>
            <w:r>
              <w:t>Black java</w:t>
            </w:r>
          </w:p>
        </w:tc>
        <w:tc>
          <w:tcPr>
            <w:tcW w:w="1559" w:type="dxa"/>
          </w:tcPr>
          <w:p w14:paraId="49577C1B" w14:textId="77777777" w:rsidR="00485576" w:rsidRDefault="00485576" w:rsidP="00014ACA">
            <w:pPr>
              <w:pStyle w:val="Tablecontent"/>
            </w:pPr>
            <w:r>
              <w:t>Bl-java</w:t>
            </w:r>
          </w:p>
        </w:tc>
        <w:tc>
          <w:tcPr>
            <w:tcW w:w="1417" w:type="dxa"/>
          </w:tcPr>
          <w:p w14:paraId="3C410428" w14:textId="77777777" w:rsidR="00485576" w:rsidRDefault="00485576" w:rsidP="00014ACA">
            <w:pPr>
              <w:pStyle w:val="Tablecontent"/>
            </w:pPr>
            <w:r>
              <w:t>Pool (10)</w:t>
            </w:r>
          </w:p>
        </w:tc>
        <w:tc>
          <w:tcPr>
            <w:tcW w:w="850" w:type="dxa"/>
          </w:tcPr>
          <w:p w14:paraId="52784E9F" w14:textId="3695B391" w:rsidR="00485576" w:rsidRDefault="00485576" w:rsidP="00014ACA">
            <w:pPr>
              <w:pStyle w:val="Tablecontent"/>
              <w:jc w:val="center"/>
            </w:pPr>
            <w:r>
              <w:t>4</w:t>
            </w:r>
          </w:p>
        </w:tc>
      </w:tr>
      <w:tr w:rsidR="00485576" w14:paraId="66C4E7AE" w14:textId="6C6D03D3" w:rsidTr="00014ACA">
        <w:trPr>
          <w:jc w:val="center"/>
        </w:trPr>
        <w:tc>
          <w:tcPr>
            <w:tcW w:w="2978" w:type="dxa"/>
          </w:tcPr>
          <w:p w14:paraId="06040135" w14:textId="77777777" w:rsidR="00485576" w:rsidRDefault="00485576" w:rsidP="00014ACA">
            <w:pPr>
              <w:pStyle w:val="Tablecontent"/>
            </w:pPr>
          </w:p>
        </w:tc>
        <w:tc>
          <w:tcPr>
            <w:tcW w:w="1701" w:type="dxa"/>
          </w:tcPr>
          <w:p w14:paraId="62AF05ED" w14:textId="77777777" w:rsidR="00485576" w:rsidRDefault="00485576" w:rsidP="00014ACA">
            <w:pPr>
              <w:pStyle w:val="Tablecontent"/>
            </w:pPr>
            <w:r>
              <w:t>Black sumatra</w:t>
            </w:r>
          </w:p>
        </w:tc>
        <w:tc>
          <w:tcPr>
            <w:tcW w:w="1559" w:type="dxa"/>
          </w:tcPr>
          <w:p w14:paraId="6F832D5C" w14:textId="77777777" w:rsidR="00485576" w:rsidRDefault="00485576" w:rsidP="00014ACA">
            <w:pPr>
              <w:pStyle w:val="Tablecontent"/>
            </w:pPr>
            <w:r>
              <w:t>Bl-sum</w:t>
            </w:r>
          </w:p>
        </w:tc>
        <w:tc>
          <w:tcPr>
            <w:tcW w:w="1417" w:type="dxa"/>
          </w:tcPr>
          <w:p w14:paraId="16702194" w14:textId="77777777" w:rsidR="00485576" w:rsidRDefault="00485576" w:rsidP="00014ACA">
            <w:pPr>
              <w:pStyle w:val="Tablecontent"/>
            </w:pPr>
            <w:r>
              <w:t>Pool (10)</w:t>
            </w:r>
          </w:p>
        </w:tc>
        <w:tc>
          <w:tcPr>
            <w:tcW w:w="850" w:type="dxa"/>
          </w:tcPr>
          <w:p w14:paraId="2D389C3B" w14:textId="7E35995D" w:rsidR="00485576" w:rsidRDefault="00485576" w:rsidP="00014ACA">
            <w:pPr>
              <w:pStyle w:val="Tablecontent"/>
              <w:jc w:val="center"/>
            </w:pPr>
            <w:r>
              <w:t>4</w:t>
            </w:r>
          </w:p>
        </w:tc>
      </w:tr>
      <w:tr w:rsidR="00485576" w14:paraId="034C2A9E" w14:textId="6FCE5088" w:rsidTr="00014ACA">
        <w:trPr>
          <w:jc w:val="center"/>
        </w:trPr>
        <w:tc>
          <w:tcPr>
            <w:tcW w:w="2978" w:type="dxa"/>
          </w:tcPr>
          <w:p w14:paraId="2AF8F1E7" w14:textId="77777777" w:rsidR="00485576" w:rsidRDefault="00485576" w:rsidP="00014ACA">
            <w:pPr>
              <w:pStyle w:val="Tablecontent"/>
            </w:pPr>
          </w:p>
        </w:tc>
        <w:tc>
          <w:tcPr>
            <w:tcW w:w="1701" w:type="dxa"/>
          </w:tcPr>
          <w:p w14:paraId="2B64EFC7" w14:textId="77777777" w:rsidR="00485576" w:rsidRDefault="00485576" w:rsidP="00014ACA">
            <w:pPr>
              <w:pStyle w:val="Tablecontent"/>
            </w:pPr>
            <w:r>
              <w:t>Kedu Hitam</w:t>
            </w:r>
          </w:p>
        </w:tc>
        <w:tc>
          <w:tcPr>
            <w:tcW w:w="1559" w:type="dxa"/>
          </w:tcPr>
          <w:p w14:paraId="5A4F7C5C" w14:textId="77777777" w:rsidR="00485576" w:rsidRDefault="00485576" w:rsidP="00014ACA">
            <w:pPr>
              <w:pStyle w:val="Tablecontent"/>
            </w:pPr>
            <w:r>
              <w:t>Kedu hitam</w:t>
            </w:r>
          </w:p>
        </w:tc>
        <w:tc>
          <w:tcPr>
            <w:tcW w:w="1417" w:type="dxa"/>
          </w:tcPr>
          <w:p w14:paraId="3662B1CF" w14:textId="77777777" w:rsidR="00485576" w:rsidRDefault="00485576" w:rsidP="00014ACA">
            <w:pPr>
              <w:pStyle w:val="Tablecontent"/>
            </w:pPr>
            <w:r>
              <w:t>Pool (10)</w:t>
            </w:r>
          </w:p>
        </w:tc>
        <w:tc>
          <w:tcPr>
            <w:tcW w:w="850" w:type="dxa"/>
          </w:tcPr>
          <w:p w14:paraId="58F46E16" w14:textId="05A62483" w:rsidR="00485576" w:rsidRDefault="00485576" w:rsidP="00014ACA">
            <w:pPr>
              <w:pStyle w:val="Tablecontent"/>
              <w:jc w:val="center"/>
            </w:pPr>
            <w:r>
              <w:t>4</w:t>
            </w:r>
          </w:p>
        </w:tc>
      </w:tr>
      <w:tr w:rsidR="00485576" w14:paraId="32DE178D" w14:textId="3430256C" w:rsidTr="00014ACA">
        <w:trPr>
          <w:jc w:val="center"/>
        </w:trPr>
        <w:tc>
          <w:tcPr>
            <w:tcW w:w="2978" w:type="dxa"/>
          </w:tcPr>
          <w:p w14:paraId="1C0BAFC4" w14:textId="77777777" w:rsidR="00485576" w:rsidRDefault="00485576" w:rsidP="00014ACA">
            <w:pPr>
              <w:pStyle w:val="Tablecontent"/>
            </w:pPr>
          </w:p>
        </w:tc>
        <w:tc>
          <w:tcPr>
            <w:tcW w:w="1701" w:type="dxa"/>
          </w:tcPr>
          <w:p w14:paraId="0762A6CF" w14:textId="77777777" w:rsidR="00485576" w:rsidRDefault="00485576" w:rsidP="00014ACA">
            <w:pPr>
              <w:pStyle w:val="Tablecontent"/>
            </w:pPr>
            <w:r>
              <w:t>Sumatera</w:t>
            </w:r>
          </w:p>
        </w:tc>
        <w:tc>
          <w:tcPr>
            <w:tcW w:w="1559" w:type="dxa"/>
          </w:tcPr>
          <w:p w14:paraId="6EA60AF1" w14:textId="77777777" w:rsidR="00485576" w:rsidRDefault="00485576" w:rsidP="00014ACA">
            <w:pPr>
              <w:pStyle w:val="Tablecontent"/>
            </w:pPr>
            <w:r>
              <w:t>Sumatera</w:t>
            </w:r>
          </w:p>
        </w:tc>
        <w:tc>
          <w:tcPr>
            <w:tcW w:w="1417" w:type="dxa"/>
          </w:tcPr>
          <w:p w14:paraId="72FEC525" w14:textId="77777777" w:rsidR="00485576" w:rsidRDefault="00485576" w:rsidP="00014ACA">
            <w:pPr>
              <w:pStyle w:val="Tablecontent"/>
            </w:pPr>
            <w:r>
              <w:t>Pool (5)</w:t>
            </w:r>
          </w:p>
        </w:tc>
        <w:tc>
          <w:tcPr>
            <w:tcW w:w="850" w:type="dxa"/>
          </w:tcPr>
          <w:p w14:paraId="36187B7F" w14:textId="05C3C03E" w:rsidR="00485576" w:rsidRDefault="00485576" w:rsidP="00014ACA">
            <w:pPr>
              <w:pStyle w:val="Tablecontent"/>
              <w:jc w:val="center"/>
            </w:pPr>
            <w:r>
              <w:t>4</w:t>
            </w:r>
          </w:p>
        </w:tc>
      </w:tr>
      <w:tr w:rsidR="00485576" w14:paraId="3AA2B77D" w14:textId="64469A1D" w:rsidTr="00014ACA">
        <w:trPr>
          <w:jc w:val="center"/>
        </w:trPr>
        <w:tc>
          <w:tcPr>
            <w:tcW w:w="2978" w:type="dxa"/>
          </w:tcPr>
          <w:p w14:paraId="0D3A407C" w14:textId="77777777" w:rsidR="00485576" w:rsidRDefault="00485576" w:rsidP="00014ACA">
            <w:pPr>
              <w:pStyle w:val="Tablecontent"/>
            </w:pPr>
          </w:p>
        </w:tc>
        <w:tc>
          <w:tcPr>
            <w:tcW w:w="1701" w:type="dxa"/>
          </w:tcPr>
          <w:p w14:paraId="0EC89ABC" w14:textId="77777777" w:rsidR="00485576" w:rsidRDefault="00485576" w:rsidP="00014ACA">
            <w:pPr>
              <w:pStyle w:val="Tablecontent"/>
            </w:pPr>
            <w:r>
              <w:t>Java RJF</w:t>
            </w:r>
          </w:p>
        </w:tc>
        <w:tc>
          <w:tcPr>
            <w:tcW w:w="1559" w:type="dxa"/>
          </w:tcPr>
          <w:p w14:paraId="40E4CEED" w14:textId="77777777" w:rsidR="00485576" w:rsidRDefault="00485576" w:rsidP="00014ACA">
            <w:pPr>
              <w:pStyle w:val="Tablecontent"/>
            </w:pPr>
            <w:r>
              <w:t>RJF-J</w:t>
            </w:r>
          </w:p>
        </w:tc>
        <w:tc>
          <w:tcPr>
            <w:tcW w:w="1417" w:type="dxa"/>
          </w:tcPr>
          <w:p w14:paraId="24E32F85" w14:textId="77777777" w:rsidR="00485576" w:rsidRDefault="00485576" w:rsidP="00014ACA">
            <w:pPr>
              <w:pStyle w:val="Tablecontent"/>
            </w:pPr>
            <w:r>
              <w:t>Pool (2)</w:t>
            </w:r>
          </w:p>
        </w:tc>
        <w:tc>
          <w:tcPr>
            <w:tcW w:w="850" w:type="dxa"/>
          </w:tcPr>
          <w:p w14:paraId="039348B8" w14:textId="5C6047C3" w:rsidR="00485576" w:rsidRDefault="00485576" w:rsidP="00014ACA">
            <w:pPr>
              <w:pStyle w:val="Tablecontent"/>
              <w:jc w:val="center"/>
            </w:pPr>
            <w:r>
              <w:t>5</w:t>
            </w:r>
          </w:p>
        </w:tc>
      </w:tr>
      <w:tr w:rsidR="00485576" w14:paraId="3E1DD192" w14:textId="445969D3" w:rsidTr="00014ACA">
        <w:trPr>
          <w:jc w:val="center"/>
        </w:trPr>
        <w:tc>
          <w:tcPr>
            <w:tcW w:w="2978" w:type="dxa"/>
          </w:tcPr>
          <w:p w14:paraId="0F661CC4" w14:textId="77777777" w:rsidR="00485576" w:rsidRDefault="00485576" w:rsidP="00014ACA">
            <w:pPr>
              <w:pStyle w:val="Tablecontent"/>
            </w:pPr>
          </w:p>
        </w:tc>
        <w:tc>
          <w:tcPr>
            <w:tcW w:w="1701" w:type="dxa"/>
          </w:tcPr>
          <w:p w14:paraId="5B6A4353" w14:textId="77777777" w:rsidR="00485576" w:rsidRDefault="00485576" w:rsidP="00014ACA">
            <w:pPr>
              <w:pStyle w:val="Tablecontent"/>
            </w:pPr>
            <w:r>
              <w:t>Sumatra RJF</w:t>
            </w:r>
          </w:p>
        </w:tc>
        <w:tc>
          <w:tcPr>
            <w:tcW w:w="1559" w:type="dxa"/>
          </w:tcPr>
          <w:p w14:paraId="16A5A2DE" w14:textId="77777777" w:rsidR="00485576" w:rsidRDefault="00485576" w:rsidP="00014ACA">
            <w:pPr>
              <w:pStyle w:val="Tablecontent"/>
            </w:pPr>
            <w:r>
              <w:t>RJF-S</w:t>
            </w:r>
          </w:p>
        </w:tc>
        <w:tc>
          <w:tcPr>
            <w:tcW w:w="1417" w:type="dxa"/>
          </w:tcPr>
          <w:p w14:paraId="6B65DEB6" w14:textId="77777777" w:rsidR="00485576" w:rsidRDefault="00485576" w:rsidP="00014ACA">
            <w:pPr>
              <w:pStyle w:val="Tablecontent"/>
            </w:pPr>
            <w:r>
              <w:t>Pool (3)</w:t>
            </w:r>
          </w:p>
        </w:tc>
        <w:tc>
          <w:tcPr>
            <w:tcW w:w="850" w:type="dxa"/>
          </w:tcPr>
          <w:p w14:paraId="353D9939" w14:textId="6089DB09" w:rsidR="00485576" w:rsidRDefault="00485576" w:rsidP="00014ACA">
            <w:pPr>
              <w:pStyle w:val="Tablecontent"/>
              <w:jc w:val="center"/>
            </w:pPr>
            <w:r>
              <w:t>5</w:t>
            </w:r>
          </w:p>
        </w:tc>
      </w:tr>
      <w:tr w:rsidR="00485576" w14:paraId="60FE560E" w14:textId="172BE3D2" w:rsidTr="00014ACA">
        <w:trPr>
          <w:jc w:val="center"/>
        </w:trPr>
        <w:tc>
          <w:tcPr>
            <w:tcW w:w="2978" w:type="dxa"/>
          </w:tcPr>
          <w:p w14:paraId="18FDA5C8" w14:textId="77777777" w:rsidR="00485576" w:rsidRDefault="00485576" w:rsidP="00014ACA">
            <w:pPr>
              <w:pStyle w:val="Tablecontent"/>
            </w:pPr>
          </w:p>
        </w:tc>
        <w:tc>
          <w:tcPr>
            <w:tcW w:w="1701" w:type="dxa"/>
          </w:tcPr>
          <w:p w14:paraId="55CDB808" w14:textId="77777777" w:rsidR="00485576" w:rsidRDefault="00485576" w:rsidP="00014ACA">
            <w:pPr>
              <w:pStyle w:val="Tablecontent"/>
            </w:pPr>
            <w:r>
              <w:t>WL</w:t>
            </w:r>
          </w:p>
        </w:tc>
        <w:tc>
          <w:tcPr>
            <w:tcW w:w="1559" w:type="dxa"/>
          </w:tcPr>
          <w:p w14:paraId="5019E498" w14:textId="77777777" w:rsidR="00485576" w:rsidRDefault="00485576" w:rsidP="00014ACA">
            <w:pPr>
              <w:pStyle w:val="Tablecontent"/>
            </w:pPr>
            <w:r>
              <w:t>WL-NU</w:t>
            </w:r>
          </w:p>
        </w:tc>
        <w:tc>
          <w:tcPr>
            <w:tcW w:w="1417" w:type="dxa"/>
          </w:tcPr>
          <w:p w14:paraId="0C638552" w14:textId="77777777" w:rsidR="00485576" w:rsidRDefault="00485576" w:rsidP="00014ACA">
            <w:pPr>
              <w:pStyle w:val="Tablecontent"/>
            </w:pPr>
            <w:r>
              <w:t>Indiv (1)</w:t>
            </w:r>
          </w:p>
        </w:tc>
        <w:tc>
          <w:tcPr>
            <w:tcW w:w="850" w:type="dxa"/>
          </w:tcPr>
          <w:p w14:paraId="09CFA70A" w14:textId="792460A8" w:rsidR="00485576" w:rsidRDefault="00485576" w:rsidP="00014ACA">
            <w:pPr>
              <w:pStyle w:val="Tablecontent"/>
              <w:jc w:val="center"/>
            </w:pPr>
            <w:r>
              <w:t>1</w:t>
            </w:r>
          </w:p>
        </w:tc>
      </w:tr>
      <w:tr w:rsidR="00485576" w14:paraId="4A07884D" w14:textId="7E47E380" w:rsidTr="00014ACA">
        <w:trPr>
          <w:jc w:val="center"/>
        </w:trPr>
        <w:tc>
          <w:tcPr>
            <w:tcW w:w="2978" w:type="dxa"/>
          </w:tcPr>
          <w:p w14:paraId="18384AEE" w14:textId="77777777" w:rsidR="00485576" w:rsidRDefault="00485576" w:rsidP="00014ACA">
            <w:pPr>
              <w:pStyle w:val="Tablecontent"/>
            </w:pPr>
            <w:r>
              <w:t>Iowa State</w:t>
            </w:r>
          </w:p>
        </w:tc>
        <w:tc>
          <w:tcPr>
            <w:tcW w:w="1701" w:type="dxa"/>
          </w:tcPr>
          <w:p w14:paraId="429F38E5" w14:textId="77777777" w:rsidR="00485576" w:rsidRDefault="00485576" w:rsidP="00014ACA">
            <w:pPr>
              <w:pStyle w:val="Tablecontent"/>
            </w:pPr>
            <w:r>
              <w:t>Fayoumi</w:t>
            </w:r>
          </w:p>
        </w:tc>
        <w:tc>
          <w:tcPr>
            <w:tcW w:w="1559" w:type="dxa"/>
          </w:tcPr>
          <w:p w14:paraId="71567803" w14:textId="77777777" w:rsidR="00485576" w:rsidRDefault="00485576" w:rsidP="00014ACA">
            <w:pPr>
              <w:pStyle w:val="Tablecontent"/>
            </w:pPr>
            <w:r>
              <w:t>Fayoumi</w:t>
            </w:r>
          </w:p>
        </w:tc>
        <w:tc>
          <w:tcPr>
            <w:tcW w:w="1417" w:type="dxa"/>
          </w:tcPr>
          <w:p w14:paraId="1D470E97" w14:textId="77777777" w:rsidR="00485576" w:rsidRDefault="00485576" w:rsidP="00014ACA">
            <w:pPr>
              <w:pStyle w:val="Tablecontent"/>
            </w:pPr>
            <w:r>
              <w:t>Pool (16)</w:t>
            </w:r>
          </w:p>
        </w:tc>
        <w:tc>
          <w:tcPr>
            <w:tcW w:w="850" w:type="dxa"/>
          </w:tcPr>
          <w:p w14:paraId="26EFA089" w14:textId="73CDDB83" w:rsidR="00485576" w:rsidRDefault="00485576" w:rsidP="00014ACA">
            <w:pPr>
              <w:pStyle w:val="Tablecontent"/>
              <w:jc w:val="center"/>
            </w:pPr>
            <w:r>
              <w:t>4</w:t>
            </w:r>
          </w:p>
        </w:tc>
      </w:tr>
      <w:tr w:rsidR="00485576" w14:paraId="52DE5C46" w14:textId="51EE6523" w:rsidTr="00014ACA">
        <w:trPr>
          <w:jc w:val="center"/>
        </w:trPr>
        <w:tc>
          <w:tcPr>
            <w:tcW w:w="2978" w:type="dxa"/>
          </w:tcPr>
          <w:p w14:paraId="1E04DCD3" w14:textId="77777777" w:rsidR="00485576" w:rsidRDefault="00485576" w:rsidP="00014ACA">
            <w:pPr>
              <w:pStyle w:val="Tablecontent"/>
            </w:pPr>
          </w:p>
        </w:tc>
        <w:tc>
          <w:tcPr>
            <w:tcW w:w="1701" w:type="dxa"/>
          </w:tcPr>
          <w:p w14:paraId="3B983EE1" w14:textId="77777777" w:rsidR="00485576" w:rsidRDefault="00485576" w:rsidP="00014ACA">
            <w:pPr>
              <w:pStyle w:val="Tablecontent"/>
            </w:pPr>
            <w:r>
              <w:t>Leghorn</w:t>
            </w:r>
          </w:p>
        </w:tc>
        <w:tc>
          <w:tcPr>
            <w:tcW w:w="1559" w:type="dxa"/>
          </w:tcPr>
          <w:p w14:paraId="5AB1085E" w14:textId="77777777" w:rsidR="00485576" w:rsidRDefault="00485576" w:rsidP="00014ACA">
            <w:pPr>
              <w:pStyle w:val="Tablecontent"/>
            </w:pPr>
            <w:r>
              <w:t>WL-IS</w:t>
            </w:r>
          </w:p>
        </w:tc>
        <w:tc>
          <w:tcPr>
            <w:tcW w:w="1417" w:type="dxa"/>
          </w:tcPr>
          <w:p w14:paraId="549AD4B1" w14:textId="77777777" w:rsidR="00485576" w:rsidRDefault="00485576" w:rsidP="00014ACA">
            <w:pPr>
              <w:pStyle w:val="Tablecontent"/>
            </w:pPr>
            <w:r>
              <w:t>Pool (16)</w:t>
            </w:r>
          </w:p>
        </w:tc>
        <w:tc>
          <w:tcPr>
            <w:tcW w:w="850" w:type="dxa"/>
          </w:tcPr>
          <w:p w14:paraId="41AAC07D" w14:textId="4BD80CA5" w:rsidR="00485576" w:rsidRDefault="00485576" w:rsidP="00014ACA">
            <w:pPr>
              <w:pStyle w:val="Tablecontent"/>
              <w:jc w:val="center"/>
            </w:pPr>
            <w:r>
              <w:t>1</w:t>
            </w:r>
          </w:p>
        </w:tc>
      </w:tr>
      <w:tr w:rsidR="00485576" w14:paraId="694FA927" w14:textId="4EA74DE8" w:rsidTr="00014ACA">
        <w:trPr>
          <w:jc w:val="center"/>
        </w:trPr>
        <w:tc>
          <w:tcPr>
            <w:tcW w:w="2978" w:type="dxa"/>
          </w:tcPr>
          <w:p w14:paraId="3786B854" w14:textId="77777777" w:rsidR="00485576" w:rsidRDefault="00485576" w:rsidP="00014ACA">
            <w:pPr>
              <w:pStyle w:val="Tablecontent"/>
            </w:pPr>
            <w:r>
              <w:t>Korean domestic</w:t>
            </w:r>
          </w:p>
        </w:tc>
        <w:tc>
          <w:tcPr>
            <w:tcW w:w="1701" w:type="dxa"/>
          </w:tcPr>
          <w:p w14:paraId="465A529F" w14:textId="77777777" w:rsidR="00485576" w:rsidRDefault="00485576" w:rsidP="00014ACA">
            <w:pPr>
              <w:pStyle w:val="Tablecontent"/>
            </w:pPr>
            <w:r>
              <w:t>Araucana</w:t>
            </w:r>
          </w:p>
        </w:tc>
        <w:tc>
          <w:tcPr>
            <w:tcW w:w="1559" w:type="dxa"/>
          </w:tcPr>
          <w:p w14:paraId="12206B04" w14:textId="77777777" w:rsidR="00485576" w:rsidRDefault="00485576" w:rsidP="00014ACA">
            <w:pPr>
              <w:pStyle w:val="Tablecontent"/>
            </w:pPr>
            <w:r>
              <w:t>Araucana</w:t>
            </w:r>
          </w:p>
        </w:tc>
        <w:tc>
          <w:tcPr>
            <w:tcW w:w="1417" w:type="dxa"/>
          </w:tcPr>
          <w:p w14:paraId="00B63659" w14:textId="77777777" w:rsidR="00485576" w:rsidRDefault="00485576" w:rsidP="00014ACA">
            <w:pPr>
              <w:pStyle w:val="Tablecontent"/>
            </w:pPr>
            <w:r>
              <w:t>Indiv (3)</w:t>
            </w:r>
          </w:p>
        </w:tc>
        <w:tc>
          <w:tcPr>
            <w:tcW w:w="850" w:type="dxa"/>
          </w:tcPr>
          <w:p w14:paraId="0364969A" w14:textId="3017351A" w:rsidR="00485576" w:rsidRDefault="00485576" w:rsidP="00014ACA">
            <w:pPr>
              <w:pStyle w:val="Tablecontent"/>
              <w:jc w:val="center"/>
            </w:pPr>
            <w:r>
              <w:t>4</w:t>
            </w:r>
          </w:p>
        </w:tc>
      </w:tr>
      <w:tr w:rsidR="00485576" w14:paraId="08D4F6FC" w14:textId="44F232D7" w:rsidTr="00014ACA">
        <w:trPr>
          <w:jc w:val="center"/>
        </w:trPr>
        <w:tc>
          <w:tcPr>
            <w:tcW w:w="2978" w:type="dxa"/>
          </w:tcPr>
          <w:p w14:paraId="30193F8C" w14:textId="77777777" w:rsidR="00485576" w:rsidRDefault="00485576" w:rsidP="00014ACA">
            <w:pPr>
              <w:pStyle w:val="Tablecontent"/>
            </w:pPr>
          </w:p>
        </w:tc>
        <w:tc>
          <w:tcPr>
            <w:tcW w:w="1701" w:type="dxa"/>
          </w:tcPr>
          <w:p w14:paraId="53A79EE5" w14:textId="77777777" w:rsidR="00485576" w:rsidRDefault="00485576" w:rsidP="00014ACA">
            <w:pPr>
              <w:pStyle w:val="Tablecontent"/>
            </w:pPr>
            <w:r>
              <w:t>Korean</w:t>
            </w:r>
          </w:p>
        </w:tc>
        <w:tc>
          <w:tcPr>
            <w:tcW w:w="1559" w:type="dxa"/>
          </w:tcPr>
          <w:p w14:paraId="6087AA81" w14:textId="77777777" w:rsidR="00485576" w:rsidRDefault="00485576" w:rsidP="00014ACA">
            <w:pPr>
              <w:pStyle w:val="Tablecontent"/>
            </w:pPr>
            <w:r>
              <w:t>Korean</w:t>
            </w:r>
          </w:p>
        </w:tc>
        <w:tc>
          <w:tcPr>
            <w:tcW w:w="1417" w:type="dxa"/>
          </w:tcPr>
          <w:p w14:paraId="4FA5059B" w14:textId="77777777" w:rsidR="00485576" w:rsidRDefault="00485576" w:rsidP="00014ACA">
            <w:pPr>
              <w:pStyle w:val="Tablecontent"/>
            </w:pPr>
            <w:r>
              <w:t>Indiv (3)</w:t>
            </w:r>
          </w:p>
        </w:tc>
        <w:tc>
          <w:tcPr>
            <w:tcW w:w="850" w:type="dxa"/>
          </w:tcPr>
          <w:p w14:paraId="1A9531FB" w14:textId="38EBD33A" w:rsidR="00485576" w:rsidRDefault="00485576" w:rsidP="00014ACA">
            <w:pPr>
              <w:pStyle w:val="Tablecontent"/>
              <w:jc w:val="center"/>
            </w:pPr>
            <w:r>
              <w:t>4</w:t>
            </w:r>
          </w:p>
        </w:tc>
      </w:tr>
      <w:tr w:rsidR="00485576" w14:paraId="05E89ED0" w14:textId="68AB35C9" w:rsidTr="00014ACA">
        <w:trPr>
          <w:jc w:val="center"/>
        </w:trPr>
        <w:tc>
          <w:tcPr>
            <w:tcW w:w="2978" w:type="dxa"/>
          </w:tcPr>
          <w:p w14:paraId="6D13D5B2" w14:textId="77777777" w:rsidR="00485576" w:rsidRDefault="00485576" w:rsidP="00014ACA">
            <w:pPr>
              <w:pStyle w:val="Tablecontent"/>
            </w:pPr>
          </w:p>
        </w:tc>
        <w:tc>
          <w:tcPr>
            <w:tcW w:w="1701" w:type="dxa"/>
          </w:tcPr>
          <w:p w14:paraId="2CF9F7B0" w14:textId="77777777" w:rsidR="00485576" w:rsidRDefault="00485576" w:rsidP="00014ACA">
            <w:pPr>
              <w:pStyle w:val="Tablecontent"/>
            </w:pPr>
            <w:r>
              <w:t>WL</w:t>
            </w:r>
          </w:p>
        </w:tc>
        <w:tc>
          <w:tcPr>
            <w:tcW w:w="1559" w:type="dxa"/>
          </w:tcPr>
          <w:p w14:paraId="0C9FF5AE" w14:textId="77777777" w:rsidR="00485576" w:rsidRDefault="00485576" w:rsidP="00014ACA">
            <w:pPr>
              <w:pStyle w:val="Tablecontent"/>
            </w:pPr>
            <w:r>
              <w:t>WL-K</w:t>
            </w:r>
          </w:p>
        </w:tc>
        <w:tc>
          <w:tcPr>
            <w:tcW w:w="1417" w:type="dxa"/>
          </w:tcPr>
          <w:p w14:paraId="6FA0C669" w14:textId="77777777" w:rsidR="00485576" w:rsidRDefault="00485576" w:rsidP="00014ACA">
            <w:pPr>
              <w:pStyle w:val="Tablecontent"/>
            </w:pPr>
            <w:r>
              <w:t>Indiv (3)</w:t>
            </w:r>
          </w:p>
        </w:tc>
        <w:tc>
          <w:tcPr>
            <w:tcW w:w="850" w:type="dxa"/>
          </w:tcPr>
          <w:p w14:paraId="0B3B446D" w14:textId="0D5FE8AE" w:rsidR="00485576" w:rsidRDefault="00485576" w:rsidP="00014ACA">
            <w:pPr>
              <w:pStyle w:val="Tablecontent"/>
              <w:jc w:val="center"/>
            </w:pPr>
            <w:r>
              <w:t>1</w:t>
            </w:r>
          </w:p>
        </w:tc>
      </w:tr>
      <w:tr w:rsidR="00485576" w14:paraId="0D759D2E" w14:textId="7BBCCC5B" w:rsidTr="00014ACA">
        <w:trPr>
          <w:jc w:val="center"/>
        </w:trPr>
        <w:tc>
          <w:tcPr>
            <w:tcW w:w="2978" w:type="dxa"/>
          </w:tcPr>
          <w:p w14:paraId="48213DFF" w14:textId="77777777" w:rsidR="00485576" w:rsidRDefault="00485576" w:rsidP="00014ACA">
            <w:pPr>
              <w:pStyle w:val="Tablecontent"/>
            </w:pPr>
            <w:r>
              <w:t>Lohmann layers</w:t>
            </w:r>
          </w:p>
        </w:tc>
        <w:tc>
          <w:tcPr>
            <w:tcW w:w="1701" w:type="dxa"/>
          </w:tcPr>
          <w:p w14:paraId="3E542E76" w14:textId="77777777" w:rsidR="00485576" w:rsidRDefault="00485576" w:rsidP="00014ACA">
            <w:pPr>
              <w:pStyle w:val="Tablecontent"/>
            </w:pPr>
            <w:r>
              <w:t>RIR</w:t>
            </w:r>
          </w:p>
        </w:tc>
        <w:tc>
          <w:tcPr>
            <w:tcW w:w="1559" w:type="dxa"/>
          </w:tcPr>
          <w:p w14:paraId="3E874201" w14:textId="77777777" w:rsidR="00485576" w:rsidRDefault="00485576" w:rsidP="00014ACA">
            <w:pPr>
              <w:pStyle w:val="Tablecontent"/>
            </w:pPr>
            <w:r>
              <w:t>RIR-L</w:t>
            </w:r>
          </w:p>
        </w:tc>
        <w:tc>
          <w:tcPr>
            <w:tcW w:w="1417" w:type="dxa"/>
          </w:tcPr>
          <w:p w14:paraId="65FBF1BC" w14:textId="77777777" w:rsidR="00485576" w:rsidRDefault="00485576" w:rsidP="00014ACA">
            <w:pPr>
              <w:pStyle w:val="Tablecontent"/>
            </w:pPr>
            <w:r>
              <w:t>Indiv (25)</w:t>
            </w:r>
          </w:p>
        </w:tc>
        <w:tc>
          <w:tcPr>
            <w:tcW w:w="850" w:type="dxa"/>
          </w:tcPr>
          <w:p w14:paraId="14F8B932" w14:textId="289DC5C5" w:rsidR="00485576" w:rsidRDefault="00485576" w:rsidP="00014ACA">
            <w:pPr>
              <w:pStyle w:val="Tablecontent"/>
              <w:jc w:val="center"/>
            </w:pPr>
            <w:r>
              <w:t>2</w:t>
            </w:r>
          </w:p>
        </w:tc>
      </w:tr>
      <w:tr w:rsidR="00485576" w14:paraId="2E3F20F1" w14:textId="2E15C344" w:rsidTr="00014ACA">
        <w:trPr>
          <w:jc w:val="center"/>
        </w:trPr>
        <w:tc>
          <w:tcPr>
            <w:tcW w:w="2978" w:type="dxa"/>
          </w:tcPr>
          <w:p w14:paraId="4932BB90" w14:textId="77777777" w:rsidR="00485576" w:rsidRDefault="00485576" w:rsidP="00014ACA">
            <w:pPr>
              <w:pStyle w:val="Tablecontent"/>
            </w:pPr>
          </w:p>
        </w:tc>
        <w:tc>
          <w:tcPr>
            <w:tcW w:w="1701" w:type="dxa"/>
          </w:tcPr>
          <w:p w14:paraId="3A526758" w14:textId="77777777" w:rsidR="00485576" w:rsidRDefault="00485576" w:rsidP="00014ACA">
            <w:pPr>
              <w:pStyle w:val="Tablecontent"/>
            </w:pPr>
            <w:r>
              <w:t>WL</w:t>
            </w:r>
          </w:p>
        </w:tc>
        <w:tc>
          <w:tcPr>
            <w:tcW w:w="1559" w:type="dxa"/>
          </w:tcPr>
          <w:p w14:paraId="06536141" w14:textId="77777777" w:rsidR="00485576" w:rsidRDefault="00485576" w:rsidP="00014ACA">
            <w:pPr>
              <w:pStyle w:val="Tablecontent"/>
            </w:pPr>
            <w:r>
              <w:t>WL-L</w:t>
            </w:r>
          </w:p>
        </w:tc>
        <w:tc>
          <w:tcPr>
            <w:tcW w:w="1417" w:type="dxa"/>
          </w:tcPr>
          <w:p w14:paraId="47C6BCA0" w14:textId="77777777" w:rsidR="00485576" w:rsidRDefault="00485576" w:rsidP="00014ACA">
            <w:pPr>
              <w:pStyle w:val="Tablecontent"/>
            </w:pPr>
            <w:r>
              <w:t>Indiv (25)</w:t>
            </w:r>
          </w:p>
        </w:tc>
        <w:tc>
          <w:tcPr>
            <w:tcW w:w="850" w:type="dxa"/>
          </w:tcPr>
          <w:p w14:paraId="13F0E4EB" w14:textId="0CA6A13D" w:rsidR="00485576" w:rsidRDefault="0004035F" w:rsidP="00014ACA">
            <w:pPr>
              <w:pStyle w:val="Tablecontent"/>
              <w:jc w:val="center"/>
            </w:pPr>
            <w:r>
              <w:t>1</w:t>
            </w:r>
          </w:p>
        </w:tc>
      </w:tr>
      <w:tr w:rsidR="00485576" w14:paraId="27595675" w14:textId="1B8ABD5A" w:rsidTr="00014ACA">
        <w:trPr>
          <w:jc w:val="center"/>
        </w:trPr>
        <w:tc>
          <w:tcPr>
            <w:tcW w:w="2978" w:type="dxa"/>
          </w:tcPr>
          <w:p w14:paraId="46DF76B9" w14:textId="77777777" w:rsidR="00485576" w:rsidRDefault="00485576" w:rsidP="00014ACA">
            <w:pPr>
              <w:pStyle w:val="Tablecontent"/>
            </w:pPr>
          </w:p>
        </w:tc>
        <w:tc>
          <w:tcPr>
            <w:tcW w:w="1701" w:type="dxa"/>
          </w:tcPr>
          <w:p w14:paraId="05DA6164" w14:textId="77777777" w:rsidR="00485576" w:rsidRDefault="00485576" w:rsidP="00014ACA">
            <w:pPr>
              <w:pStyle w:val="Tablecontent"/>
            </w:pPr>
            <w:r>
              <w:t>WL</w:t>
            </w:r>
          </w:p>
        </w:tc>
        <w:tc>
          <w:tcPr>
            <w:tcW w:w="1559" w:type="dxa"/>
          </w:tcPr>
          <w:p w14:paraId="25D6E610" w14:textId="77777777" w:rsidR="00485576" w:rsidRDefault="00485576" w:rsidP="00014ACA">
            <w:pPr>
              <w:pStyle w:val="Tablecontent"/>
            </w:pPr>
            <w:r>
              <w:t>WL-Lp</w:t>
            </w:r>
          </w:p>
        </w:tc>
        <w:tc>
          <w:tcPr>
            <w:tcW w:w="1417" w:type="dxa"/>
          </w:tcPr>
          <w:p w14:paraId="4044B826" w14:textId="77777777" w:rsidR="00485576" w:rsidRDefault="00485576" w:rsidP="00014ACA">
            <w:pPr>
              <w:pStyle w:val="Tablecontent"/>
            </w:pPr>
            <w:r>
              <w:t>Pool (10)</w:t>
            </w:r>
          </w:p>
        </w:tc>
        <w:tc>
          <w:tcPr>
            <w:tcW w:w="850" w:type="dxa"/>
          </w:tcPr>
          <w:p w14:paraId="348EDF17" w14:textId="152598B4" w:rsidR="00485576" w:rsidRDefault="0004035F" w:rsidP="00014ACA">
            <w:pPr>
              <w:pStyle w:val="Tablecontent"/>
              <w:jc w:val="center"/>
            </w:pPr>
            <w:r>
              <w:t>1</w:t>
            </w:r>
          </w:p>
        </w:tc>
      </w:tr>
      <w:tr w:rsidR="00485576" w14:paraId="4922613A" w14:textId="68115470" w:rsidTr="00014ACA">
        <w:trPr>
          <w:jc w:val="center"/>
        </w:trPr>
        <w:tc>
          <w:tcPr>
            <w:tcW w:w="2978" w:type="dxa"/>
          </w:tcPr>
          <w:p w14:paraId="29569960" w14:textId="77777777" w:rsidR="00485576" w:rsidRDefault="00485576" w:rsidP="00014ACA">
            <w:pPr>
              <w:pStyle w:val="Tablecontent"/>
            </w:pPr>
          </w:p>
        </w:tc>
        <w:tc>
          <w:tcPr>
            <w:tcW w:w="1701" w:type="dxa"/>
          </w:tcPr>
          <w:p w14:paraId="7A46CDAA" w14:textId="77777777" w:rsidR="00485576" w:rsidRDefault="00485576" w:rsidP="00014ACA">
            <w:pPr>
              <w:pStyle w:val="Tablecontent"/>
            </w:pPr>
            <w:r>
              <w:t>WPR</w:t>
            </w:r>
          </w:p>
        </w:tc>
        <w:tc>
          <w:tcPr>
            <w:tcW w:w="1559" w:type="dxa"/>
          </w:tcPr>
          <w:p w14:paraId="094CF224" w14:textId="77777777" w:rsidR="00485576" w:rsidRDefault="00485576" w:rsidP="00014ACA">
            <w:pPr>
              <w:pStyle w:val="Tablecontent"/>
            </w:pPr>
            <w:r>
              <w:t>WPR-L</w:t>
            </w:r>
          </w:p>
        </w:tc>
        <w:tc>
          <w:tcPr>
            <w:tcW w:w="1417" w:type="dxa"/>
          </w:tcPr>
          <w:p w14:paraId="67F1FA76" w14:textId="77777777" w:rsidR="00485576" w:rsidRDefault="00485576" w:rsidP="00014ACA">
            <w:pPr>
              <w:pStyle w:val="Tablecontent"/>
            </w:pPr>
            <w:r>
              <w:t>Pool (10)</w:t>
            </w:r>
          </w:p>
        </w:tc>
        <w:tc>
          <w:tcPr>
            <w:tcW w:w="850" w:type="dxa"/>
          </w:tcPr>
          <w:p w14:paraId="7BE139C8" w14:textId="7A67ABA8" w:rsidR="00485576" w:rsidRDefault="0004035F" w:rsidP="00014ACA">
            <w:pPr>
              <w:pStyle w:val="Tablecontent"/>
              <w:jc w:val="center"/>
            </w:pPr>
            <w:r>
              <w:t>2</w:t>
            </w:r>
          </w:p>
        </w:tc>
      </w:tr>
      <w:tr w:rsidR="00485576" w14:paraId="038D9796" w14:textId="0A72997B" w:rsidTr="00014ACA">
        <w:trPr>
          <w:jc w:val="center"/>
        </w:trPr>
        <w:tc>
          <w:tcPr>
            <w:tcW w:w="2978" w:type="dxa"/>
          </w:tcPr>
          <w:p w14:paraId="46F8B82D" w14:textId="77777777" w:rsidR="00485576" w:rsidRDefault="00485576" w:rsidP="00014ACA">
            <w:pPr>
              <w:pStyle w:val="Tablecontent"/>
            </w:pPr>
            <w:r>
              <w:t>Pirbright inbred lines</w:t>
            </w:r>
          </w:p>
        </w:tc>
        <w:tc>
          <w:tcPr>
            <w:tcW w:w="1701" w:type="dxa"/>
          </w:tcPr>
          <w:p w14:paraId="4EBE6279" w14:textId="77777777" w:rsidR="00485576" w:rsidRDefault="00485576" w:rsidP="00014ACA">
            <w:pPr>
              <w:pStyle w:val="Tablecontent"/>
            </w:pPr>
            <w:r>
              <w:t>15</w:t>
            </w:r>
          </w:p>
        </w:tc>
        <w:tc>
          <w:tcPr>
            <w:tcW w:w="1559" w:type="dxa"/>
          </w:tcPr>
          <w:p w14:paraId="78D4AAC6" w14:textId="77777777" w:rsidR="00485576" w:rsidRDefault="00485576" w:rsidP="00014ACA">
            <w:pPr>
              <w:pStyle w:val="Tablecontent"/>
            </w:pPr>
            <w:r>
              <w:t>WL-PB-15</w:t>
            </w:r>
          </w:p>
        </w:tc>
        <w:tc>
          <w:tcPr>
            <w:tcW w:w="1417" w:type="dxa"/>
          </w:tcPr>
          <w:p w14:paraId="11A86093" w14:textId="77777777" w:rsidR="00485576" w:rsidRDefault="00485576" w:rsidP="00014ACA">
            <w:pPr>
              <w:pStyle w:val="Tablecontent"/>
            </w:pPr>
            <w:r>
              <w:t>Pool (10)</w:t>
            </w:r>
          </w:p>
        </w:tc>
        <w:tc>
          <w:tcPr>
            <w:tcW w:w="850" w:type="dxa"/>
          </w:tcPr>
          <w:p w14:paraId="6976C5D8" w14:textId="24CBC87C" w:rsidR="00485576" w:rsidRDefault="0004035F" w:rsidP="00014ACA">
            <w:pPr>
              <w:pStyle w:val="Tablecontent"/>
              <w:jc w:val="center"/>
            </w:pPr>
            <w:r>
              <w:t>1</w:t>
            </w:r>
          </w:p>
        </w:tc>
      </w:tr>
      <w:tr w:rsidR="00485576" w14:paraId="198C136D" w14:textId="0C90D839" w:rsidTr="00014ACA">
        <w:trPr>
          <w:jc w:val="center"/>
        </w:trPr>
        <w:tc>
          <w:tcPr>
            <w:tcW w:w="2978" w:type="dxa"/>
          </w:tcPr>
          <w:p w14:paraId="69FD0119" w14:textId="77777777" w:rsidR="00485576" w:rsidRDefault="00485576" w:rsidP="00014ACA">
            <w:pPr>
              <w:pStyle w:val="Tablecontent"/>
            </w:pPr>
          </w:p>
        </w:tc>
        <w:tc>
          <w:tcPr>
            <w:tcW w:w="1701" w:type="dxa"/>
          </w:tcPr>
          <w:p w14:paraId="2A201159" w14:textId="77777777" w:rsidR="00485576" w:rsidRDefault="00485576" w:rsidP="00014ACA">
            <w:pPr>
              <w:pStyle w:val="Tablecontent"/>
            </w:pPr>
            <w:r>
              <w:t>6</w:t>
            </w:r>
          </w:p>
        </w:tc>
        <w:tc>
          <w:tcPr>
            <w:tcW w:w="1559" w:type="dxa"/>
          </w:tcPr>
          <w:p w14:paraId="2B464113" w14:textId="77777777" w:rsidR="00485576" w:rsidRDefault="00485576" w:rsidP="00014ACA">
            <w:pPr>
              <w:pStyle w:val="Tablecontent"/>
            </w:pPr>
            <w:r>
              <w:t>WL-PB-6</w:t>
            </w:r>
          </w:p>
        </w:tc>
        <w:tc>
          <w:tcPr>
            <w:tcW w:w="1417" w:type="dxa"/>
          </w:tcPr>
          <w:p w14:paraId="413B4327" w14:textId="77777777" w:rsidR="00485576" w:rsidRDefault="00485576" w:rsidP="00014ACA">
            <w:pPr>
              <w:pStyle w:val="Tablecontent"/>
            </w:pPr>
            <w:r>
              <w:t>Pool (10)</w:t>
            </w:r>
          </w:p>
        </w:tc>
        <w:tc>
          <w:tcPr>
            <w:tcW w:w="850" w:type="dxa"/>
          </w:tcPr>
          <w:p w14:paraId="2BC3B3A3" w14:textId="523C4115" w:rsidR="00485576" w:rsidRDefault="0004035F" w:rsidP="00014ACA">
            <w:pPr>
              <w:pStyle w:val="Tablecontent"/>
              <w:jc w:val="center"/>
            </w:pPr>
            <w:r>
              <w:t>1</w:t>
            </w:r>
          </w:p>
        </w:tc>
      </w:tr>
      <w:tr w:rsidR="00485576" w14:paraId="4B8017DA" w14:textId="0DCF3F26" w:rsidTr="00014ACA">
        <w:trPr>
          <w:jc w:val="center"/>
        </w:trPr>
        <w:tc>
          <w:tcPr>
            <w:tcW w:w="2978" w:type="dxa"/>
          </w:tcPr>
          <w:p w14:paraId="2DD1F16C" w14:textId="77777777" w:rsidR="00485576" w:rsidRDefault="00485576" w:rsidP="00014ACA">
            <w:pPr>
              <w:pStyle w:val="Tablecontent"/>
            </w:pPr>
          </w:p>
        </w:tc>
        <w:tc>
          <w:tcPr>
            <w:tcW w:w="1701" w:type="dxa"/>
          </w:tcPr>
          <w:p w14:paraId="6A27983E" w14:textId="77777777" w:rsidR="00485576" w:rsidRDefault="00485576" w:rsidP="00014ACA">
            <w:pPr>
              <w:pStyle w:val="Tablecontent"/>
            </w:pPr>
            <w:r>
              <w:t>7</w:t>
            </w:r>
          </w:p>
        </w:tc>
        <w:tc>
          <w:tcPr>
            <w:tcW w:w="1559" w:type="dxa"/>
          </w:tcPr>
          <w:p w14:paraId="0C0884D4" w14:textId="77777777" w:rsidR="00485576" w:rsidRDefault="00485576" w:rsidP="00014ACA">
            <w:pPr>
              <w:pStyle w:val="Tablecontent"/>
            </w:pPr>
            <w:r>
              <w:t>WL-PB-7</w:t>
            </w:r>
          </w:p>
        </w:tc>
        <w:tc>
          <w:tcPr>
            <w:tcW w:w="1417" w:type="dxa"/>
          </w:tcPr>
          <w:p w14:paraId="3DDC679F" w14:textId="77777777" w:rsidR="00485576" w:rsidRDefault="00485576" w:rsidP="00014ACA">
            <w:pPr>
              <w:pStyle w:val="Tablecontent"/>
            </w:pPr>
            <w:r>
              <w:t>Pool (10)</w:t>
            </w:r>
          </w:p>
        </w:tc>
        <w:tc>
          <w:tcPr>
            <w:tcW w:w="850" w:type="dxa"/>
          </w:tcPr>
          <w:p w14:paraId="62B63A7E" w14:textId="4F1EE764" w:rsidR="00485576" w:rsidRDefault="0004035F" w:rsidP="00014ACA">
            <w:pPr>
              <w:pStyle w:val="Tablecontent"/>
              <w:jc w:val="center"/>
            </w:pPr>
            <w:r>
              <w:t>1</w:t>
            </w:r>
          </w:p>
        </w:tc>
      </w:tr>
      <w:tr w:rsidR="00485576" w14:paraId="53B13682" w14:textId="03EEDBA1" w:rsidTr="00014ACA">
        <w:trPr>
          <w:jc w:val="center"/>
        </w:trPr>
        <w:tc>
          <w:tcPr>
            <w:tcW w:w="2978" w:type="dxa"/>
          </w:tcPr>
          <w:p w14:paraId="0C1FDEEA" w14:textId="77777777" w:rsidR="00485576" w:rsidRDefault="00485576" w:rsidP="00014ACA">
            <w:pPr>
              <w:pStyle w:val="Tablecontent"/>
            </w:pPr>
          </w:p>
        </w:tc>
        <w:tc>
          <w:tcPr>
            <w:tcW w:w="1701" w:type="dxa"/>
          </w:tcPr>
          <w:p w14:paraId="3DB76CE2" w14:textId="77777777" w:rsidR="00485576" w:rsidRDefault="00485576" w:rsidP="00014ACA">
            <w:pPr>
              <w:pStyle w:val="Tablecontent"/>
            </w:pPr>
            <w:r>
              <w:t>C</w:t>
            </w:r>
          </w:p>
        </w:tc>
        <w:tc>
          <w:tcPr>
            <w:tcW w:w="1559" w:type="dxa"/>
          </w:tcPr>
          <w:p w14:paraId="40D8E495" w14:textId="77777777" w:rsidR="00485576" w:rsidRDefault="00485576" w:rsidP="00014ACA">
            <w:pPr>
              <w:pStyle w:val="Tablecontent"/>
            </w:pPr>
            <w:r>
              <w:t>WL-PB-C</w:t>
            </w:r>
          </w:p>
        </w:tc>
        <w:tc>
          <w:tcPr>
            <w:tcW w:w="1417" w:type="dxa"/>
          </w:tcPr>
          <w:p w14:paraId="5BC5F0BC" w14:textId="77777777" w:rsidR="00485576" w:rsidRDefault="00485576" w:rsidP="00014ACA">
            <w:pPr>
              <w:pStyle w:val="Tablecontent"/>
            </w:pPr>
            <w:r>
              <w:t>Pool (10)</w:t>
            </w:r>
          </w:p>
        </w:tc>
        <w:tc>
          <w:tcPr>
            <w:tcW w:w="850" w:type="dxa"/>
          </w:tcPr>
          <w:p w14:paraId="7D6C5985" w14:textId="1AC55F55" w:rsidR="00485576" w:rsidRDefault="0004035F" w:rsidP="00014ACA">
            <w:pPr>
              <w:pStyle w:val="Tablecontent"/>
              <w:jc w:val="center"/>
            </w:pPr>
            <w:r>
              <w:t>1</w:t>
            </w:r>
          </w:p>
        </w:tc>
      </w:tr>
      <w:tr w:rsidR="00485576" w14:paraId="14F615F1" w14:textId="40B33FB3" w:rsidTr="00014ACA">
        <w:trPr>
          <w:jc w:val="center"/>
        </w:trPr>
        <w:tc>
          <w:tcPr>
            <w:tcW w:w="2978" w:type="dxa"/>
          </w:tcPr>
          <w:p w14:paraId="50850DBD" w14:textId="77777777" w:rsidR="00485576" w:rsidRDefault="00485576" w:rsidP="00014ACA">
            <w:pPr>
              <w:pStyle w:val="Tablecontent"/>
            </w:pPr>
          </w:p>
        </w:tc>
        <w:tc>
          <w:tcPr>
            <w:tcW w:w="1701" w:type="dxa"/>
          </w:tcPr>
          <w:p w14:paraId="1B6CF6CF" w14:textId="77777777" w:rsidR="00485576" w:rsidRDefault="00485576" w:rsidP="00014ACA">
            <w:pPr>
              <w:pStyle w:val="Tablecontent"/>
            </w:pPr>
            <w:r>
              <w:t>N</w:t>
            </w:r>
          </w:p>
        </w:tc>
        <w:tc>
          <w:tcPr>
            <w:tcW w:w="1559" w:type="dxa"/>
          </w:tcPr>
          <w:p w14:paraId="3E45334C" w14:textId="77777777" w:rsidR="00485576" w:rsidRDefault="00485576" w:rsidP="00014ACA">
            <w:pPr>
              <w:pStyle w:val="Tablecontent"/>
            </w:pPr>
            <w:r>
              <w:t>WL-PB-N</w:t>
            </w:r>
          </w:p>
        </w:tc>
        <w:tc>
          <w:tcPr>
            <w:tcW w:w="1417" w:type="dxa"/>
          </w:tcPr>
          <w:p w14:paraId="7FCDCB1D" w14:textId="77777777" w:rsidR="00485576" w:rsidRDefault="00485576" w:rsidP="00014ACA">
            <w:pPr>
              <w:pStyle w:val="Tablecontent"/>
            </w:pPr>
            <w:r>
              <w:t>Pool (10)</w:t>
            </w:r>
          </w:p>
        </w:tc>
        <w:tc>
          <w:tcPr>
            <w:tcW w:w="850" w:type="dxa"/>
          </w:tcPr>
          <w:p w14:paraId="379F7D96" w14:textId="5BBFB1B8" w:rsidR="00485576" w:rsidRDefault="0004035F" w:rsidP="00014ACA">
            <w:pPr>
              <w:pStyle w:val="Tablecontent"/>
              <w:jc w:val="center"/>
            </w:pPr>
            <w:r>
              <w:t>1</w:t>
            </w:r>
          </w:p>
        </w:tc>
      </w:tr>
      <w:tr w:rsidR="00485576" w14:paraId="5B1F4C97" w14:textId="7CA1A8DF" w:rsidTr="00014ACA">
        <w:trPr>
          <w:jc w:val="center"/>
        </w:trPr>
        <w:tc>
          <w:tcPr>
            <w:tcW w:w="2978" w:type="dxa"/>
          </w:tcPr>
          <w:p w14:paraId="3FB48283" w14:textId="77777777" w:rsidR="00485576" w:rsidRDefault="00485576" w:rsidP="00014ACA">
            <w:pPr>
              <w:pStyle w:val="Tablecontent"/>
            </w:pPr>
          </w:p>
        </w:tc>
        <w:tc>
          <w:tcPr>
            <w:tcW w:w="1701" w:type="dxa"/>
          </w:tcPr>
          <w:p w14:paraId="0AFFABC4" w14:textId="77777777" w:rsidR="00485576" w:rsidRDefault="00485576" w:rsidP="00014ACA">
            <w:pPr>
              <w:pStyle w:val="Tablecontent"/>
            </w:pPr>
            <w:r>
              <w:t>P</w:t>
            </w:r>
          </w:p>
        </w:tc>
        <w:tc>
          <w:tcPr>
            <w:tcW w:w="1559" w:type="dxa"/>
          </w:tcPr>
          <w:p w14:paraId="0D6D3F52" w14:textId="77777777" w:rsidR="00485576" w:rsidRDefault="00485576" w:rsidP="00014ACA">
            <w:pPr>
              <w:pStyle w:val="Tablecontent"/>
            </w:pPr>
            <w:r>
              <w:t>WL-PB-P</w:t>
            </w:r>
          </w:p>
        </w:tc>
        <w:tc>
          <w:tcPr>
            <w:tcW w:w="1417" w:type="dxa"/>
          </w:tcPr>
          <w:p w14:paraId="3322DA59" w14:textId="77777777" w:rsidR="00485576" w:rsidRDefault="00485576" w:rsidP="00014ACA">
            <w:pPr>
              <w:pStyle w:val="Tablecontent"/>
            </w:pPr>
            <w:r>
              <w:t>Pool (10)</w:t>
            </w:r>
          </w:p>
        </w:tc>
        <w:tc>
          <w:tcPr>
            <w:tcW w:w="850" w:type="dxa"/>
          </w:tcPr>
          <w:p w14:paraId="60D87ADB" w14:textId="70874BD5" w:rsidR="00485576" w:rsidRDefault="0004035F" w:rsidP="00014ACA">
            <w:pPr>
              <w:pStyle w:val="Tablecontent"/>
              <w:jc w:val="center"/>
            </w:pPr>
            <w:r>
              <w:t>1</w:t>
            </w:r>
          </w:p>
        </w:tc>
      </w:tr>
      <w:tr w:rsidR="00485576" w14:paraId="385EE2AF" w14:textId="6BEE0989" w:rsidTr="00014ACA">
        <w:trPr>
          <w:jc w:val="center"/>
        </w:trPr>
        <w:tc>
          <w:tcPr>
            <w:tcW w:w="2978" w:type="dxa"/>
          </w:tcPr>
          <w:p w14:paraId="5ACA28E7" w14:textId="77777777" w:rsidR="00485576" w:rsidRDefault="00485576" w:rsidP="00014ACA">
            <w:pPr>
              <w:pStyle w:val="Tablecontent"/>
            </w:pPr>
          </w:p>
        </w:tc>
        <w:tc>
          <w:tcPr>
            <w:tcW w:w="1701" w:type="dxa"/>
          </w:tcPr>
          <w:p w14:paraId="188FFCEA" w14:textId="77777777" w:rsidR="00485576" w:rsidRDefault="00485576" w:rsidP="00014ACA">
            <w:pPr>
              <w:pStyle w:val="Tablecontent"/>
            </w:pPr>
            <w:r>
              <w:t>Wellcome</w:t>
            </w:r>
          </w:p>
        </w:tc>
        <w:tc>
          <w:tcPr>
            <w:tcW w:w="1559" w:type="dxa"/>
          </w:tcPr>
          <w:p w14:paraId="66E64C10" w14:textId="77777777" w:rsidR="00485576" w:rsidRDefault="00485576" w:rsidP="00014ACA">
            <w:pPr>
              <w:pStyle w:val="Tablecontent"/>
            </w:pPr>
            <w:r>
              <w:t>WL-PB-W</w:t>
            </w:r>
          </w:p>
        </w:tc>
        <w:tc>
          <w:tcPr>
            <w:tcW w:w="1417" w:type="dxa"/>
          </w:tcPr>
          <w:p w14:paraId="2C00DE5A" w14:textId="77777777" w:rsidR="00485576" w:rsidRDefault="00485576" w:rsidP="00014ACA">
            <w:pPr>
              <w:pStyle w:val="Tablecontent"/>
            </w:pPr>
            <w:r>
              <w:t>Pool (10)</w:t>
            </w:r>
          </w:p>
        </w:tc>
        <w:tc>
          <w:tcPr>
            <w:tcW w:w="850" w:type="dxa"/>
          </w:tcPr>
          <w:p w14:paraId="25F0AEC7" w14:textId="23E5BE99" w:rsidR="00485576" w:rsidRDefault="0004035F" w:rsidP="00014ACA">
            <w:pPr>
              <w:pStyle w:val="Tablecontent"/>
              <w:jc w:val="center"/>
            </w:pPr>
            <w:r>
              <w:t>1</w:t>
            </w:r>
          </w:p>
        </w:tc>
      </w:tr>
      <w:tr w:rsidR="00485576" w14:paraId="2B0E311E" w14:textId="1D6DD240" w:rsidTr="00014ACA">
        <w:trPr>
          <w:jc w:val="center"/>
        </w:trPr>
        <w:tc>
          <w:tcPr>
            <w:tcW w:w="2978" w:type="dxa"/>
          </w:tcPr>
          <w:p w14:paraId="2B2B320F" w14:textId="77777777" w:rsidR="00485576" w:rsidRDefault="00485576" w:rsidP="00014ACA">
            <w:pPr>
              <w:pStyle w:val="Tablecontent"/>
            </w:pPr>
          </w:p>
        </w:tc>
        <w:tc>
          <w:tcPr>
            <w:tcW w:w="1701" w:type="dxa"/>
          </w:tcPr>
          <w:p w14:paraId="332C452A" w14:textId="77777777" w:rsidR="00485576" w:rsidRDefault="00485576" w:rsidP="00014ACA">
            <w:pPr>
              <w:pStyle w:val="Tablecontent"/>
            </w:pPr>
            <w:r>
              <w:t>Zero</w:t>
            </w:r>
          </w:p>
        </w:tc>
        <w:tc>
          <w:tcPr>
            <w:tcW w:w="1559" w:type="dxa"/>
          </w:tcPr>
          <w:p w14:paraId="44661C52" w14:textId="77777777" w:rsidR="00485576" w:rsidRDefault="00485576" w:rsidP="00014ACA">
            <w:pPr>
              <w:pStyle w:val="Tablecontent"/>
            </w:pPr>
            <w:r>
              <w:t>WL-PB-Z</w:t>
            </w:r>
          </w:p>
        </w:tc>
        <w:tc>
          <w:tcPr>
            <w:tcW w:w="1417" w:type="dxa"/>
          </w:tcPr>
          <w:p w14:paraId="1C595B3F" w14:textId="77777777" w:rsidR="00485576" w:rsidRDefault="00485576" w:rsidP="00014ACA">
            <w:pPr>
              <w:pStyle w:val="Tablecontent"/>
            </w:pPr>
            <w:r>
              <w:t>Pool (10)</w:t>
            </w:r>
          </w:p>
        </w:tc>
        <w:tc>
          <w:tcPr>
            <w:tcW w:w="850" w:type="dxa"/>
          </w:tcPr>
          <w:p w14:paraId="19279F71" w14:textId="7029EE7B" w:rsidR="00485576" w:rsidRDefault="0004035F" w:rsidP="00014ACA">
            <w:pPr>
              <w:pStyle w:val="Tablecontent"/>
              <w:jc w:val="center"/>
            </w:pPr>
            <w:r>
              <w:t>1</w:t>
            </w:r>
          </w:p>
        </w:tc>
      </w:tr>
      <w:tr w:rsidR="00485576" w14:paraId="3173F6E9" w14:textId="201C82C0" w:rsidTr="00014ACA">
        <w:trPr>
          <w:jc w:val="center"/>
        </w:trPr>
        <w:tc>
          <w:tcPr>
            <w:tcW w:w="2978" w:type="dxa"/>
          </w:tcPr>
          <w:p w14:paraId="5A7F0C56" w14:textId="77777777" w:rsidR="00485576" w:rsidRDefault="00485576" w:rsidP="00014ACA">
            <w:pPr>
              <w:pStyle w:val="Tablecontent"/>
            </w:pPr>
            <w:r>
              <w:t>Roslin experimental blind</w:t>
            </w:r>
          </w:p>
        </w:tc>
        <w:tc>
          <w:tcPr>
            <w:tcW w:w="1701" w:type="dxa"/>
          </w:tcPr>
          <w:p w14:paraId="5709212C" w14:textId="77777777" w:rsidR="00485576" w:rsidRDefault="00485576" w:rsidP="00014ACA">
            <w:pPr>
              <w:pStyle w:val="Tablecontent"/>
            </w:pPr>
            <w:r>
              <w:t>BEG blind</w:t>
            </w:r>
          </w:p>
        </w:tc>
        <w:tc>
          <w:tcPr>
            <w:tcW w:w="1559" w:type="dxa"/>
          </w:tcPr>
          <w:p w14:paraId="144A7E56" w14:textId="77777777" w:rsidR="00485576" w:rsidRDefault="00485576" w:rsidP="00014ACA">
            <w:pPr>
              <w:pStyle w:val="Tablecontent"/>
            </w:pPr>
            <w:r>
              <w:t>BL-BEGb</w:t>
            </w:r>
          </w:p>
        </w:tc>
        <w:tc>
          <w:tcPr>
            <w:tcW w:w="1417" w:type="dxa"/>
          </w:tcPr>
          <w:p w14:paraId="08DD6B8F" w14:textId="77777777" w:rsidR="00485576" w:rsidRDefault="00485576" w:rsidP="00014ACA">
            <w:pPr>
              <w:pStyle w:val="Tablecontent"/>
            </w:pPr>
            <w:r>
              <w:t>Pool (10)</w:t>
            </w:r>
          </w:p>
        </w:tc>
        <w:tc>
          <w:tcPr>
            <w:tcW w:w="850" w:type="dxa"/>
          </w:tcPr>
          <w:p w14:paraId="00D0CB48" w14:textId="3A7DFEA0" w:rsidR="00485576" w:rsidRDefault="0004035F" w:rsidP="00014ACA">
            <w:pPr>
              <w:pStyle w:val="Tablecontent"/>
              <w:jc w:val="center"/>
            </w:pPr>
            <w:r>
              <w:t>1</w:t>
            </w:r>
          </w:p>
        </w:tc>
      </w:tr>
      <w:tr w:rsidR="00485576" w14:paraId="626B34CC" w14:textId="6513403A" w:rsidTr="00014ACA">
        <w:trPr>
          <w:jc w:val="center"/>
        </w:trPr>
        <w:tc>
          <w:tcPr>
            <w:tcW w:w="2978" w:type="dxa"/>
          </w:tcPr>
          <w:p w14:paraId="48D417B2" w14:textId="77777777" w:rsidR="00485576" w:rsidRDefault="00485576" w:rsidP="00014ACA">
            <w:pPr>
              <w:pStyle w:val="Tablecontent"/>
            </w:pPr>
          </w:p>
        </w:tc>
        <w:tc>
          <w:tcPr>
            <w:tcW w:w="1701" w:type="dxa"/>
          </w:tcPr>
          <w:p w14:paraId="0B9DD358" w14:textId="77777777" w:rsidR="00485576" w:rsidRDefault="00485576" w:rsidP="00014ACA">
            <w:pPr>
              <w:pStyle w:val="Tablecontent"/>
            </w:pPr>
            <w:r>
              <w:t>BEG sighted</w:t>
            </w:r>
          </w:p>
        </w:tc>
        <w:tc>
          <w:tcPr>
            <w:tcW w:w="1559" w:type="dxa"/>
          </w:tcPr>
          <w:p w14:paraId="40C19BFA" w14:textId="77777777" w:rsidR="00485576" w:rsidRDefault="00485576" w:rsidP="00014ACA">
            <w:pPr>
              <w:pStyle w:val="Tablecontent"/>
            </w:pPr>
            <w:r>
              <w:t>BL-BEGs</w:t>
            </w:r>
          </w:p>
        </w:tc>
        <w:tc>
          <w:tcPr>
            <w:tcW w:w="1417" w:type="dxa"/>
          </w:tcPr>
          <w:p w14:paraId="5E89AAD2" w14:textId="77777777" w:rsidR="00485576" w:rsidRDefault="00485576" w:rsidP="00014ACA">
            <w:pPr>
              <w:pStyle w:val="Tablecontent"/>
            </w:pPr>
            <w:r>
              <w:t>Pool (10)</w:t>
            </w:r>
          </w:p>
        </w:tc>
        <w:tc>
          <w:tcPr>
            <w:tcW w:w="850" w:type="dxa"/>
          </w:tcPr>
          <w:p w14:paraId="2E93DE51" w14:textId="38EF8042" w:rsidR="00485576" w:rsidRDefault="0004035F" w:rsidP="00014ACA">
            <w:pPr>
              <w:pStyle w:val="Tablecontent"/>
              <w:jc w:val="center"/>
            </w:pPr>
            <w:r>
              <w:t>1</w:t>
            </w:r>
          </w:p>
        </w:tc>
      </w:tr>
      <w:tr w:rsidR="00485576" w14:paraId="7ADDC6C3" w14:textId="79C4A848" w:rsidTr="00014ACA">
        <w:trPr>
          <w:jc w:val="center"/>
        </w:trPr>
        <w:tc>
          <w:tcPr>
            <w:tcW w:w="2978" w:type="dxa"/>
          </w:tcPr>
          <w:p w14:paraId="45D54F46" w14:textId="77777777" w:rsidR="00485576" w:rsidRDefault="00485576" w:rsidP="00014ACA">
            <w:pPr>
              <w:pStyle w:val="Tablecontent"/>
            </w:pPr>
          </w:p>
        </w:tc>
        <w:tc>
          <w:tcPr>
            <w:tcW w:w="1701" w:type="dxa"/>
          </w:tcPr>
          <w:p w14:paraId="234F101D" w14:textId="77777777" w:rsidR="00485576" w:rsidRDefault="00485576" w:rsidP="00014ACA">
            <w:pPr>
              <w:pStyle w:val="Tablecontent"/>
            </w:pPr>
            <w:r>
              <w:t xml:space="preserve">RGE blind </w:t>
            </w:r>
          </w:p>
        </w:tc>
        <w:tc>
          <w:tcPr>
            <w:tcW w:w="1559" w:type="dxa"/>
          </w:tcPr>
          <w:p w14:paraId="2B2A00A7" w14:textId="77777777" w:rsidR="00485576" w:rsidRDefault="00485576" w:rsidP="00014ACA">
            <w:pPr>
              <w:pStyle w:val="Tablecontent"/>
            </w:pPr>
            <w:r>
              <w:t>BL-RGEbm</w:t>
            </w:r>
          </w:p>
        </w:tc>
        <w:tc>
          <w:tcPr>
            <w:tcW w:w="1417" w:type="dxa"/>
          </w:tcPr>
          <w:p w14:paraId="0567D186" w14:textId="77777777" w:rsidR="00485576" w:rsidRDefault="00485576" w:rsidP="00014ACA">
            <w:pPr>
              <w:pStyle w:val="Tablecontent"/>
            </w:pPr>
            <w:r>
              <w:t>Indiv (1)</w:t>
            </w:r>
          </w:p>
        </w:tc>
        <w:tc>
          <w:tcPr>
            <w:tcW w:w="850" w:type="dxa"/>
          </w:tcPr>
          <w:p w14:paraId="0878D0B7" w14:textId="7A7BA4D0" w:rsidR="00485576" w:rsidRDefault="0004035F" w:rsidP="00014ACA">
            <w:pPr>
              <w:pStyle w:val="Tablecontent"/>
              <w:jc w:val="center"/>
            </w:pPr>
            <w:r>
              <w:t>1</w:t>
            </w:r>
          </w:p>
        </w:tc>
      </w:tr>
      <w:tr w:rsidR="00485576" w14:paraId="3001C641" w14:textId="1DEBA804" w:rsidTr="00014ACA">
        <w:trPr>
          <w:jc w:val="center"/>
        </w:trPr>
        <w:tc>
          <w:tcPr>
            <w:tcW w:w="2978" w:type="dxa"/>
          </w:tcPr>
          <w:p w14:paraId="291F12D0" w14:textId="77777777" w:rsidR="00485576" w:rsidRDefault="00485576" w:rsidP="00014ACA">
            <w:pPr>
              <w:pStyle w:val="Tablecontent"/>
            </w:pPr>
          </w:p>
        </w:tc>
        <w:tc>
          <w:tcPr>
            <w:tcW w:w="1701" w:type="dxa"/>
          </w:tcPr>
          <w:p w14:paraId="282185AA" w14:textId="77777777" w:rsidR="00485576" w:rsidRDefault="00485576" w:rsidP="00014ACA">
            <w:pPr>
              <w:pStyle w:val="Tablecontent"/>
            </w:pPr>
            <w:r>
              <w:t>RGE blind</w:t>
            </w:r>
          </w:p>
        </w:tc>
        <w:tc>
          <w:tcPr>
            <w:tcW w:w="1559" w:type="dxa"/>
          </w:tcPr>
          <w:p w14:paraId="291184E7" w14:textId="77777777" w:rsidR="00485576" w:rsidRDefault="00485576" w:rsidP="00014ACA">
            <w:pPr>
              <w:pStyle w:val="Tablecontent"/>
            </w:pPr>
            <w:r>
              <w:t>BL-RGEbp</w:t>
            </w:r>
          </w:p>
        </w:tc>
        <w:tc>
          <w:tcPr>
            <w:tcW w:w="1417" w:type="dxa"/>
          </w:tcPr>
          <w:p w14:paraId="202469F6" w14:textId="77777777" w:rsidR="00485576" w:rsidRDefault="00485576" w:rsidP="00014ACA">
            <w:pPr>
              <w:pStyle w:val="Tablecontent"/>
            </w:pPr>
            <w:r>
              <w:t>Pool (10)</w:t>
            </w:r>
          </w:p>
        </w:tc>
        <w:tc>
          <w:tcPr>
            <w:tcW w:w="850" w:type="dxa"/>
          </w:tcPr>
          <w:p w14:paraId="74996962" w14:textId="20DDEA95" w:rsidR="00485576" w:rsidRDefault="0004035F" w:rsidP="00014ACA">
            <w:pPr>
              <w:pStyle w:val="Tablecontent"/>
              <w:jc w:val="center"/>
            </w:pPr>
            <w:r>
              <w:t>1</w:t>
            </w:r>
          </w:p>
        </w:tc>
      </w:tr>
      <w:tr w:rsidR="00485576" w14:paraId="70C72AA2" w14:textId="3C6CBCD4" w:rsidTr="00014ACA">
        <w:trPr>
          <w:jc w:val="center"/>
        </w:trPr>
        <w:tc>
          <w:tcPr>
            <w:tcW w:w="2978" w:type="dxa"/>
          </w:tcPr>
          <w:p w14:paraId="4F1F74D1" w14:textId="77777777" w:rsidR="00485576" w:rsidRDefault="00485576" w:rsidP="00014ACA">
            <w:pPr>
              <w:pStyle w:val="Tablecontent"/>
            </w:pPr>
          </w:p>
        </w:tc>
        <w:tc>
          <w:tcPr>
            <w:tcW w:w="1701" w:type="dxa"/>
          </w:tcPr>
          <w:p w14:paraId="04D16187" w14:textId="77777777" w:rsidR="00485576" w:rsidRDefault="00485576" w:rsidP="00014ACA">
            <w:pPr>
              <w:pStyle w:val="Tablecontent"/>
            </w:pPr>
            <w:r>
              <w:t>RGE sighted</w:t>
            </w:r>
          </w:p>
        </w:tc>
        <w:tc>
          <w:tcPr>
            <w:tcW w:w="1559" w:type="dxa"/>
          </w:tcPr>
          <w:p w14:paraId="6F972539" w14:textId="77777777" w:rsidR="00485576" w:rsidRDefault="00485576" w:rsidP="00014ACA">
            <w:pPr>
              <w:pStyle w:val="Tablecontent"/>
            </w:pPr>
            <w:r>
              <w:t>BL-RGEsf</w:t>
            </w:r>
          </w:p>
        </w:tc>
        <w:tc>
          <w:tcPr>
            <w:tcW w:w="1417" w:type="dxa"/>
          </w:tcPr>
          <w:p w14:paraId="147BE9DB" w14:textId="77777777" w:rsidR="00485576" w:rsidRDefault="00485576" w:rsidP="00014ACA">
            <w:pPr>
              <w:pStyle w:val="Tablecontent"/>
            </w:pPr>
            <w:r>
              <w:t>Indiv (1)</w:t>
            </w:r>
          </w:p>
        </w:tc>
        <w:tc>
          <w:tcPr>
            <w:tcW w:w="850" w:type="dxa"/>
          </w:tcPr>
          <w:p w14:paraId="3294DDF8" w14:textId="2FCC745A" w:rsidR="00485576" w:rsidRDefault="0004035F" w:rsidP="00014ACA">
            <w:pPr>
              <w:pStyle w:val="Tablecontent"/>
              <w:jc w:val="center"/>
            </w:pPr>
            <w:r>
              <w:t>1</w:t>
            </w:r>
          </w:p>
        </w:tc>
      </w:tr>
      <w:tr w:rsidR="00485576" w14:paraId="2D8532FF" w14:textId="14143B7A" w:rsidTr="00014ACA">
        <w:trPr>
          <w:jc w:val="center"/>
        </w:trPr>
        <w:tc>
          <w:tcPr>
            <w:tcW w:w="2978" w:type="dxa"/>
          </w:tcPr>
          <w:p w14:paraId="23BB6BE9" w14:textId="77777777" w:rsidR="00485576" w:rsidRDefault="00485576" w:rsidP="00014ACA">
            <w:pPr>
              <w:pStyle w:val="Tablecontent"/>
            </w:pPr>
          </w:p>
        </w:tc>
        <w:tc>
          <w:tcPr>
            <w:tcW w:w="1701" w:type="dxa"/>
          </w:tcPr>
          <w:p w14:paraId="68278237" w14:textId="77777777" w:rsidR="00485576" w:rsidRDefault="00485576" w:rsidP="00014ACA">
            <w:pPr>
              <w:pStyle w:val="Tablecontent"/>
            </w:pPr>
            <w:r>
              <w:t>RGE sighted</w:t>
            </w:r>
          </w:p>
        </w:tc>
        <w:tc>
          <w:tcPr>
            <w:tcW w:w="1559" w:type="dxa"/>
          </w:tcPr>
          <w:p w14:paraId="4EBB5724" w14:textId="77777777" w:rsidR="00485576" w:rsidRDefault="00485576" w:rsidP="00014ACA">
            <w:pPr>
              <w:pStyle w:val="Tablecontent"/>
            </w:pPr>
            <w:r>
              <w:t>BL-RGEsp</w:t>
            </w:r>
          </w:p>
        </w:tc>
        <w:tc>
          <w:tcPr>
            <w:tcW w:w="1417" w:type="dxa"/>
          </w:tcPr>
          <w:p w14:paraId="040ACDC8" w14:textId="77777777" w:rsidR="00485576" w:rsidRDefault="00485576" w:rsidP="00014ACA">
            <w:pPr>
              <w:pStyle w:val="Tablecontent"/>
            </w:pPr>
            <w:r>
              <w:t>Pool (10)</w:t>
            </w:r>
          </w:p>
        </w:tc>
        <w:tc>
          <w:tcPr>
            <w:tcW w:w="850" w:type="dxa"/>
          </w:tcPr>
          <w:p w14:paraId="673A7CA0" w14:textId="58FC2F65" w:rsidR="00485576" w:rsidRDefault="0004035F" w:rsidP="00014ACA">
            <w:pPr>
              <w:pStyle w:val="Tablecontent"/>
              <w:jc w:val="center"/>
            </w:pPr>
            <w:r>
              <w:t>1</w:t>
            </w:r>
          </w:p>
        </w:tc>
      </w:tr>
      <w:tr w:rsidR="00485576" w14:paraId="79E9870A" w14:textId="49CC0700" w:rsidTr="00014ACA">
        <w:trPr>
          <w:jc w:val="center"/>
        </w:trPr>
        <w:tc>
          <w:tcPr>
            <w:tcW w:w="2978" w:type="dxa"/>
          </w:tcPr>
          <w:p w14:paraId="6A022319" w14:textId="77777777" w:rsidR="00485576" w:rsidRDefault="00485576" w:rsidP="00014ACA">
            <w:pPr>
              <w:pStyle w:val="Tablecontent"/>
            </w:pPr>
            <w:r>
              <w:t>SPF commercials</w:t>
            </w:r>
          </w:p>
        </w:tc>
        <w:tc>
          <w:tcPr>
            <w:tcW w:w="1701" w:type="dxa"/>
          </w:tcPr>
          <w:p w14:paraId="6F095457" w14:textId="77777777" w:rsidR="00485576" w:rsidRDefault="00485576" w:rsidP="00014ACA">
            <w:pPr>
              <w:pStyle w:val="Tablecontent"/>
            </w:pPr>
            <w:r>
              <w:t>A</w:t>
            </w:r>
          </w:p>
        </w:tc>
        <w:tc>
          <w:tcPr>
            <w:tcW w:w="1559" w:type="dxa"/>
          </w:tcPr>
          <w:p w14:paraId="53F57AC6" w14:textId="77777777" w:rsidR="00485576" w:rsidRDefault="00485576" w:rsidP="00014ACA">
            <w:pPr>
              <w:pStyle w:val="Tablecontent"/>
            </w:pPr>
            <w:r>
              <w:t>WL-SPFa</w:t>
            </w:r>
          </w:p>
        </w:tc>
        <w:tc>
          <w:tcPr>
            <w:tcW w:w="1417" w:type="dxa"/>
          </w:tcPr>
          <w:p w14:paraId="0B73F0CC" w14:textId="77777777" w:rsidR="00485576" w:rsidRDefault="00485576" w:rsidP="00014ACA">
            <w:pPr>
              <w:pStyle w:val="Tablecontent"/>
            </w:pPr>
            <w:r>
              <w:t>Pool (14)</w:t>
            </w:r>
          </w:p>
        </w:tc>
        <w:tc>
          <w:tcPr>
            <w:tcW w:w="850" w:type="dxa"/>
          </w:tcPr>
          <w:p w14:paraId="33357506" w14:textId="6E795A7A" w:rsidR="00485576" w:rsidRDefault="0004035F" w:rsidP="00014ACA">
            <w:pPr>
              <w:pStyle w:val="Tablecontent"/>
              <w:jc w:val="center"/>
            </w:pPr>
            <w:r>
              <w:t>1</w:t>
            </w:r>
          </w:p>
        </w:tc>
      </w:tr>
      <w:tr w:rsidR="00485576" w14:paraId="1730EE05" w14:textId="24D741D8" w:rsidTr="00014ACA">
        <w:trPr>
          <w:jc w:val="center"/>
        </w:trPr>
        <w:tc>
          <w:tcPr>
            <w:tcW w:w="2978" w:type="dxa"/>
          </w:tcPr>
          <w:p w14:paraId="0EEE8F09" w14:textId="77777777" w:rsidR="00485576" w:rsidRDefault="00485576" w:rsidP="00014ACA">
            <w:pPr>
              <w:pStyle w:val="Tablecontent"/>
            </w:pPr>
          </w:p>
        </w:tc>
        <w:tc>
          <w:tcPr>
            <w:tcW w:w="1701" w:type="dxa"/>
          </w:tcPr>
          <w:p w14:paraId="70F1FE3E" w14:textId="77777777" w:rsidR="00485576" w:rsidRDefault="00485576" w:rsidP="00014ACA">
            <w:pPr>
              <w:pStyle w:val="Tablecontent"/>
            </w:pPr>
            <w:r>
              <w:t>B</w:t>
            </w:r>
          </w:p>
        </w:tc>
        <w:tc>
          <w:tcPr>
            <w:tcW w:w="1559" w:type="dxa"/>
          </w:tcPr>
          <w:p w14:paraId="0EB396A6" w14:textId="77777777" w:rsidR="00485576" w:rsidRDefault="00485576" w:rsidP="00014ACA">
            <w:pPr>
              <w:pStyle w:val="Tablecontent"/>
            </w:pPr>
            <w:r>
              <w:t>WL-SPFb</w:t>
            </w:r>
          </w:p>
        </w:tc>
        <w:tc>
          <w:tcPr>
            <w:tcW w:w="1417" w:type="dxa"/>
          </w:tcPr>
          <w:p w14:paraId="1AA7172E" w14:textId="77777777" w:rsidR="00485576" w:rsidRDefault="00485576" w:rsidP="00014ACA">
            <w:pPr>
              <w:pStyle w:val="Tablecontent"/>
            </w:pPr>
            <w:r>
              <w:t>Pool (11)</w:t>
            </w:r>
          </w:p>
        </w:tc>
        <w:tc>
          <w:tcPr>
            <w:tcW w:w="850" w:type="dxa"/>
          </w:tcPr>
          <w:p w14:paraId="7105CD10" w14:textId="0E656DF1" w:rsidR="00485576" w:rsidRDefault="0004035F" w:rsidP="00014ACA">
            <w:pPr>
              <w:pStyle w:val="Tablecontent"/>
              <w:jc w:val="center"/>
            </w:pPr>
            <w:r>
              <w:t>1</w:t>
            </w:r>
          </w:p>
        </w:tc>
      </w:tr>
      <w:tr w:rsidR="00485576" w14:paraId="3F544FE6" w14:textId="0698D79A" w:rsidTr="00014ACA">
        <w:trPr>
          <w:jc w:val="center"/>
        </w:trPr>
        <w:tc>
          <w:tcPr>
            <w:tcW w:w="2978" w:type="dxa"/>
          </w:tcPr>
          <w:p w14:paraId="4B27F308" w14:textId="77777777" w:rsidR="00485576" w:rsidRDefault="00485576" w:rsidP="00014ACA">
            <w:pPr>
              <w:pStyle w:val="Tablecontent"/>
            </w:pPr>
            <w:r>
              <w:t>Taiwanese domestic</w:t>
            </w:r>
          </w:p>
        </w:tc>
        <w:tc>
          <w:tcPr>
            <w:tcW w:w="1701" w:type="dxa"/>
          </w:tcPr>
          <w:p w14:paraId="56A3631B" w14:textId="77777777" w:rsidR="00485576" w:rsidRDefault="00485576" w:rsidP="00014ACA">
            <w:pPr>
              <w:pStyle w:val="Tablecontent"/>
            </w:pPr>
            <w:r>
              <w:t>Silkie</w:t>
            </w:r>
          </w:p>
        </w:tc>
        <w:tc>
          <w:tcPr>
            <w:tcW w:w="1559" w:type="dxa"/>
          </w:tcPr>
          <w:p w14:paraId="551DDD8C" w14:textId="77777777" w:rsidR="00485576" w:rsidRDefault="00485576" w:rsidP="00014ACA">
            <w:pPr>
              <w:pStyle w:val="Tablecontent"/>
            </w:pPr>
            <w:r>
              <w:t>Silkie</w:t>
            </w:r>
          </w:p>
        </w:tc>
        <w:tc>
          <w:tcPr>
            <w:tcW w:w="1417" w:type="dxa"/>
          </w:tcPr>
          <w:p w14:paraId="75C91C6C" w14:textId="77777777" w:rsidR="00485576" w:rsidRDefault="00485576" w:rsidP="00014ACA">
            <w:pPr>
              <w:pStyle w:val="Tablecontent"/>
            </w:pPr>
            <w:r>
              <w:t>Indiv (1)</w:t>
            </w:r>
          </w:p>
        </w:tc>
        <w:tc>
          <w:tcPr>
            <w:tcW w:w="850" w:type="dxa"/>
          </w:tcPr>
          <w:p w14:paraId="3093DAEE" w14:textId="0C7671CD" w:rsidR="00485576" w:rsidRDefault="0004035F" w:rsidP="00014ACA">
            <w:pPr>
              <w:pStyle w:val="Tablecontent"/>
              <w:jc w:val="center"/>
            </w:pPr>
            <w:r>
              <w:t>4</w:t>
            </w:r>
          </w:p>
        </w:tc>
      </w:tr>
      <w:tr w:rsidR="00485576" w14:paraId="00D77379" w14:textId="3342A7D7" w:rsidTr="00014ACA">
        <w:trPr>
          <w:jc w:val="center"/>
        </w:trPr>
        <w:tc>
          <w:tcPr>
            <w:tcW w:w="2978" w:type="dxa"/>
          </w:tcPr>
          <w:p w14:paraId="2089FD5A" w14:textId="77777777" w:rsidR="00485576" w:rsidRDefault="00485576" w:rsidP="00014ACA">
            <w:pPr>
              <w:pStyle w:val="Tablecontent"/>
            </w:pPr>
          </w:p>
        </w:tc>
        <w:tc>
          <w:tcPr>
            <w:tcW w:w="1701" w:type="dxa"/>
          </w:tcPr>
          <w:p w14:paraId="68C93485" w14:textId="77777777" w:rsidR="00485576" w:rsidRDefault="00485576" w:rsidP="00014ACA">
            <w:pPr>
              <w:pStyle w:val="Tablecontent"/>
            </w:pPr>
            <w:r>
              <w:t>Taiwan Country</w:t>
            </w:r>
          </w:p>
        </w:tc>
        <w:tc>
          <w:tcPr>
            <w:tcW w:w="1559" w:type="dxa"/>
          </w:tcPr>
          <w:p w14:paraId="09F0AF75" w14:textId="77777777" w:rsidR="00485576" w:rsidRDefault="00485576" w:rsidP="00014ACA">
            <w:pPr>
              <w:pStyle w:val="Tablecontent"/>
            </w:pPr>
            <w:r>
              <w:t>Taiwan</w:t>
            </w:r>
          </w:p>
        </w:tc>
        <w:tc>
          <w:tcPr>
            <w:tcW w:w="1417" w:type="dxa"/>
          </w:tcPr>
          <w:p w14:paraId="7187C683" w14:textId="77777777" w:rsidR="00485576" w:rsidRDefault="00485576" w:rsidP="00014ACA">
            <w:pPr>
              <w:pStyle w:val="Tablecontent"/>
            </w:pPr>
            <w:r>
              <w:t>Indiv (1)</w:t>
            </w:r>
          </w:p>
        </w:tc>
        <w:tc>
          <w:tcPr>
            <w:tcW w:w="850" w:type="dxa"/>
          </w:tcPr>
          <w:p w14:paraId="1F2DB29B" w14:textId="46E95AC9" w:rsidR="00485576" w:rsidRDefault="0004035F" w:rsidP="00014ACA">
            <w:pPr>
              <w:pStyle w:val="Tablecontent"/>
              <w:jc w:val="center"/>
            </w:pPr>
            <w:r>
              <w:t>4</w:t>
            </w:r>
          </w:p>
        </w:tc>
      </w:tr>
      <w:tr w:rsidR="00485576" w14:paraId="41367DF2" w14:textId="3729B36F" w:rsidTr="00014ACA">
        <w:trPr>
          <w:jc w:val="center"/>
        </w:trPr>
        <w:tc>
          <w:tcPr>
            <w:tcW w:w="2978" w:type="dxa"/>
          </w:tcPr>
          <w:p w14:paraId="6475A160" w14:textId="77777777" w:rsidR="00485576" w:rsidRDefault="00485576" w:rsidP="00014ACA">
            <w:pPr>
              <w:pStyle w:val="Tablecontent"/>
            </w:pPr>
            <w:r>
              <w:t>Tibetan highland/lowland</w:t>
            </w:r>
          </w:p>
        </w:tc>
        <w:tc>
          <w:tcPr>
            <w:tcW w:w="1701" w:type="dxa"/>
          </w:tcPr>
          <w:p w14:paraId="0FBCD777" w14:textId="77777777" w:rsidR="00485576" w:rsidRDefault="00485576" w:rsidP="00014ACA">
            <w:pPr>
              <w:pStyle w:val="Tablecontent"/>
            </w:pPr>
            <w:r>
              <w:t>Chahua</w:t>
            </w:r>
          </w:p>
        </w:tc>
        <w:tc>
          <w:tcPr>
            <w:tcW w:w="1559" w:type="dxa"/>
          </w:tcPr>
          <w:p w14:paraId="5AA2AB46" w14:textId="77777777" w:rsidR="00485576" w:rsidRDefault="00485576" w:rsidP="00014ACA">
            <w:pPr>
              <w:pStyle w:val="Tablecontent"/>
            </w:pPr>
            <w:r>
              <w:t>Chahua</w:t>
            </w:r>
          </w:p>
        </w:tc>
        <w:tc>
          <w:tcPr>
            <w:tcW w:w="1417" w:type="dxa"/>
          </w:tcPr>
          <w:p w14:paraId="2D917B5E" w14:textId="77777777" w:rsidR="00485576" w:rsidRDefault="00485576" w:rsidP="00014ACA">
            <w:pPr>
              <w:pStyle w:val="Tablecontent"/>
            </w:pPr>
            <w:r>
              <w:t>Indiv (1)</w:t>
            </w:r>
          </w:p>
        </w:tc>
        <w:tc>
          <w:tcPr>
            <w:tcW w:w="850" w:type="dxa"/>
          </w:tcPr>
          <w:p w14:paraId="55D57BF8" w14:textId="5FC8715A" w:rsidR="00485576" w:rsidRDefault="0004035F" w:rsidP="00014ACA">
            <w:pPr>
              <w:pStyle w:val="Tablecontent"/>
              <w:jc w:val="center"/>
            </w:pPr>
            <w:r>
              <w:t>4</w:t>
            </w:r>
          </w:p>
        </w:tc>
      </w:tr>
      <w:tr w:rsidR="00485576" w14:paraId="6E7E8F5B" w14:textId="7A01C057" w:rsidTr="00014ACA">
        <w:trPr>
          <w:jc w:val="center"/>
        </w:trPr>
        <w:tc>
          <w:tcPr>
            <w:tcW w:w="2978" w:type="dxa"/>
          </w:tcPr>
          <w:p w14:paraId="628A7A9D" w14:textId="77777777" w:rsidR="00485576" w:rsidRDefault="00485576" w:rsidP="00014ACA">
            <w:pPr>
              <w:pStyle w:val="Tablecontent"/>
            </w:pPr>
          </w:p>
        </w:tc>
        <w:tc>
          <w:tcPr>
            <w:tcW w:w="1701" w:type="dxa"/>
          </w:tcPr>
          <w:p w14:paraId="758EC0BC" w14:textId="77777777" w:rsidR="00485576" w:rsidRDefault="00485576" w:rsidP="00014ACA">
            <w:pPr>
              <w:pStyle w:val="Tablecontent"/>
            </w:pPr>
            <w:r>
              <w:t>Highland1</w:t>
            </w:r>
          </w:p>
        </w:tc>
        <w:tc>
          <w:tcPr>
            <w:tcW w:w="1559" w:type="dxa"/>
          </w:tcPr>
          <w:p w14:paraId="0084D520" w14:textId="77777777" w:rsidR="00485576" w:rsidRDefault="00485576" w:rsidP="00014ACA">
            <w:pPr>
              <w:pStyle w:val="Tablecontent"/>
            </w:pPr>
            <w:r>
              <w:t>TIB-HL1</w:t>
            </w:r>
          </w:p>
        </w:tc>
        <w:tc>
          <w:tcPr>
            <w:tcW w:w="1417" w:type="dxa"/>
          </w:tcPr>
          <w:p w14:paraId="02F0E49A" w14:textId="77777777" w:rsidR="00485576" w:rsidRDefault="00485576" w:rsidP="00014ACA">
            <w:pPr>
              <w:pStyle w:val="Tablecontent"/>
            </w:pPr>
            <w:r>
              <w:t>Indiv (1)</w:t>
            </w:r>
          </w:p>
        </w:tc>
        <w:tc>
          <w:tcPr>
            <w:tcW w:w="850" w:type="dxa"/>
          </w:tcPr>
          <w:p w14:paraId="303CD559" w14:textId="06D45338" w:rsidR="00485576" w:rsidRDefault="0004035F" w:rsidP="00014ACA">
            <w:pPr>
              <w:pStyle w:val="Tablecontent"/>
              <w:jc w:val="center"/>
            </w:pPr>
            <w:r>
              <w:t>4</w:t>
            </w:r>
          </w:p>
        </w:tc>
      </w:tr>
      <w:tr w:rsidR="00485576" w14:paraId="7060310B" w14:textId="28D18808" w:rsidTr="00014ACA">
        <w:trPr>
          <w:jc w:val="center"/>
        </w:trPr>
        <w:tc>
          <w:tcPr>
            <w:tcW w:w="2978" w:type="dxa"/>
          </w:tcPr>
          <w:p w14:paraId="084E903B" w14:textId="77777777" w:rsidR="00485576" w:rsidRDefault="00485576" w:rsidP="00014ACA">
            <w:pPr>
              <w:pStyle w:val="Tablecontent"/>
            </w:pPr>
          </w:p>
        </w:tc>
        <w:tc>
          <w:tcPr>
            <w:tcW w:w="1701" w:type="dxa"/>
          </w:tcPr>
          <w:p w14:paraId="48FFDD75" w14:textId="77777777" w:rsidR="00485576" w:rsidRDefault="00485576" w:rsidP="00014ACA">
            <w:pPr>
              <w:pStyle w:val="Tablecontent"/>
            </w:pPr>
            <w:r>
              <w:t>Highland2</w:t>
            </w:r>
          </w:p>
        </w:tc>
        <w:tc>
          <w:tcPr>
            <w:tcW w:w="1559" w:type="dxa"/>
          </w:tcPr>
          <w:p w14:paraId="1ADFA9EC" w14:textId="77777777" w:rsidR="00485576" w:rsidRDefault="00485576" w:rsidP="00014ACA">
            <w:pPr>
              <w:pStyle w:val="Tablecontent"/>
            </w:pPr>
            <w:r>
              <w:t>TIB-HL2</w:t>
            </w:r>
          </w:p>
        </w:tc>
        <w:tc>
          <w:tcPr>
            <w:tcW w:w="1417" w:type="dxa"/>
          </w:tcPr>
          <w:p w14:paraId="1186831A" w14:textId="77777777" w:rsidR="00485576" w:rsidRDefault="00485576" w:rsidP="00014ACA">
            <w:pPr>
              <w:pStyle w:val="Tablecontent"/>
            </w:pPr>
            <w:r>
              <w:t>Indiv (1)</w:t>
            </w:r>
          </w:p>
        </w:tc>
        <w:tc>
          <w:tcPr>
            <w:tcW w:w="850" w:type="dxa"/>
          </w:tcPr>
          <w:p w14:paraId="095C6670" w14:textId="2CC59403" w:rsidR="00485576" w:rsidRDefault="0004035F" w:rsidP="00014ACA">
            <w:pPr>
              <w:pStyle w:val="Tablecontent"/>
              <w:jc w:val="center"/>
            </w:pPr>
            <w:r>
              <w:t>4</w:t>
            </w:r>
          </w:p>
        </w:tc>
      </w:tr>
      <w:tr w:rsidR="00485576" w14:paraId="494BDE5D" w14:textId="38D28DC3" w:rsidTr="00014ACA">
        <w:trPr>
          <w:jc w:val="center"/>
        </w:trPr>
        <w:tc>
          <w:tcPr>
            <w:tcW w:w="2978" w:type="dxa"/>
          </w:tcPr>
          <w:p w14:paraId="35466078" w14:textId="77777777" w:rsidR="00485576" w:rsidRDefault="00485576" w:rsidP="00014ACA">
            <w:pPr>
              <w:pStyle w:val="Tablecontent"/>
            </w:pPr>
          </w:p>
        </w:tc>
        <w:tc>
          <w:tcPr>
            <w:tcW w:w="1701" w:type="dxa"/>
          </w:tcPr>
          <w:p w14:paraId="67EF9D9A" w14:textId="77777777" w:rsidR="00485576" w:rsidRDefault="00485576" w:rsidP="00014ACA">
            <w:pPr>
              <w:pStyle w:val="Tablecontent"/>
            </w:pPr>
            <w:r>
              <w:t>Highland3</w:t>
            </w:r>
          </w:p>
        </w:tc>
        <w:tc>
          <w:tcPr>
            <w:tcW w:w="1559" w:type="dxa"/>
          </w:tcPr>
          <w:p w14:paraId="6E7E1E1F" w14:textId="77777777" w:rsidR="00485576" w:rsidRDefault="00485576" w:rsidP="00014ACA">
            <w:pPr>
              <w:pStyle w:val="Tablecontent"/>
            </w:pPr>
            <w:r>
              <w:t>TIB-HL3</w:t>
            </w:r>
          </w:p>
        </w:tc>
        <w:tc>
          <w:tcPr>
            <w:tcW w:w="1417" w:type="dxa"/>
          </w:tcPr>
          <w:p w14:paraId="77566ACB" w14:textId="77777777" w:rsidR="00485576" w:rsidRDefault="00485576" w:rsidP="00014ACA">
            <w:pPr>
              <w:pStyle w:val="Tablecontent"/>
            </w:pPr>
            <w:r>
              <w:t>Indiv (1)</w:t>
            </w:r>
          </w:p>
        </w:tc>
        <w:tc>
          <w:tcPr>
            <w:tcW w:w="850" w:type="dxa"/>
          </w:tcPr>
          <w:p w14:paraId="009538BA" w14:textId="59317EB9" w:rsidR="00485576" w:rsidRDefault="0004035F" w:rsidP="00014ACA">
            <w:pPr>
              <w:pStyle w:val="Tablecontent"/>
              <w:jc w:val="center"/>
            </w:pPr>
            <w:r>
              <w:t>4</w:t>
            </w:r>
          </w:p>
        </w:tc>
      </w:tr>
      <w:tr w:rsidR="00485576" w14:paraId="79A70194" w14:textId="77ADE499" w:rsidTr="00014ACA">
        <w:trPr>
          <w:jc w:val="center"/>
        </w:trPr>
        <w:tc>
          <w:tcPr>
            <w:tcW w:w="2978" w:type="dxa"/>
          </w:tcPr>
          <w:p w14:paraId="7E9E6FEC" w14:textId="77777777" w:rsidR="00485576" w:rsidRDefault="00485576" w:rsidP="00014ACA">
            <w:pPr>
              <w:pStyle w:val="Tablecontent"/>
            </w:pPr>
          </w:p>
        </w:tc>
        <w:tc>
          <w:tcPr>
            <w:tcW w:w="1701" w:type="dxa"/>
          </w:tcPr>
          <w:p w14:paraId="1F389E48" w14:textId="77777777" w:rsidR="00485576" w:rsidRDefault="00485576" w:rsidP="00014ACA">
            <w:pPr>
              <w:pStyle w:val="Tablecontent"/>
            </w:pPr>
            <w:r>
              <w:t>Lhasa White</w:t>
            </w:r>
          </w:p>
        </w:tc>
        <w:tc>
          <w:tcPr>
            <w:tcW w:w="1559" w:type="dxa"/>
          </w:tcPr>
          <w:p w14:paraId="5A1CF936" w14:textId="77777777" w:rsidR="00485576" w:rsidRDefault="00485576" w:rsidP="00014ACA">
            <w:pPr>
              <w:pStyle w:val="Tablecontent"/>
            </w:pPr>
            <w:r>
              <w:t>Lhasa white</w:t>
            </w:r>
          </w:p>
        </w:tc>
        <w:tc>
          <w:tcPr>
            <w:tcW w:w="1417" w:type="dxa"/>
          </w:tcPr>
          <w:p w14:paraId="24916A48" w14:textId="77777777" w:rsidR="00485576" w:rsidRDefault="00485576" w:rsidP="00014ACA">
            <w:pPr>
              <w:pStyle w:val="Tablecontent"/>
            </w:pPr>
            <w:r>
              <w:t>Indiv (1)</w:t>
            </w:r>
          </w:p>
        </w:tc>
        <w:tc>
          <w:tcPr>
            <w:tcW w:w="850" w:type="dxa"/>
          </w:tcPr>
          <w:p w14:paraId="6527C827" w14:textId="4DB4D756" w:rsidR="00485576" w:rsidRDefault="0004035F" w:rsidP="00014ACA">
            <w:pPr>
              <w:pStyle w:val="Tablecontent"/>
              <w:jc w:val="center"/>
            </w:pPr>
            <w:r>
              <w:t>1</w:t>
            </w:r>
          </w:p>
        </w:tc>
      </w:tr>
      <w:tr w:rsidR="00485576" w14:paraId="5D30618C" w14:textId="42366E3D" w:rsidTr="00014ACA">
        <w:trPr>
          <w:jc w:val="center"/>
        </w:trPr>
        <w:tc>
          <w:tcPr>
            <w:tcW w:w="2978" w:type="dxa"/>
          </w:tcPr>
          <w:p w14:paraId="16F4782A" w14:textId="77777777" w:rsidR="00485576" w:rsidRDefault="00485576" w:rsidP="00014ACA">
            <w:pPr>
              <w:pStyle w:val="Tablecontent"/>
            </w:pPr>
          </w:p>
        </w:tc>
        <w:tc>
          <w:tcPr>
            <w:tcW w:w="1701" w:type="dxa"/>
          </w:tcPr>
          <w:p w14:paraId="3BB29E3A" w14:textId="77777777" w:rsidR="00485576" w:rsidRDefault="00485576" w:rsidP="00014ACA">
            <w:pPr>
              <w:pStyle w:val="Tablecontent"/>
            </w:pPr>
            <w:r>
              <w:t>Lindian</w:t>
            </w:r>
          </w:p>
        </w:tc>
        <w:tc>
          <w:tcPr>
            <w:tcW w:w="1559" w:type="dxa"/>
          </w:tcPr>
          <w:p w14:paraId="4E6CEF09" w14:textId="77777777" w:rsidR="00485576" w:rsidRDefault="00485576" w:rsidP="00014ACA">
            <w:pPr>
              <w:pStyle w:val="Tablecontent"/>
            </w:pPr>
            <w:r>
              <w:t>Lindian</w:t>
            </w:r>
          </w:p>
        </w:tc>
        <w:tc>
          <w:tcPr>
            <w:tcW w:w="1417" w:type="dxa"/>
          </w:tcPr>
          <w:p w14:paraId="441B0F8D" w14:textId="77777777" w:rsidR="00485576" w:rsidRDefault="00485576" w:rsidP="00014ACA">
            <w:pPr>
              <w:pStyle w:val="Tablecontent"/>
            </w:pPr>
            <w:r>
              <w:t>Indiv (1)</w:t>
            </w:r>
          </w:p>
        </w:tc>
        <w:tc>
          <w:tcPr>
            <w:tcW w:w="850" w:type="dxa"/>
          </w:tcPr>
          <w:p w14:paraId="3D2FED7B" w14:textId="18FA6717" w:rsidR="00485576" w:rsidRDefault="0004035F" w:rsidP="00014ACA">
            <w:pPr>
              <w:pStyle w:val="Tablecontent"/>
              <w:jc w:val="center"/>
            </w:pPr>
            <w:r>
              <w:t>3</w:t>
            </w:r>
          </w:p>
        </w:tc>
      </w:tr>
      <w:tr w:rsidR="00485576" w14:paraId="582FF471" w14:textId="72B660EC" w:rsidTr="00014ACA">
        <w:trPr>
          <w:jc w:val="center"/>
        </w:trPr>
        <w:tc>
          <w:tcPr>
            <w:tcW w:w="2978" w:type="dxa"/>
          </w:tcPr>
          <w:p w14:paraId="241B2315" w14:textId="77777777" w:rsidR="00485576" w:rsidRDefault="00485576" w:rsidP="00014ACA">
            <w:pPr>
              <w:pStyle w:val="Tablecontent"/>
            </w:pPr>
          </w:p>
        </w:tc>
        <w:tc>
          <w:tcPr>
            <w:tcW w:w="1701" w:type="dxa"/>
          </w:tcPr>
          <w:p w14:paraId="401DB3B2" w14:textId="77777777" w:rsidR="00485576" w:rsidRDefault="00485576" w:rsidP="00014ACA">
            <w:pPr>
              <w:pStyle w:val="Tablecontent"/>
            </w:pPr>
            <w:r>
              <w:t>WL</w:t>
            </w:r>
          </w:p>
        </w:tc>
        <w:tc>
          <w:tcPr>
            <w:tcW w:w="1559" w:type="dxa"/>
          </w:tcPr>
          <w:p w14:paraId="4E83900D" w14:textId="77777777" w:rsidR="00485576" w:rsidRDefault="00485576" w:rsidP="00014ACA">
            <w:pPr>
              <w:pStyle w:val="Tablecontent"/>
            </w:pPr>
            <w:r>
              <w:t>WL-B-D</w:t>
            </w:r>
          </w:p>
        </w:tc>
        <w:tc>
          <w:tcPr>
            <w:tcW w:w="1417" w:type="dxa"/>
          </w:tcPr>
          <w:p w14:paraId="283A1B24" w14:textId="77777777" w:rsidR="00485576" w:rsidRDefault="00485576" w:rsidP="00014ACA">
            <w:pPr>
              <w:pStyle w:val="Tablecontent"/>
            </w:pPr>
            <w:r>
              <w:t>Indiv (1)</w:t>
            </w:r>
          </w:p>
        </w:tc>
        <w:tc>
          <w:tcPr>
            <w:tcW w:w="850" w:type="dxa"/>
          </w:tcPr>
          <w:p w14:paraId="59B12463" w14:textId="4F49C40F" w:rsidR="00485576" w:rsidRDefault="0004035F" w:rsidP="00014ACA">
            <w:pPr>
              <w:pStyle w:val="Tablecontent"/>
              <w:jc w:val="center"/>
            </w:pPr>
            <w:r>
              <w:t>1</w:t>
            </w:r>
          </w:p>
        </w:tc>
      </w:tr>
      <w:tr w:rsidR="00485576" w14:paraId="44FA8F60" w14:textId="7BCDBE1B" w:rsidTr="00014ACA">
        <w:trPr>
          <w:jc w:val="center"/>
        </w:trPr>
        <w:tc>
          <w:tcPr>
            <w:tcW w:w="2978" w:type="dxa"/>
          </w:tcPr>
          <w:p w14:paraId="42C16E04" w14:textId="77777777" w:rsidR="00485576" w:rsidRDefault="00485576" w:rsidP="00014ACA">
            <w:pPr>
              <w:pStyle w:val="Tablecontent"/>
            </w:pPr>
          </w:p>
        </w:tc>
        <w:tc>
          <w:tcPr>
            <w:tcW w:w="1701" w:type="dxa"/>
          </w:tcPr>
          <w:p w14:paraId="11A65690" w14:textId="77777777" w:rsidR="00485576" w:rsidRDefault="00485576" w:rsidP="00014ACA">
            <w:pPr>
              <w:pStyle w:val="Tablecontent"/>
            </w:pPr>
            <w:r>
              <w:t>WL</w:t>
            </w:r>
          </w:p>
        </w:tc>
        <w:tc>
          <w:tcPr>
            <w:tcW w:w="1559" w:type="dxa"/>
          </w:tcPr>
          <w:p w14:paraId="35539440" w14:textId="77777777" w:rsidR="00485576" w:rsidRDefault="00485576" w:rsidP="00014ACA">
            <w:pPr>
              <w:pStyle w:val="Tablecontent"/>
            </w:pPr>
            <w:r>
              <w:t>WL-B-E</w:t>
            </w:r>
          </w:p>
        </w:tc>
        <w:tc>
          <w:tcPr>
            <w:tcW w:w="1417" w:type="dxa"/>
          </w:tcPr>
          <w:p w14:paraId="626B2F18" w14:textId="77777777" w:rsidR="00485576" w:rsidRDefault="00485576" w:rsidP="00014ACA">
            <w:pPr>
              <w:pStyle w:val="Tablecontent"/>
            </w:pPr>
            <w:r>
              <w:t>Indiv (1)</w:t>
            </w:r>
          </w:p>
        </w:tc>
        <w:tc>
          <w:tcPr>
            <w:tcW w:w="850" w:type="dxa"/>
          </w:tcPr>
          <w:p w14:paraId="1F031157" w14:textId="38780646" w:rsidR="00485576" w:rsidRDefault="0004035F" w:rsidP="00014ACA">
            <w:pPr>
              <w:pStyle w:val="Tablecontent"/>
              <w:jc w:val="center"/>
            </w:pPr>
            <w:r>
              <w:t>1</w:t>
            </w:r>
          </w:p>
        </w:tc>
      </w:tr>
      <w:tr w:rsidR="00485576" w14:paraId="55E4DB22" w14:textId="53BCF013" w:rsidTr="00014ACA">
        <w:trPr>
          <w:jc w:val="center"/>
        </w:trPr>
        <w:tc>
          <w:tcPr>
            <w:tcW w:w="2978" w:type="dxa"/>
          </w:tcPr>
          <w:p w14:paraId="5B5B1FAE" w14:textId="77777777" w:rsidR="00485576" w:rsidRDefault="00485576" w:rsidP="00014ACA">
            <w:pPr>
              <w:pStyle w:val="Tablecontent"/>
            </w:pPr>
            <w:r>
              <w:t>Tibetan fighting</w:t>
            </w:r>
          </w:p>
        </w:tc>
        <w:tc>
          <w:tcPr>
            <w:tcW w:w="1701" w:type="dxa"/>
          </w:tcPr>
          <w:p w14:paraId="51DB2CD4" w14:textId="77777777" w:rsidR="00485576" w:rsidRDefault="00485576" w:rsidP="00014ACA">
            <w:pPr>
              <w:pStyle w:val="Tablecontent"/>
            </w:pPr>
            <w:r>
              <w:t>RJF</w:t>
            </w:r>
          </w:p>
        </w:tc>
        <w:tc>
          <w:tcPr>
            <w:tcW w:w="1559" w:type="dxa"/>
          </w:tcPr>
          <w:p w14:paraId="605399F4" w14:textId="77777777" w:rsidR="00485576" w:rsidRDefault="00485576" w:rsidP="00014ACA">
            <w:pPr>
              <w:pStyle w:val="Tablecontent"/>
            </w:pPr>
            <w:r>
              <w:t>RJF-C</w:t>
            </w:r>
          </w:p>
        </w:tc>
        <w:tc>
          <w:tcPr>
            <w:tcW w:w="1417" w:type="dxa"/>
          </w:tcPr>
          <w:p w14:paraId="024616C9" w14:textId="77777777" w:rsidR="00485576" w:rsidRDefault="00485576" w:rsidP="00014ACA">
            <w:pPr>
              <w:pStyle w:val="Tablecontent"/>
            </w:pPr>
            <w:r>
              <w:t>Indiv (6)</w:t>
            </w:r>
          </w:p>
        </w:tc>
        <w:tc>
          <w:tcPr>
            <w:tcW w:w="850" w:type="dxa"/>
          </w:tcPr>
          <w:p w14:paraId="1252EEF5" w14:textId="58518481" w:rsidR="00485576" w:rsidRDefault="0004035F" w:rsidP="00014ACA">
            <w:pPr>
              <w:pStyle w:val="Tablecontent"/>
              <w:jc w:val="center"/>
            </w:pPr>
            <w:r>
              <w:t>5</w:t>
            </w:r>
          </w:p>
        </w:tc>
      </w:tr>
      <w:tr w:rsidR="00485576" w14:paraId="7DDD898A" w14:textId="12A5EF9E" w:rsidTr="00014ACA">
        <w:trPr>
          <w:jc w:val="center"/>
        </w:trPr>
        <w:tc>
          <w:tcPr>
            <w:tcW w:w="2978" w:type="dxa"/>
            <w:tcBorders>
              <w:bottom w:val="single" w:sz="4" w:space="0" w:color="auto"/>
            </w:tcBorders>
          </w:tcPr>
          <w:p w14:paraId="47B79772" w14:textId="77777777" w:rsidR="00485576" w:rsidRDefault="00485576" w:rsidP="00014ACA">
            <w:pPr>
              <w:pStyle w:val="Tablecontent"/>
            </w:pPr>
          </w:p>
        </w:tc>
        <w:tc>
          <w:tcPr>
            <w:tcW w:w="1701" w:type="dxa"/>
            <w:tcBorders>
              <w:bottom w:val="single" w:sz="4" w:space="0" w:color="auto"/>
            </w:tcBorders>
          </w:tcPr>
          <w:p w14:paraId="6939D710" w14:textId="77777777" w:rsidR="00485576" w:rsidRDefault="00485576" w:rsidP="00014ACA">
            <w:pPr>
              <w:pStyle w:val="Tablecontent"/>
            </w:pPr>
            <w:r>
              <w:t>Xishuangbanna</w:t>
            </w:r>
          </w:p>
        </w:tc>
        <w:tc>
          <w:tcPr>
            <w:tcW w:w="1559" w:type="dxa"/>
            <w:tcBorders>
              <w:bottom w:val="single" w:sz="4" w:space="0" w:color="auto"/>
            </w:tcBorders>
          </w:tcPr>
          <w:p w14:paraId="6AFC7B2B" w14:textId="77777777" w:rsidR="00485576" w:rsidRDefault="00485576" w:rsidP="00014ACA">
            <w:pPr>
              <w:pStyle w:val="Tablecontent"/>
            </w:pPr>
            <w:r>
              <w:t>Xishuang</w:t>
            </w:r>
          </w:p>
        </w:tc>
        <w:tc>
          <w:tcPr>
            <w:tcW w:w="1417" w:type="dxa"/>
            <w:tcBorders>
              <w:bottom w:val="single" w:sz="4" w:space="0" w:color="auto"/>
            </w:tcBorders>
          </w:tcPr>
          <w:p w14:paraId="730E1236" w14:textId="77777777" w:rsidR="00485576" w:rsidRDefault="00485576" w:rsidP="00014ACA">
            <w:pPr>
              <w:pStyle w:val="Tablecontent"/>
            </w:pPr>
            <w:r>
              <w:t>Indiv (8)</w:t>
            </w:r>
          </w:p>
        </w:tc>
        <w:tc>
          <w:tcPr>
            <w:tcW w:w="850" w:type="dxa"/>
            <w:tcBorders>
              <w:bottom w:val="single" w:sz="4" w:space="0" w:color="auto"/>
            </w:tcBorders>
          </w:tcPr>
          <w:p w14:paraId="02E6463C" w14:textId="37942F94" w:rsidR="00485576" w:rsidRDefault="0004035F" w:rsidP="00014ACA">
            <w:pPr>
              <w:pStyle w:val="Tablecontent"/>
              <w:jc w:val="center"/>
            </w:pPr>
            <w:r>
              <w:t>4</w:t>
            </w:r>
          </w:p>
        </w:tc>
      </w:tr>
    </w:tbl>
    <w:p w14:paraId="09FAA5DC" w14:textId="0E5BB552" w:rsidR="000F1981" w:rsidRDefault="000F1981" w:rsidP="000F1981">
      <w:pPr>
        <w:pStyle w:val="Caption"/>
      </w:pPr>
      <w:bookmarkStart w:id="381" w:name="_Ref480820666"/>
      <w:bookmarkStart w:id="382" w:name="_Toc486786323"/>
      <w:r w:rsidRPr="00303F07">
        <w:lastRenderedPageBreak/>
        <w:t xml:space="preserve">Table </w:t>
      </w:r>
      <w:fldSimple w:instr=" STYLEREF 1 \s " w:fldLock="1">
        <w:r w:rsidR="002C549C">
          <w:rPr>
            <w:noProof/>
          </w:rPr>
          <w:t>5</w:t>
        </w:r>
      </w:fldSimple>
      <w:r w:rsidR="001167C6" w:rsidRPr="00303F07">
        <w:t>.</w:t>
      </w:r>
      <w:fldSimple w:instr=" SEQ Table \* ARABIC \s 1 " w:fldLock="1">
        <w:r w:rsidR="002C549C">
          <w:rPr>
            <w:noProof/>
          </w:rPr>
          <w:t>4</w:t>
        </w:r>
      </w:fldSimple>
      <w:bookmarkEnd w:id="381"/>
      <w:r>
        <w:t xml:space="preserve"> Accession numbers and </w:t>
      </w:r>
      <w:r w:rsidR="00083395">
        <w:t>references for the paired end W</w:t>
      </w:r>
      <w:r>
        <w:t xml:space="preserve">GS data. All accession numbers are for the </w:t>
      </w:r>
      <w:r w:rsidR="008F7375">
        <w:t xml:space="preserve">European Nucleotide Archive (ENA) except the Indonesian natives stored in the DNA Databank of Japan (DDBJ). </w:t>
      </w:r>
      <w:r>
        <w:t xml:space="preserve">Some datasets were not publicly available but were kindly shared by </w:t>
      </w:r>
      <w:r w:rsidR="0053476D">
        <w:t>collaborators. Collaborators have been</w:t>
      </w:r>
      <w:r>
        <w:t xml:space="preserve"> named with their affiliation.</w:t>
      </w:r>
      <w:bookmarkEnd w:id="382"/>
      <w:r w:rsidR="008F7375">
        <w:t xml:space="preserve"> </w:t>
      </w:r>
    </w:p>
    <w:tbl>
      <w:tblPr>
        <w:tblStyle w:val="TableGrid"/>
        <w:tblpPr w:leftFromText="180" w:rightFromText="180" w:vertAnchor="text" w:horzAnchor="margin" w:tblpY="29"/>
        <w:tblW w:w="8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2977"/>
        <w:gridCol w:w="2268"/>
      </w:tblGrid>
      <w:tr w:rsidR="000F1981" w14:paraId="562954F3" w14:textId="77777777" w:rsidTr="00DA39F5">
        <w:tc>
          <w:tcPr>
            <w:tcW w:w="2835" w:type="dxa"/>
            <w:tcBorders>
              <w:top w:val="single" w:sz="4" w:space="0" w:color="auto"/>
              <w:bottom w:val="single" w:sz="4" w:space="0" w:color="auto"/>
            </w:tcBorders>
            <w:vAlign w:val="center"/>
          </w:tcPr>
          <w:p w14:paraId="1133BD63" w14:textId="77777777" w:rsidR="000F1981" w:rsidRDefault="000F1981" w:rsidP="000F1981">
            <w:pPr>
              <w:pStyle w:val="Tablecontent"/>
            </w:pPr>
            <w:r>
              <w:t>Dataset</w:t>
            </w:r>
          </w:p>
        </w:tc>
        <w:tc>
          <w:tcPr>
            <w:tcW w:w="2977" w:type="dxa"/>
            <w:tcBorders>
              <w:top w:val="single" w:sz="4" w:space="0" w:color="auto"/>
              <w:bottom w:val="single" w:sz="4" w:space="0" w:color="auto"/>
            </w:tcBorders>
            <w:vAlign w:val="center"/>
          </w:tcPr>
          <w:p w14:paraId="08F54BFF" w14:textId="73E62788" w:rsidR="000F1981" w:rsidRDefault="000F1981" w:rsidP="000F1981">
            <w:pPr>
              <w:pStyle w:val="Tablecontent"/>
            </w:pPr>
            <w:r>
              <w:t>Accession No.</w:t>
            </w:r>
          </w:p>
        </w:tc>
        <w:tc>
          <w:tcPr>
            <w:tcW w:w="2268" w:type="dxa"/>
            <w:tcBorders>
              <w:top w:val="single" w:sz="4" w:space="0" w:color="auto"/>
              <w:bottom w:val="single" w:sz="4" w:space="0" w:color="auto"/>
            </w:tcBorders>
          </w:tcPr>
          <w:p w14:paraId="45711E9F" w14:textId="32C95F83" w:rsidR="000F1981" w:rsidRDefault="008F7375" w:rsidP="000F1981">
            <w:pPr>
              <w:pStyle w:val="Tablecontent"/>
            </w:pPr>
            <w:r>
              <w:t>Reference</w:t>
            </w:r>
          </w:p>
        </w:tc>
      </w:tr>
      <w:tr w:rsidR="000F1981" w14:paraId="1ED5EEA1" w14:textId="77777777" w:rsidTr="00DA39F5">
        <w:tc>
          <w:tcPr>
            <w:tcW w:w="2835" w:type="dxa"/>
            <w:tcBorders>
              <w:top w:val="single" w:sz="4" w:space="0" w:color="auto"/>
            </w:tcBorders>
          </w:tcPr>
          <w:p w14:paraId="0AACD4C8" w14:textId="77777777" w:rsidR="000F1981" w:rsidRDefault="000F1981" w:rsidP="000F1981">
            <w:pPr>
              <w:pStyle w:val="Tablecontent"/>
            </w:pPr>
            <w:r>
              <w:t xml:space="preserve">Arkansas </w:t>
            </w:r>
            <w:r w:rsidRPr="004A265B">
              <w:t xml:space="preserve">vitiligo </w:t>
            </w:r>
            <w:r>
              <w:t>model</w:t>
            </w:r>
          </w:p>
        </w:tc>
        <w:tc>
          <w:tcPr>
            <w:tcW w:w="2977" w:type="dxa"/>
            <w:tcBorders>
              <w:top w:val="single" w:sz="4" w:space="0" w:color="auto"/>
            </w:tcBorders>
          </w:tcPr>
          <w:p w14:paraId="236BC2B7" w14:textId="7277CC39" w:rsidR="000F1981" w:rsidRDefault="00130C9E" w:rsidP="000F1981">
            <w:pPr>
              <w:pStyle w:val="Tablecontent"/>
            </w:pPr>
            <w:r>
              <w:t>PRJNA256208</w:t>
            </w:r>
          </w:p>
        </w:tc>
        <w:tc>
          <w:tcPr>
            <w:tcW w:w="2268" w:type="dxa"/>
            <w:tcBorders>
              <w:top w:val="single" w:sz="4" w:space="0" w:color="auto"/>
            </w:tcBorders>
          </w:tcPr>
          <w:p w14:paraId="7819B9F3" w14:textId="6BC57880" w:rsidR="000F1981" w:rsidRDefault="00130C9E" w:rsidP="000F1981">
            <w:pPr>
              <w:pStyle w:val="Tablecontent"/>
            </w:pPr>
            <w:r>
              <w:fldChar w:fldCharType="begin" w:fldLock="1"/>
            </w:r>
            <w:r w:rsidR="00E71440">
              <w:instrText>ADDIN CSL_CITATION { "citationItems" : [ { "id" : "ITEM-1", "itemData" : { "DOI" : "10.1186/1471-2164-15-707", "ISSN" : "1471-2164", "PMID" : "25151476", "abstract" : "BACKGROUND The Smyth line (SL) chicken is the only animal model for autoimmune vitiligo that spontaneously displays all clinical and biological manifestations of the human disorder. To understand the genetic components underlying the susceptibility to develop SL vitiligo (SLV), whole genome resequencing analysis was performed in SLV chickens compared with non-vitiliginous parental Brown line (BL) chickens, which maintain a very low incidence rate of vitiligo. RESULTS Illumina sequencing technology and reference based assembly on Red Jungle Fowl genome sequences were used. Results of genome resequencing of pooled DNA of each 10 BL and SL chickens reached 5.1x and 7.0x coverage, respectively. The total number of SNPs was 4.8 and 5.5 million in BL and SL genome, respectively. Through a series of filtering processes, a total of ~1 million unique SNPs were found in the SL alone. Eventually of the 156 reliable marker SNPs, which can induce non-synonymous-, frameshift-, nonsense-, and no-start mutations in amino acid sequences in proteins, 139 genes were chosen for further analysis. Of these, 14 randomly chosen SNPs were examined for SNP verification by PCR and Sanger sequencing to detect SNP positions in 20 BL and 70 SL chickens. The results of the analysis of the 14 SNPs clearly showed differential frequencies of nucleotide bases in the SNP positions between BL and SL chickens. Bioinformatic analysis showed that the 156 most reliable marker SNPs included genes involved in dermatological diseases/conditions such as ADAMTS13, ASPM, ATP6V0A2, BRCA2, COL12A1, GRM5, LRP2, OBSCN, PLAU, RNF168, STAB2, and XIRP1. Intermolecular gene network analysis revealed that candidate genes identified in SLV play a role in networks centered on protein kinases (MAPK, ERK1/2, PKC, PRKDC), phosphatase (PPP1CA), ubiquitinylation (UBC) and amyloid production (APP). CONCLUSIONS Various potential genetic markers showing amino acid changes and potential roles in vitiligo development were identified in the SLV chicken through genome resequencing. The genetic markers and bioinformatic interpretations of amino acid mutations found in SLV chickens may provide insight into the genetic component responsible for the onset and the progression of autoimmune vitiligo and serve as valuable markers to develop diagnostic tools to detect vitiligo susceptibility.", "author" : [ { "dropping-particle" : "", "family" : "Jang", "given" : "Hyeon-Min", "non-dropping-particle" : "", "parse-names" : false, "suffix" : "" }, { "dropping-particle" : "", "family" : "Erf", "given" : "Gisela F", "non-dropping-particle" : "", "parse-names" : false, "suffix" : "" }, { "dropping-particle" : "", "family" : "Rowland", "given" : "Kaylee C", "non-dropping-particle" : "", "parse-names" : false, "suffix" : "" }, { "dropping-particle" : "", "family" : "Kong", "given" : "Byung-Whi", "non-dropping-particle" : "", "parse-names" : false, "suffix" : "" } ], "container-title" : "BMC genomics", "id" : "ITEM-1", "issue" : "1", "issued" : { "date-parts" : [ [ "2014" ] ] }, "page" : "707", "title" : "Genome resequencing and bioinformatic analysis of SNP containing candidate genes in the autoimmune vitiligo Smyth line chicken model.", "type" : "article-journal", "volume" : "15" }, "uris" : [ "http://www.mendeley.com/documents/?uuid=99908ad0-38bf-4492-a73b-ff8014ed2f38" ] } ], "mendeley" : { "formattedCitation" : "(Jang et al. 2014)", "manualFormatting" : "Jang et al. 2014", "plainTextFormattedCitation" : "(Jang et al. 2014)", "previouslyFormattedCitation" : "(Jang et al. 2014)" }, "properties" : { "noteIndex" : 0 }, "schema" : "https://github.com/citation-style-language/schema/raw/master/csl-citation.json" }</w:instrText>
            </w:r>
            <w:r>
              <w:fldChar w:fldCharType="separate"/>
            </w:r>
            <w:r w:rsidRPr="00BB1679">
              <w:rPr>
                <w:noProof/>
              </w:rPr>
              <w:t>Jang et al. 2014</w:t>
            </w:r>
            <w:r>
              <w:fldChar w:fldCharType="end"/>
            </w:r>
          </w:p>
        </w:tc>
      </w:tr>
      <w:tr w:rsidR="000F1981" w14:paraId="30575526" w14:textId="77777777" w:rsidTr="00DA39F5">
        <w:tc>
          <w:tcPr>
            <w:tcW w:w="2835" w:type="dxa"/>
          </w:tcPr>
          <w:p w14:paraId="5F433B34" w14:textId="77777777" w:rsidR="000F1981" w:rsidRDefault="000F1981" w:rsidP="000F1981">
            <w:pPr>
              <w:pStyle w:val="Tablecontent"/>
            </w:pPr>
            <w:r>
              <w:t>Cobb heritage broiler</w:t>
            </w:r>
          </w:p>
        </w:tc>
        <w:tc>
          <w:tcPr>
            <w:tcW w:w="2977" w:type="dxa"/>
          </w:tcPr>
          <w:p w14:paraId="31431F1F" w14:textId="00A57BC3" w:rsidR="000F1981" w:rsidRDefault="005004FC" w:rsidP="000F1981">
            <w:pPr>
              <w:pStyle w:val="Tablecontent"/>
            </w:pPr>
            <w:r w:rsidRPr="005004FC">
              <w:t>PRJEB15276</w:t>
            </w:r>
            <w:r w:rsidR="00292816">
              <w:t xml:space="preserve"> (non-public</w:t>
            </w:r>
            <w:r>
              <w:t>)</w:t>
            </w:r>
          </w:p>
        </w:tc>
        <w:tc>
          <w:tcPr>
            <w:tcW w:w="2268" w:type="dxa"/>
          </w:tcPr>
          <w:p w14:paraId="770DAAF2" w14:textId="3AC37050" w:rsidR="000F1981" w:rsidRDefault="00292816" w:rsidP="000F1981">
            <w:pPr>
              <w:pStyle w:val="Tablecontent"/>
            </w:pPr>
            <w:r>
              <w:t>Khoo et al. in prep.</w:t>
            </w:r>
          </w:p>
        </w:tc>
      </w:tr>
      <w:tr w:rsidR="000F1981" w14:paraId="4271A935" w14:textId="77777777" w:rsidTr="00DA39F5">
        <w:tc>
          <w:tcPr>
            <w:tcW w:w="2835" w:type="dxa"/>
          </w:tcPr>
          <w:p w14:paraId="216A6753" w14:textId="77777777" w:rsidR="000F1981" w:rsidRDefault="000F1981" w:rsidP="000F1981">
            <w:pPr>
              <w:pStyle w:val="Tablecontent"/>
            </w:pPr>
            <w:r>
              <w:t>Commercial 1995 broiler</w:t>
            </w:r>
          </w:p>
        </w:tc>
        <w:tc>
          <w:tcPr>
            <w:tcW w:w="2977" w:type="dxa"/>
          </w:tcPr>
          <w:p w14:paraId="0A0AB0CD" w14:textId="584DCEC6" w:rsidR="000F1981" w:rsidRDefault="005004FC" w:rsidP="000F1981">
            <w:pPr>
              <w:pStyle w:val="Tablecontent"/>
            </w:pPr>
            <w:r>
              <w:t>Douglas Rhoads,</w:t>
            </w:r>
            <w:r w:rsidR="00DA39F5">
              <w:br/>
            </w:r>
            <w:r>
              <w:t>University of Arkansas</w:t>
            </w:r>
          </w:p>
        </w:tc>
        <w:tc>
          <w:tcPr>
            <w:tcW w:w="2268" w:type="dxa"/>
          </w:tcPr>
          <w:p w14:paraId="572D4D30" w14:textId="5D70810F" w:rsidR="000F1981" w:rsidRDefault="005004FC" w:rsidP="000F1981">
            <w:pPr>
              <w:pStyle w:val="Tablecontent"/>
            </w:pPr>
            <w:r>
              <w:fldChar w:fldCharType="begin" w:fldLock="1"/>
            </w:r>
            <w:r w:rsidR="00E71440">
              <w:instrText>ADDIN CSL_CITATION { "citationItems" : [ { "id" : "ITEM-1", "itemData" : { "DOI" : "10.3382/ps.2007-00134", "ISBN" : "0032-5791", "ISSN" : "0032-5791", "PMID" : "18029797", "abstract" : "Chicken lines that were either resistant or susceptible to ascites syndrome were developed by using a hypobaric chamber to induce the disease. Birds were reared in a hypobaric chamber that simulated high altitude by operating under a partial vacuum, which thereby lowered the partial pressure of oxygen. Ascites mortality data from birds reared under hypobaric chamber conditions were used to select siblings to be used for breeding. The response to selection for the susceptible (SUS) and resistant (RES) lines of chickens was very rapid from the base population, which exhibited an incidence of ascites of 75.3%. Extremes in the incidence of ascites were observed in generation 8, with line SUS exhibited an average incidence of ascites of 95.1%, and in generation 9, with line RES exhibited an average incidence of ascites of 7.1%. The incidence of ascites in the relaxed line remained relatively stable and currently has a general incidence of ascites of 60%. The heritability estimates SE for ascites were estimated to be 0.30 +/- 0.05 and 0.55 +/- 0.05 for lines SUS and RES, respectively. Changes in the incidence of ascites appeared to be associated with livability. By generation 10, selection for ascites in line RES increased livability by 11.5 d, whereas in line SUS, livability was decreased by 8 d. Although divergent selection for ascites resulted in a reduction in d 42 BW for both the SUS and RES lines, the SUS line was approximately 163 g heavier than the RES line. Negative genetic correlations between ascites and the right ventricleftotal ventricle (RV:TV) ratio were observed in both the SUS and RES lines; however, no significant change in the RV:TV ratio was observed for birds reared under normal conditions in either line. The current data raise questions about the validity of using the RV:TV ratio as an indicator trait in a selection program designed to reduce the incidence of ascites. Overall, direct selection for resistance to ascites by using sire family performance appeared to be an effective means of reducing the incidence of ascites. However, simultaneous selection for BW should be applied to counterbalance the losses in correlated BW.", "author" : [ { "dropping-particle" : "", "family" : "Pavlidis", "given" : "H O", "non-dropping-particle" : "", "parse-names" : false, "suffix" : "" }, { "dropping-particle" : "", "family" : "Balog", "given" : "J M", "non-dropping-particle" : "", "parse-names" : false, "suffix" : "" }, { "dropping-particle" : "", "family" : "Stamps", "given" : "L K", "non-dropping-particle" : "", "parse-names" : false, "suffix" : "" }, { "dropping-particle" : "", "family" : "Hughes  Jr.", "given" : "J D", "non-dropping-particle" : "", "parse-names" : false, "suffix" : "" }, { "dropping-particle" : "", "family" : "Huff", "given" : "W E", "non-dropping-particle" : "", "parse-names" : false, "suffix" : "" }, { "dropping-particle" : "", "family" : "Anthony", "given" : "N B", "non-dropping-particle" : "", "parse-names" : false, "suffix" : "" } ], "container-title" : "Poultry Science", "id" : "ITEM-1", "issue" : "12", "issued" : { "date-parts" : [ [ "2007" ] ] }, "page" : "2517-2529", "title" : "Divergent selection for ascites incidence in chickens", "type" : "article-journal", "volume" : "86" }, "uris" : [ "http://www.mendeley.com/documents/?uuid=a40a79e9-bb23-46f0-9031-f2fc6325c103" ] } ], "mendeley" : { "formattedCitation" : "(Pavlidis et al. 2007)", "manualFormatting" : "Pavlidis et al. 2007", "plainTextFormattedCitation" : "(Pavlidis et al. 2007)", "previouslyFormattedCitation" : "(Pavlidis et al. 2007)" }, "properties" : { "noteIndex" : 0 }, "schema" : "https://github.com/citation-style-language/schema/raw/master/csl-citation.json" }</w:instrText>
            </w:r>
            <w:r>
              <w:fldChar w:fldCharType="separate"/>
            </w:r>
            <w:r w:rsidRPr="00A6108B">
              <w:rPr>
                <w:noProof/>
              </w:rPr>
              <w:t>Pavlidis et al. 2007</w:t>
            </w:r>
            <w:r>
              <w:fldChar w:fldCharType="end"/>
            </w:r>
          </w:p>
        </w:tc>
      </w:tr>
      <w:tr w:rsidR="000F1981" w14:paraId="2178A37E" w14:textId="77777777" w:rsidTr="00DA39F5">
        <w:tc>
          <w:tcPr>
            <w:tcW w:w="2835" w:type="dxa"/>
          </w:tcPr>
          <w:p w14:paraId="1D752767" w14:textId="77777777" w:rsidR="000F1981" w:rsidRDefault="000F1981" w:rsidP="000F1981">
            <w:pPr>
              <w:pStyle w:val="Tablecontent"/>
            </w:pPr>
            <w:r>
              <w:t>Egg shell strength</w:t>
            </w:r>
          </w:p>
        </w:tc>
        <w:tc>
          <w:tcPr>
            <w:tcW w:w="2977" w:type="dxa"/>
          </w:tcPr>
          <w:p w14:paraId="32756965" w14:textId="65A9C2D4" w:rsidR="000F1981" w:rsidRDefault="005004FC" w:rsidP="000F1981">
            <w:pPr>
              <w:pStyle w:val="Tablecontent"/>
            </w:pPr>
            <w:r>
              <w:t>PRJNA231017</w:t>
            </w:r>
          </w:p>
        </w:tc>
        <w:tc>
          <w:tcPr>
            <w:tcW w:w="2268" w:type="dxa"/>
          </w:tcPr>
          <w:p w14:paraId="5D590C66" w14:textId="099B7AAB" w:rsidR="000F1981" w:rsidRDefault="005004FC" w:rsidP="000F1981">
            <w:pPr>
              <w:pStyle w:val="Tablecontent"/>
            </w:pPr>
            <w:r>
              <w:fldChar w:fldCharType="begin" w:fldLock="1"/>
            </w:r>
            <w:r w:rsidR="00E71440">
              <w:instrText>ADDIN CSL_CITATION { "citationItems" : [ { "id" : "ITEM-1", "itemData" : { "DOI" : "10.1371/journal.pone.0125890", "ISBN" : "1932-6203 (Electronic)\\r1932-6203 (Linking)", "ISSN" : "19326203", "PMID" : "25974068", "abstract" : "Eggshell damages lead to economic losses in the egg production industry and are a threat to human health. We examined 49-wk-old Rhode Island White hens (Gallus gallus) that laid eggs having shells with significantly different strengths and thicknesses. We used HiSeq 2000 (Illumina) sequencing to characterize the chicken transcriptome and whole genome to identify the key genes and genetic mutations associated with eggshell calcification. We identified a total of 14,234 genes expressed in the chicken uterus, representing 89% of all annotated chicken genes. A total of 889 differentially expressed genes were identified by comparing low eggshell strength (LES) and normal eggshell strength (NES) genomes. The DEGs are enriched in calcification-related processes, including calcium ion transport and calcium signaling pathways as reveled by gene ontology (GO) and Kyoto encyclopedia of genes and genomes (KEGG) pathway analysis. Some important matrix proteins, such as OC-116, LTF and SPP1, were also expressed differentially between two groups. A total of 3,671,919 single-nucleotide polymorphisms (SNPs) and 508,035 Indels were detected in protein coding genes by whole-genome re-sequencing, including 1775 non-synonymous variations and 19 frame-shift Indels in DEGs. SNPs and Indels found in this study could be further investigated for eggshell traits. This is the first report to integrate the transcriptome and genome re-sequencing to target the genetic variations which decreased the eggshell qualities. These findings further advance our understanding of eggshell calcification in the chicken uterus.", "author" : [ { "dropping-particle" : "", "family" : "Zhang", "given" : "Quan", "non-dropping-particle" : "", "parse-names" : false, "suffix" : "" }, { "dropping-particle" : "", "family" : "Zhu", "given" : "Feng", "non-dropping-particle" : "", "parse-names" : false, "suffix" : "" }, { "dropping-particle" : "", "family" : "Liu", "given" : "Long", "non-dropping-particle" : "", "parse-names" : false, "suffix" : "" }, { "dropping-particle" : "", "family" : "Zheng", "given" : "Chuan Wei", "non-dropping-particle" : "", "parse-names" : false, "suffix" : "" }, { "dropping-particle" : "", "family" : "Wang", "given" : "He", "non-dropping-particle" : "De", "parse-names" : false, "suffix" : "" }, { "dropping-particle" : "", "family" : "Hou", "given" : "Zhuo Cheng", "non-dropping-particle" : "", "parse-names" : false, "suffix" : "" }, { "dropping-particle" : "", "family" : "Ning", "given" : "Zhong Hua", "non-dropping-particle" : "", "parse-names" : false, "suffix" : "" } ], "container-title" : "PLoS ONE", "id" : "ITEM-1", "issue" : "5", "issued" : { "date-parts" : [ [ "2015" ] ] }, "page" : "1-16", "title" : "Integrating transcriptome and genome re-sequencing data to identify key genes and mutations affecting chicken eggshell qualities", "type" : "article-journal", "volume" : "10" }, "uris" : [ "http://www.mendeley.com/documents/?uuid=714d23b8-6e43-4ae9-a294-d8e1fd64369f" ] } ], "mendeley" : { "formattedCitation" : "(Zhang et al. 2015)", "manualFormatting" : "Zhang et al. 2015", "plainTextFormattedCitation" : "(Zhang et al. 2015)", "previouslyFormattedCitation" : "(Zhang et al. 2015)" }, "properties" : { "noteIndex" : 0 }, "schema" : "https://github.com/citation-style-language/schema/raw/master/csl-citation.json" }</w:instrText>
            </w:r>
            <w:r>
              <w:fldChar w:fldCharType="separate"/>
            </w:r>
            <w:r w:rsidRPr="00E65B4C">
              <w:rPr>
                <w:noProof/>
              </w:rPr>
              <w:t>Zhang et al. 2015</w:t>
            </w:r>
            <w:r>
              <w:fldChar w:fldCharType="end"/>
            </w:r>
          </w:p>
        </w:tc>
      </w:tr>
      <w:tr w:rsidR="000F1981" w14:paraId="497794E0" w14:textId="77777777" w:rsidTr="00DA39F5">
        <w:tc>
          <w:tcPr>
            <w:tcW w:w="2835" w:type="dxa"/>
          </w:tcPr>
          <w:p w14:paraId="2156781F" w14:textId="77777777" w:rsidR="000F1981" w:rsidRDefault="000F1981" w:rsidP="000F1981">
            <w:pPr>
              <w:pStyle w:val="Tablecontent"/>
            </w:pPr>
            <w:r>
              <w:t>Ethiopian village birds</w:t>
            </w:r>
          </w:p>
        </w:tc>
        <w:tc>
          <w:tcPr>
            <w:tcW w:w="2977" w:type="dxa"/>
          </w:tcPr>
          <w:p w14:paraId="0D4AF5C3" w14:textId="7C0F79D6" w:rsidR="000F1981" w:rsidRDefault="000F711C" w:rsidP="000F1981">
            <w:pPr>
              <w:pStyle w:val="Tablecontent"/>
            </w:pPr>
            <w:r>
              <w:t xml:space="preserve">Olivier Hanotte, </w:t>
            </w:r>
            <w:r w:rsidR="00DA39F5">
              <w:br/>
            </w:r>
            <w:r>
              <w:t>University of Nottingham</w:t>
            </w:r>
          </w:p>
        </w:tc>
        <w:tc>
          <w:tcPr>
            <w:tcW w:w="2268" w:type="dxa"/>
          </w:tcPr>
          <w:p w14:paraId="0FC2EBAC" w14:textId="29038AC0" w:rsidR="000F1981" w:rsidRDefault="000F711C" w:rsidP="000F1981">
            <w:pPr>
              <w:pStyle w:val="Tablecontent"/>
            </w:pPr>
            <w:r>
              <w:fldChar w:fldCharType="begin" w:fldLock="1"/>
            </w:r>
            <w:r w:rsidR="00E71440">
              <w:instrText>ADDIN CSL_CITATION { "citationItems" : [ { "id" : "ITEM-1", "itemData" : { "DOI" : "10.1186/s12864-015-1954-x", "ISSN" : "1471-2164", "author" : [ { "dropping-particle" : "", "family" : "Wragg", "given" : "David", "non-dropping-particle" : "", "parse-names" : false, "suffix" : "" }, { "dropping-particle" : "", "family" : "Mason", "given" : "Andrew S.", "non-dropping-particle" : "", "parse-names" : false, "suffix" : "" }, { "dropping-particle" : "", "family" : "Yu", "given" : "Le", "non-dropping-particle" : "", "parse-names" : false, "suffix" : "" }, { "dropping-particle" : "", "family" : "Kuo", "given" : "Richard", "non-dropping-particle" : "", "parse-names" : false, "suffix" : "" }, { "dropping-particle" : "", "family" : "Lawal", "given" : "Raman a.", "non-dropping-particle" : "", "parse-names" : false, "suffix" : "" }, { "dropping-particle" : "", "family" : "Desta", "given" : "Takele Taye", "non-dropping-particle" : "", "parse-names" : false, "suffix" : "" }, { "dropping-particle" : "", "family" : "Mwacharo", "given" : "Joram M.", "non-dropping-particle" : "", "parse-names" : false, "suffix" : "" }, { "dropping-particle" : "", "family" : "Cho", "given" : "Chang-Yeon", "non-dropping-particle" : "", "parse-names" : false, "suffix" : "" }, { "dropping-particle" : "", "family" : "Kemp", "given" : "Steve", "non-dropping-particle" : "", "parse-names" : false, "suffix" : "" }, { "dropping-particle" : "", "family" : "Burt", "given" : "David W.", "non-dropping-particle" : "", "parse-names" : false, "suffix" : "" }, { "dropping-particle" : "", "family" : "Hanotte", "given" : "Olivier", "non-dropping-particle" : "", "parse-names" : false, "suffix" : "" } ], "container-title" : "BMC Genomics", "id" : "ITEM-1", "issue" : "1", "issued" : { "date-parts" : [ [ "2015", "10", "14" ] ] }, "page" : "784", "title" : "Genome-wide analysis reveals the extent of EAV-HP integration in domestic chicken", "type" : "article-journal", "volume" : "16" }, "uris" : [ "http://www.mendeley.com/documents/?uuid=785ce0a4-2408-491c-81f9-74a41832e445" ] } ], "mendeley" : { "formattedCitation" : "(Wragg et al. 2015)", "manualFormatting" : "Wragg et al. 2015", "plainTextFormattedCitation" : "(Wragg et al. 2015)", "previouslyFormattedCitation" : "(Wragg et al. 2015)" }, "properties" : { "noteIndex" : 0 }, "schema" : "https://github.com/citation-style-language/schema/raw/master/csl-citation.json" }</w:instrText>
            </w:r>
            <w:r>
              <w:fldChar w:fldCharType="separate"/>
            </w:r>
            <w:r w:rsidRPr="00B0452E">
              <w:rPr>
                <w:noProof/>
              </w:rPr>
              <w:t>Wragg et al. 2015</w:t>
            </w:r>
            <w:r>
              <w:fldChar w:fldCharType="end"/>
            </w:r>
          </w:p>
        </w:tc>
      </w:tr>
      <w:tr w:rsidR="000F1981" w14:paraId="66F4A429" w14:textId="77777777" w:rsidTr="00DA39F5">
        <w:tc>
          <w:tcPr>
            <w:tcW w:w="2835" w:type="dxa"/>
          </w:tcPr>
          <w:p w14:paraId="080B9CD1" w14:textId="77777777" w:rsidR="000F1981" w:rsidRDefault="000F1981" w:rsidP="000F1981">
            <w:pPr>
              <w:pStyle w:val="Tablecontent"/>
            </w:pPr>
            <w:r>
              <w:t>Fat-Lean broilers</w:t>
            </w:r>
          </w:p>
        </w:tc>
        <w:tc>
          <w:tcPr>
            <w:tcW w:w="2977" w:type="dxa"/>
          </w:tcPr>
          <w:p w14:paraId="408BBAD8" w14:textId="16104F8B" w:rsidR="000F1981" w:rsidRDefault="008F7375" w:rsidP="000F1981">
            <w:pPr>
              <w:pStyle w:val="Tablecontent"/>
            </w:pPr>
            <w:r w:rsidRPr="008F7375">
              <w:t>PRJEB15288</w:t>
            </w:r>
            <w:r>
              <w:t xml:space="preserve"> (</w:t>
            </w:r>
            <w:r w:rsidR="00292816">
              <w:t>non-public</w:t>
            </w:r>
            <w:r>
              <w:t>)</w:t>
            </w:r>
          </w:p>
        </w:tc>
        <w:tc>
          <w:tcPr>
            <w:tcW w:w="2268" w:type="dxa"/>
          </w:tcPr>
          <w:p w14:paraId="4B8BBDCB" w14:textId="7303D385" w:rsidR="000F1981" w:rsidRDefault="008F7375" w:rsidP="000F1981">
            <w:pPr>
              <w:pStyle w:val="Tablecontent"/>
            </w:pPr>
            <w:r w:rsidRPr="008F7375">
              <w:t>Griffin et al. 1991</w:t>
            </w:r>
            <w:r w:rsidR="005004FC">
              <w:t xml:space="preserve">; Khoo et al. </w:t>
            </w:r>
            <w:r>
              <w:t>i</w:t>
            </w:r>
            <w:r w:rsidR="00292816">
              <w:t>n prep.</w:t>
            </w:r>
          </w:p>
        </w:tc>
      </w:tr>
      <w:tr w:rsidR="000F1981" w14:paraId="1DECC2A4" w14:textId="77777777" w:rsidTr="00DA39F5">
        <w:tc>
          <w:tcPr>
            <w:tcW w:w="2835" w:type="dxa"/>
          </w:tcPr>
          <w:p w14:paraId="6584BFDE" w14:textId="77777777" w:rsidR="000F1981" w:rsidRDefault="000F1981" w:rsidP="000F1981">
            <w:pPr>
              <w:pStyle w:val="Tablecontent"/>
            </w:pPr>
            <w:r>
              <w:t>High and Low antibody</w:t>
            </w:r>
          </w:p>
        </w:tc>
        <w:tc>
          <w:tcPr>
            <w:tcW w:w="2977" w:type="dxa"/>
          </w:tcPr>
          <w:p w14:paraId="30C1A1DC" w14:textId="1F344269" w:rsidR="000F1981" w:rsidRDefault="008F7375" w:rsidP="000F1981">
            <w:pPr>
              <w:pStyle w:val="Tablecontent"/>
            </w:pPr>
            <w:r>
              <w:t xml:space="preserve">Chris Ashwell, </w:t>
            </w:r>
            <w:r w:rsidR="00292816">
              <w:br/>
            </w:r>
            <w:r>
              <w:t>North Carolina State</w:t>
            </w:r>
          </w:p>
        </w:tc>
        <w:tc>
          <w:tcPr>
            <w:tcW w:w="2268" w:type="dxa"/>
          </w:tcPr>
          <w:p w14:paraId="0F6B3237" w14:textId="53BEE25B" w:rsidR="000F1981" w:rsidRDefault="008F7375" w:rsidP="000F1981">
            <w:pPr>
              <w:pStyle w:val="Tablecontent"/>
            </w:pPr>
            <w:r>
              <w:fldChar w:fldCharType="begin" w:fldLock="1"/>
            </w:r>
            <w:r w:rsidR="00E71440">
              <w:instrText>ADDIN CSL_CITATION { "citationItems" : [ { "id" : "ITEM-1", "itemData" : { "ISSN" : "0032-5791", "PMID" : "16903462", "abstract" : "Crosses were made among lines of chickens that had undergone 30 generations of selection for high or low antibody response 5 d after an intravenous injection with SRBC, and between sublines in which selection was relaxed in generation 24. Antibody responses at 5, 10, and 14 d after injection were measured in the 4 lines and in reciprocal crosses among them. Divergence between the high and low lines selected for SRBC antibody was immediate and increased during selection. Although significant in both cases, separation of the relaxed Key words: chicken, heterosis, selection, sheep red blood cell, genetic variation 2006 Poultry Science 85:1338\u02c7V1341 INTRODUCTION Heritability of antibody response of chickens to an inoculation of SRBC is moderate and the trait responds to divergent selection (Siegel and Gross, 1980; van der Zijpp and Leenstra, 1980; Martin et al., 1990; Pinard et al., 1992). Concomitant with the direct response of SRBC antibody titers to selection are correlated responses in production and disease-related traits (see reviews by Pinard-van der Laan et al., 1998; Lamont et al., 2003). The literature is inconsistent concerning the role of nonadditive genetic variation in antibody responses to SRBC (Siegel et al., 1982; Ubosi et al., 1985; Pinard and van der Zijpp, 1993; Boa-Amponsem et al., 1997). The experiment reported here was designed to compare the effects of crossing lines divergently selected for 30 generations for high or low response to SRBC with each other and with sublines in which selection had been relaxed for 8 generations. MATERIALS AND METHODS The Populations Chickens used in this experiment were White Leghorns from 2 lines selected for 30 generations for high (HS) or low (LS) antibody response 5 d after a single intravenous \u0106\u00c92006 Poultry Science Association, Inc. Received November 8, 2005. Accepted January 14, 2006. 1Corresponding author: pbsiegel@vt.edu 1338 subline from its respective selected line was greater in the high than the low line. Five-day SRBC titers of the relaxed lines and the crosses were intermediate to the high and low selected lines, with the direction and magnitude of heterosis being line dependent. A high proportion of chickens from low line mating combinations did not have detectable antibody titers at 10 and 14 d postinoculation with SRBC, precluding statistical analysis of these data. Results are discussed in the context of intra- and interlocus effects on the selected trait.", "author" : [ { "dropping-particle" : "", "family" : "Kuehn", "given" : "LA", "non-dropping-particle" : "", "parse-names" : false, "suffix" : "" }, { "dropping-particle" : "", "family" : "Price", "given" : "SE", "non-dropping-particle" : "", "parse-names" : false, "suffix" : "" }, { "dropping-particle" : "", "family" : "Honaker", "given" : "CF", "non-dropping-particle" : "", "parse-names" : false, "suffix" : "" }, { "dropping-particle" : "", "family" : "Siegel", "given" : "PB", "non-dropping-particle" : "", "parse-names" : false, "suffix" : "" } ], "container-title" : "Poultry science", "id" : "ITEM-1", "issue" : "8", "issued" : { "date-parts" : [ [ "2006" ] ] }, "page" : "1338", "title" : "Antibody response of chickens to sheep red blood cells: Crosses among divergently selected lines and relaxed sublines", "type" : "article-journal", "volume" : "85" }, "uris" : [ "http://www.mendeley.com/documents/?uuid=43b5ee6e-ea8c-4062-95cc-75427c49a9d7" ] } ], "mendeley" : { "formattedCitation" : "(Kuehn et al. 2006)", "manualFormatting" : "Kuehn et al. 2006", "plainTextFormattedCitation" : "(Kuehn et al. 2006)", "previouslyFormattedCitation" : "(Kuehn et al. 2006)" }, "properties" : { "noteIndex" : 0 }, "schema" : "https://github.com/citation-style-language/schema/raw/master/csl-citation.json" }</w:instrText>
            </w:r>
            <w:r>
              <w:fldChar w:fldCharType="separate"/>
            </w:r>
            <w:r w:rsidR="005004FC" w:rsidRPr="005004FC">
              <w:rPr>
                <w:noProof/>
              </w:rPr>
              <w:t>Kuehn et al. 2006</w:t>
            </w:r>
            <w:r>
              <w:fldChar w:fldCharType="end"/>
            </w:r>
          </w:p>
        </w:tc>
      </w:tr>
      <w:tr w:rsidR="000F1981" w14:paraId="12340A0D" w14:textId="77777777" w:rsidTr="00DA39F5">
        <w:tc>
          <w:tcPr>
            <w:tcW w:w="2835" w:type="dxa"/>
          </w:tcPr>
          <w:p w14:paraId="6784D429" w14:textId="77777777" w:rsidR="000F1981" w:rsidRDefault="000F1981" w:rsidP="000F1981">
            <w:pPr>
              <w:pStyle w:val="Tablecontent"/>
            </w:pPr>
            <w:r>
              <w:t>INRA high/low fat cross</w:t>
            </w:r>
          </w:p>
        </w:tc>
        <w:tc>
          <w:tcPr>
            <w:tcW w:w="2977" w:type="dxa"/>
          </w:tcPr>
          <w:p w14:paraId="6DCC20A1" w14:textId="21839BAE" w:rsidR="000F1981" w:rsidRDefault="008F7375" w:rsidP="000F1981">
            <w:pPr>
              <w:pStyle w:val="Tablecontent"/>
            </w:pPr>
            <w:r>
              <w:t>PRJNA247952</w:t>
            </w:r>
          </w:p>
        </w:tc>
        <w:tc>
          <w:tcPr>
            <w:tcW w:w="2268" w:type="dxa"/>
          </w:tcPr>
          <w:p w14:paraId="4B0CA45E" w14:textId="22759D44" w:rsidR="000F1981" w:rsidRDefault="00292816" w:rsidP="00292816">
            <w:pPr>
              <w:pStyle w:val="Tablecontent"/>
            </w:pPr>
            <w:r>
              <w:t xml:space="preserve">             -</w:t>
            </w:r>
          </w:p>
        </w:tc>
      </w:tr>
      <w:tr w:rsidR="000F1981" w14:paraId="256ED9EE" w14:textId="77777777" w:rsidTr="00DA39F5">
        <w:tc>
          <w:tcPr>
            <w:tcW w:w="2835" w:type="dxa"/>
          </w:tcPr>
          <w:p w14:paraId="7172444D" w14:textId="77777777" w:rsidR="000F1981" w:rsidRDefault="000F1981" w:rsidP="000F1981">
            <w:pPr>
              <w:pStyle w:val="Tablecontent"/>
            </w:pPr>
            <w:r>
              <w:t>Indonesian natives</w:t>
            </w:r>
          </w:p>
        </w:tc>
        <w:tc>
          <w:tcPr>
            <w:tcW w:w="2977" w:type="dxa"/>
          </w:tcPr>
          <w:p w14:paraId="47B324ED" w14:textId="13C20FEC" w:rsidR="000F1981" w:rsidRDefault="008F7375" w:rsidP="000F1981">
            <w:pPr>
              <w:pStyle w:val="Tablecontent"/>
            </w:pPr>
            <w:r w:rsidRPr="008F7375">
              <w:t>DDBJ DRA003951</w:t>
            </w:r>
          </w:p>
        </w:tc>
        <w:tc>
          <w:tcPr>
            <w:tcW w:w="2268" w:type="dxa"/>
          </w:tcPr>
          <w:p w14:paraId="3E9C61C1" w14:textId="535271DC" w:rsidR="000F1981" w:rsidRDefault="008F7375" w:rsidP="000F1981">
            <w:pPr>
              <w:pStyle w:val="Tablecontent"/>
            </w:pPr>
            <w:r>
              <w:fldChar w:fldCharType="begin" w:fldLock="1"/>
            </w:r>
            <w:r w:rsidR="00E71440">
              <w:instrText>ADDIN CSL_CITATION { "citationItems" : [ { "id" : "ITEM-1", "itemData" : { "DOI" : "10.1186/s12864-016-2652-z", "ISSN" : "1471-2164", "author" : [ { "dropping-particle" : "", "family" : "Ulfah", "given" : "Maria", "non-dropping-particle" : "", "parse-names" : false, "suffix" : "" }, { "dropping-particle" : "", "family" : "Kawahara-Miki", "given" : "Ryouka", "non-dropping-particle" : "", "parse-names" : false, "suffix" : "" }, { "dropping-particle" : "", "family" : "Farajalllah", "given" : "Achmad", "non-dropping-particle" : "", "parse-names" : false, "suffix" : "" }, { "dropping-particle" : "", "family" : "Muladno", "given" : "Muladno", "non-dropping-particle" : "", "parse-names" : false, "suffix" : "" }, { "dropping-particle" : "", "family" : "Dorshorst", "given" : "Ben", "non-dropping-particle" : "", "parse-names" : false, "suffix" : "" }, { "dropping-particle" : "", "family" : "Martin", "given" : "Alison", "non-dropping-particle" : "", "parse-names" : false, "suffix" : "" }, { "dropping-particle" : "", "family" : "Kono", "given" : "Tomohiro", "non-dropping-particle" : "", "parse-names" : false, "suffix" : "" } ], "container-title" : "BMC Genomics", "id" : "ITEM-1", "issue" : "1", "issued" : { "date-parts" : [ [ "2016" ] ] }, "page" : "320", "publisher" : "BMC Genomics", "title" : "Genetic features of red and green junglefowls and relationship with Indonesian native chickens Sumatera and Kedu Hitam", "type" : "article-journal", "volume" : "17" }, "uris" : [ "http://www.mendeley.com/documents/?uuid=019fc018-20f4-4fbf-b70f-2938acc56884" ] } ], "mendeley" : { "formattedCitation" : "(Ulfah et al. 2016)", "manualFormatting" : "Ulfah et al. 2016", "plainTextFormattedCitation" : "(Ulfah et al. 2016)", "previouslyFormattedCitation" : "(Ulfah et al. 2016)" }, "properties" : { "noteIndex" : 0 }, "schema" : "https://github.com/citation-style-language/schema/raw/master/csl-citation.json" }</w:instrText>
            </w:r>
            <w:r>
              <w:fldChar w:fldCharType="separate"/>
            </w:r>
            <w:r w:rsidRPr="00CA6C7A">
              <w:rPr>
                <w:noProof/>
              </w:rPr>
              <w:t>Ulfah et al. 2016</w:t>
            </w:r>
            <w:r>
              <w:fldChar w:fldCharType="end"/>
            </w:r>
          </w:p>
        </w:tc>
      </w:tr>
      <w:tr w:rsidR="000F1981" w14:paraId="78597D58" w14:textId="77777777" w:rsidTr="00DA39F5">
        <w:tc>
          <w:tcPr>
            <w:tcW w:w="2835" w:type="dxa"/>
          </w:tcPr>
          <w:p w14:paraId="4F06637A" w14:textId="77777777" w:rsidR="000F1981" w:rsidRDefault="000F1981" w:rsidP="000F1981">
            <w:pPr>
              <w:pStyle w:val="Tablecontent"/>
            </w:pPr>
            <w:r>
              <w:t>Iowa State</w:t>
            </w:r>
          </w:p>
        </w:tc>
        <w:tc>
          <w:tcPr>
            <w:tcW w:w="2977" w:type="dxa"/>
          </w:tcPr>
          <w:p w14:paraId="432317A9" w14:textId="256AE0F3" w:rsidR="000F1981" w:rsidRDefault="000F711C" w:rsidP="000F1981">
            <w:pPr>
              <w:pStyle w:val="Tablecontent"/>
            </w:pPr>
            <w:r>
              <w:t>Susan Lamont, Iowa State</w:t>
            </w:r>
          </w:p>
        </w:tc>
        <w:tc>
          <w:tcPr>
            <w:tcW w:w="2268" w:type="dxa"/>
          </w:tcPr>
          <w:p w14:paraId="344F8E27" w14:textId="68156903" w:rsidR="000F1981" w:rsidRDefault="00292816" w:rsidP="00292816">
            <w:pPr>
              <w:pStyle w:val="Tablecontent"/>
            </w:pPr>
            <w:r>
              <w:t xml:space="preserve">             -</w:t>
            </w:r>
          </w:p>
        </w:tc>
      </w:tr>
      <w:tr w:rsidR="000F1981" w14:paraId="7A94E3A5" w14:textId="77777777" w:rsidTr="00DA39F5">
        <w:tc>
          <w:tcPr>
            <w:tcW w:w="2835" w:type="dxa"/>
          </w:tcPr>
          <w:p w14:paraId="1B29D38F" w14:textId="77777777" w:rsidR="000F1981" w:rsidRDefault="000F1981" w:rsidP="000F1981">
            <w:pPr>
              <w:pStyle w:val="Tablecontent"/>
            </w:pPr>
            <w:r>
              <w:t>Korean domestic</w:t>
            </w:r>
          </w:p>
        </w:tc>
        <w:tc>
          <w:tcPr>
            <w:tcW w:w="2977" w:type="dxa"/>
          </w:tcPr>
          <w:p w14:paraId="2EA5D670" w14:textId="239A393C" w:rsidR="000F1981" w:rsidRDefault="000F711C" w:rsidP="000F1981">
            <w:pPr>
              <w:pStyle w:val="Tablecontent"/>
            </w:pPr>
            <w:r>
              <w:t>PRJNA291174</w:t>
            </w:r>
          </w:p>
        </w:tc>
        <w:tc>
          <w:tcPr>
            <w:tcW w:w="2268" w:type="dxa"/>
          </w:tcPr>
          <w:p w14:paraId="2B205716" w14:textId="38BCC7E9" w:rsidR="000F1981" w:rsidRDefault="000F711C" w:rsidP="000F1981">
            <w:pPr>
              <w:pStyle w:val="Tablecontent"/>
            </w:pPr>
            <w:r>
              <w:fldChar w:fldCharType="begin" w:fldLock="1"/>
            </w:r>
            <w:r w:rsidR="00E71440">
              <w:instrText>ADDIN CSL_CITATION { "citationItems" : [ { "id" : "ITEM-1", "itemData" : { "DOI" : "10.2108/zs150071", "ISSN" : "0289-0003", "PMID" : "26853871", "abstract" : "Chicken is one of the most popular domesticated species worldwide, as it can serve an important role in agricultural as well as biomedical research fields. Because it inhabits almost every continent and presents diverse morphology and traits, the need of genetic markers for distinguishing each breed for various purposes has increased. The whole genome sequencing of three different breeds (White Leghorn, Korean domestic, and Araucana) that show similar coloring patterns, with the exception of the White Leghorn breed, have confirmed previously reported genomic alterations and identified many novel variants. Additionally, the Whole Genome Re-Sequencing (WGRS) approach identified an approximately 4 kb insert within SLCO1B3 responsible for blue egg shell color. Targeted investigation of pigment-related genes corroborated previously reported non-synonymous mutations, and provided deeper insight into chicken coloring, where not a single but a combination of non-synonymous mutations in the MC1R gene is likely to be responsible for altered feather coloring.", "author" : [ { "dropping-particle" : "", "family" : "Oh", "given" : "Dongyep", "non-dropping-particle" : "", "parse-names" : false, "suffix" : "" }, { "dropping-particle" : "", "family" : "Son", "given" : "Bongjun", "non-dropping-particle" : "", "parse-names" : false, "suffix" : "" }, { "dropping-particle" : "", "family" : "Mun", "given" : "Seyoung", "non-dropping-particle" : "", "parse-names" : false, "suffix" : "" }, { "dropping-particle" : "", "family" : "Oh", "given" : "Man Hwan", "non-dropping-particle" : "", "parse-names" : false, "suffix" : "" }, { "dropping-particle" : "", "family" : "Oh", "given" : "Sejong", "non-dropping-particle" : "", "parse-names" : false, "suffix" : "" }, { "dropping-particle" : "", "family" : "Ha", "given" : "Jaejung", "non-dropping-particle" : "", "parse-names" : false, "suffix" : "" }, { "dropping-particle" : "", "family" : "Yi", "given" : "Junkoo", "non-dropping-particle" : "", "parse-names" : false, "suffix" : "" }, { "dropping-particle" : "", "family" : "Lee", "given" : "Seunguk", "non-dropping-particle" : "", "parse-names" : false, "suffix" : "" }, { "dropping-particle" : "", "family" : "Han", "given" : "Kyudong", "non-dropping-particle" : "", "parse-names" : false, "suffix" : "" } ], "container-title" : "Zoological science", "id" : "ITEM-1", "issue" : "1", "issued" : { "date-parts" : [ [ "2016" ] ] }, "page" : "73-7", "title" : "Whole Genome Re-Sequencing of Three Domesticated Chicken Breeds.", "type" : "article-journal", "volume" : "33" }, "uris" : [ "http://www.mendeley.com/documents/?uuid=e4a4e3b1-1bb7-4c29-871c-a3a526806e70" ] } ], "mendeley" : { "formattedCitation" : "(Oh et al. 2016)", "manualFormatting" : "Oh et al. 2016", "plainTextFormattedCitation" : "(Oh et al. 2016)", "previouslyFormattedCitation" : "(Oh et al. 2016)" }, "properties" : { "noteIndex" : 0 }, "schema" : "https://github.com/citation-style-language/schema/raw/master/csl-citation.json" }</w:instrText>
            </w:r>
            <w:r>
              <w:fldChar w:fldCharType="separate"/>
            </w:r>
            <w:r w:rsidRPr="00CA6C7A">
              <w:rPr>
                <w:noProof/>
              </w:rPr>
              <w:t>Oh et al. 2016</w:t>
            </w:r>
            <w:r>
              <w:fldChar w:fldCharType="end"/>
            </w:r>
          </w:p>
        </w:tc>
      </w:tr>
      <w:tr w:rsidR="000F1981" w14:paraId="4A0C25CE" w14:textId="77777777" w:rsidTr="00DA39F5">
        <w:tc>
          <w:tcPr>
            <w:tcW w:w="2835" w:type="dxa"/>
          </w:tcPr>
          <w:p w14:paraId="7C2FAA2C" w14:textId="77777777" w:rsidR="000F1981" w:rsidRDefault="000F1981" w:rsidP="000F1981">
            <w:pPr>
              <w:pStyle w:val="Tablecontent"/>
            </w:pPr>
            <w:r>
              <w:t>Lohmann layers</w:t>
            </w:r>
          </w:p>
        </w:tc>
        <w:tc>
          <w:tcPr>
            <w:tcW w:w="2977" w:type="dxa"/>
          </w:tcPr>
          <w:p w14:paraId="4BA0674C" w14:textId="309CBF24" w:rsidR="000F1981" w:rsidRDefault="000F711C" w:rsidP="000F1981">
            <w:pPr>
              <w:pStyle w:val="Tablecontent"/>
            </w:pPr>
            <w:r>
              <w:t>Rudolf Preisinger, Lohmann</w:t>
            </w:r>
          </w:p>
        </w:tc>
        <w:tc>
          <w:tcPr>
            <w:tcW w:w="2268" w:type="dxa"/>
          </w:tcPr>
          <w:p w14:paraId="63A7BEA0" w14:textId="5B520D0A" w:rsidR="000F1981" w:rsidRDefault="000F711C" w:rsidP="000F1981">
            <w:pPr>
              <w:pStyle w:val="Tablecontent"/>
            </w:pPr>
            <w:r>
              <w:t xml:space="preserve">Pooled data used in </w:t>
            </w:r>
            <w:r>
              <w:fldChar w:fldCharType="begin" w:fldLock="1"/>
            </w:r>
            <w:r w:rsidR="00E71440">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"manualFormatting" : "Kranis et al. 2013", "plainTextFormattedCitation" : "(Kranis et al. 2013)", "previouslyFormattedCitation" : "(Kranis et al. 2013)" }, "properties" : { "noteIndex" : 0 }, "schema" : "https://github.com/citation-style-language/schema/raw/master/csl-citation.json" }</w:instrText>
            </w:r>
            <w:r>
              <w:fldChar w:fldCharType="separate"/>
            </w:r>
            <w:r w:rsidRPr="000F711C">
              <w:rPr>
                <w:noProof/>
              </w:rPr>
              <w:t>Kranis et al. 2013</w:t>
            </w:r>
            <w:r>
              <w:fldChar w:fldCharType="end"/>
            </w:r>
          </w:p>
        </w:tc>
      </w:tr>
      <w:tr w:rsidR="000F1981" w14:paraId="11F581C3" w14:textId="77777777" w:rsidTr="00DA39F5">
        <w:tc>
          <w:tcPr>
            <w:tcW w:w="2835" w:type="dxa"/>
          </w:tcPr>
          <w:p w14:paraId="6559307E" w14:textId="77777777" w:rsidR="000F1981" w:rsidRDefault="000F1981" w:rsidP="000F1981">
            <w:pPr>
              <w:pStyle w:val="Tablecontent"/>
            </w:pPr>
            <w:r>
              <w:t>Pirbright inbred lines</w:t>
            </w:r>
          </w:p>
        </w:tc>
        <w:tc>
          <w:tcPr>
            <w:tcW w:w="2977" w:type="dxa"/>
          </w:tcPr>
          <w:p w14:paraId="29A638F4" w14:textId="47251097" w:rsidR="000F1981" w:rsidRDefault="000F711C" w:rsidP="000F1981">
            <w:pPr>
              <w:pStyle w:val="Tablecontent"/>
            </w:pPr>
            <w:r>
              <w:t>Roslin Institute</w:t>
            </w:r>
          </w:p>
        </w:tc>
        <w:tc>
          <w:tcPr>
            <w:tcW w:w="2268" w:type="dxa"/>
          </w:tcPr>
          <w:p w14:paraId="68E3A0AF" w14:textId="0B4A57D1" w:rsidR="000F1981" w:rsidRDefault="000F711C" w:rsidP="000F1981">
            <w:pPr>
              <w:pStyle w:val="Tablecontent"/>
            </w:pPr>
            <w:r>
              <w:fldChar w:fldCharType="begin" w:fldLock="1"/>
            </w:r>
            <w:r w:rsidR="00E71440">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"manualFormatting" : "Kranis et al. 2013", "plainTextFormattedCitation" : "(Kranis et al. 2013)", "previouslyFormattedCitation" : "(Kranis et al. 2013)" }, "properties" : { "noteIndex" : 0 }, "schema" : "https://github.com/citation-style-language/schema/raw/master/csl-citation.json" }</w:instrText>
            </w:r>
            <w:r>
              <w:fldChar w:fldCharType="separate"/>
            </w:r>
            <w:r w:rsidRPr="000F711C">
              <w:rPr>
                <w:noProof/>
              </w:rPr>
              <w:t>Kranis et al. 2013</w:t>
            </w:r>
            <w:r>
              <w:fldChar w:fldCharType="end"/>
            </w:r>
          </w:p>
        </w:tc>
      </w:tr>
      <w:tr w:rsidR="000F1981" w14:paraId="62E75D0B" w14:textId="77777777" w:rsidTr="00DA39F5">
        <w:tc>
          <w:tcPr>
            <w:tcW w:w="2835" w:type="dxa"/>
          </w:tcPr>
          <w:p w14:paraId="1DCA30E6" w14:textId="77777777" w:rsidR="000F1981" w:rsidRDefault="000F1981" w:rsidP="000F1981">
            <w:pPr>
              <w:pStyle w:val="Tablecontent"/>
            </w:pPr>
            <w:r>
              <w:t>Roslin experimental blind</w:t>
            </w:r>
          </w:p>
        </w:tc>
        <w:tc>
          <w:tcPr>
            <w:tcW w:w="2977" w:type="dxa"/>
          </w:tcPr>
          <w:p w14:paraId="70C29ED9" w14:textId="0C038AB9" w:rsidR="000F1981" w:rsidRDefault="000F711C" w:rsidP="000F1981">
            <w:pPr>
              <w:pStyle w:val="Tablecontent"/>
            </w:pPr>
            <w:r>
              <w:t>Roslin Institute</w:t>
            </w:r>
          </w:p>
        </w:tc>
        <w:tc>
          <w:tcPr>
            <w:tcW w:w="2268" w:type="dxa"/>
          </w:tcPr>
          <w:p w14:paraId="7554ECFB" w14:textId="36A5407C" w:rsidR="000F1981" w:rsidRDefault="000F711C" w:rsidP="000F1981">
            <w:pPr>
              <w:pStyle w:val="Tablecontent"/>
            </w:pPr>
            <w:r>
              <w:fldChar w:fldCharType="begin" w:fldLock="1"/>
            </w:r>
            <w:r w:rsidR="00E71440">
              <w:instrText>ADDIN CSL_CITATION { "citationItems" : [ { "id" : "ITEM-1", "itemData" : { "DOI" : "10.1016/j.ddmod.2014.02.003", "ISSN" : "17406757", "abstract" : "A diverse range of chicken lines harbouring highly-penetrant, spontaneously-occurring mutations with an ocular phenotype have been identified over the past 40 years. These lines serve as models for human monogenic disorders including ocular albinism, retinal dystrophies such as Leber's congenital amaurosis, and coloboma, as well as the common complex traits glaucoma and myopia. Recent technical advances in gene targeting, mapping quantitative trait loci, and phenotypic characterisation of eye phenotypes offer exciting prospects for exploiting chicken genomic resources in fundamental and translational eye research. \u00a9 2014 Elsevier Ltd. All rights reserved.", "author" : [ { "dropping-particle" : "", "family" : "Hocking", "given" : "Paul M.", "non-dropping-particle" : "", "parse-names" : false, "suffix" : "" }, { "dropping-particle" : "", "family" : "Guggenheim", "given" : "Jeremy A.", "non-dropping-particle" : "", "parse-names" : false, "suffix" : "" } ], "container-title" : "Drug Discovery Today: Disease Models", "id" : "ITEM-1", "issue" : "4", "issued" : { "date-parts" : [ [ "2014" ] ] }, "page" : "e225-e230", "publisher" : "Elsevier Ltd", "title" : "The chick as an animal model of eye disease", "type" : "article-journal", "volume" : "10" }, "uris" : [ "http://www.mendeley.com/documents/?uuid=a0a1668b-5cc3-418e-a6c9-589708d7b9bb" ] } ], "mendeley" : { "formattedCitation" : "(Hocking &amp; Guggenheim 2014)", "manualFormatting" : "Hocking &amp; Guggenheim 2014", "plainTextFormattedCitation" : "(Hocking &amp; Guggenheim 2014)", "previouslyFormattedCitation" : "(Hocking &amp; Guggenheim 2014)" }, "properties" : { "noteIndex" : 0 }, "schema" : "https://github.com/citation-style-language/schema/raw/master/csl-citation.json" }</w:instrText>
            </w:r>
            <w:r>
              <w:fldChar w:fldCharType="separate"/>
            </w:r>
            <w:r w:rsidRPr="00EA35D2">
              <w:rPr>
                <w:noProof/>
              </w:rPr>
              <w:t>Hocking &amp; Guggenheim 2014</w:t>
            </w:r>
            <w:r>
              <w:fldChar w:fldCharType="end"/>
            </w:r>
          </w:p>
        </w:tc>
      </w:tr>
      <w:tr w:rsidR="000F1981" w14:paraId="0CBD0B4F" w14:textId="77777777" w:rsidTr="00DA39F5">
        <w:tc>
          <w:tcPr>
            <w:tcW w:w="2835" w:type="dxa"/>
          </w:tcPr>
          <w:p w14:paraId="6FA366C0" w14:textId="77777777" w:rsidR="000F1981" w:rsidRDefault="000F1981" w:rsidP="000F1981">
            <w:pPr>
              <w:pStyle w:val="Tablecontent"/>
            </w:pPr>
            <w:r>
              <w:t>SPF commercials</w:t>
            </w:r>
          </w:p>
        </w:tc>
        <w:tc>
          <w:tcPr>
            <w:tcW w:w="2977" w:type="dxa"/>
          </w:tcPr>
          <w:p w14:paraId="6AA9B604" w14:textId="631911E5" w:rsidR="000F1981" w:rsidRDefault="000F1981" w:rsidP="000F1981">
            <w:pPr>
              <w:pStyle w:val="Tablecontent"/>
            </w:pPr>
            <w:r>
              <w:t xml:space="preserve">Marc Eloit, </w:t>
            </w:r>
            <w:r w:rsidR="00292816">
              <w:br/>
            </w:r>
            <w:r>
              <w:t>Pasteur Institute</w:t>
            </w:r>
          </w:p>
        </w:tc>
        <w:tc>
          <w:tcPr>
            <w:tcW w:w="2268" w:type="dxa"/>
          </w:tcPr>
          <w:p w14:paraId="0BB8AD05" w14:textId="5BDA96BF" w:rsidR="000F1981" w:rsidRDefault="000F1981" w:rsidP="000F1981">
            <w:pPr>
              <w:pStyle w:val="Tablecontent"/>
            </w:pPr>
            <w:r>
              <w:fldChar w:fldCharType="begin" w:fldLock="1"/>
            </w:r>
            <w:r w:rsidR="00E71440">
              <w:instrText>ADDIN CSL_CITATION { "citationItems" : [ { "id" : "ITEM-1", "itemData" : { "DOI" : "10.1016/j.biologicals.2014.05.004", "ISBN" : "1095-8320 (Electronic)\\r1045-1056 (Linking)", "ISSN" : "10958320", "PMID" : "24930452", "abstract" : "Specific Pathogen Free (SPF) embryonated eggs are used for the production of many veterinary and human vaccines. We have used High Throughput Sequencing to screen allantoic fluids and embryos for the presence of encapsidated viral genomes and viral transcripts, respectively. SPF eggs from two different producers were tested. We evidenced sequences corresponding to known endogenous retroviruses and sequences of Avian Leukosis Virus, but no sequence that might suggest a productive infection of eggs with a virus even distant from known viruses. Our results strongly suggest that SPF eggs such as those used for this study represent a safe substrate for the production of vaccines. \u00a9 2014 The International Alliance for Biological Standardization.", "author" : [ { "dropping-particle" : "", "family" : "Gagnieur", "given" : "L\u00e9a", "non-dropping-particle" : "", "parse-names" : false, "suffix" : "" }, { "dropping-particle" : "", "family" : "Cheval", "given" : "Justine", "non-dropping-particle" : "", "parse-names" : false, "suffix" : "" }, { "dropping-particle" : "", "family" : "Cochet", "given" : "Marielle", "non-dropping-particle" : "", "parse-names" : false, "suffix" : "" }, { "dropping-particle" : "", "family" : "Breard", "given" : "Emmanuel", "non-dropping-particle" : "", "parse-names" : false, "suffix" : "" }, { "dropping-particle" : "", "family" : "Gratigny", "given" : "Marl\u00e8ne", "non-dropping-particle" : "", "parse-names" : false, "suffix" : "" }, { "dropping-particle" : "", "family" : "H\u00e9bert", "given" : "Charles", "non-dropping-particle" : "", "parse-names" : false, "suffix" : "" }, { "dropping-particle" : "", "family" : "Muth", "given" : "Erika", "non-dropping-particle" : "", "parse-names" : false, "suffix" : "" }, { "dropping-particle" : "", "family" : "Viarouge", "given" : "Cyril", "non-dropping-particle" : "", "parse-names" : false, "suffix" : "" }, { "dropping-particle" : "", "family" : "Dumarest", "given" : "Marine", "non-dropping-particle" : "", "parse-names" : false, "suffix" : "" }, { "dropping-particle" : "", "family" : "Coulpier", "given" : "Muriel", "non-dropping-particle" : "", "parse-names" : false, "suffix" : "" }, { "dropping-particle" : "", "family" : "Eloit", "given" : "Marc", "non-dropping-particle" : "", "parse-names" : false, "suffix" : "" } ], "container-title" : "Biologicals", "id" : "ITEM-1", "issue" : "4", "issued" : { "date-parts" : [ [ "2014" ] ] }, "page" : "218-219", "title" : "Analysis by high throughput sequencing of Specific Pathogen Free eggs", "type" : "article-journal", "volume" : "42" }, "uris" : [ "http://www.mendeley.com/documents/?uuid=8d745b31-3c4a-4397-8f65-c69972502c3d" ] } ], "mendeley" : { "formattedCitation" : "(Gagnieur et al. 2014)", "manualFormatting" : "Gagnieur et al. 2014", "plainTextFormattedCitation" : "(Gagnieur et al. 2014)", "previouslyFormattedCitation" : "(Gagnieur et al. 2014)" }, "properties" : { "noteIndex" : 0 }, "schema" : "https://github.com/citation-style-language/schema/raw/master/csl-citation.json" }</w:instrText>
            </w:r>
            <w:r>
              <w:fldChar w:fldCharType="separate"/>
            </w:r>
            <w:r w:rsidRPr="003C5D2F">
              <w:rPr>
                <w:noProof/>
              </w:rPr>
              <w:t>Gagnieur et al. 2014</w:t>
            </w:r>
            <w:r>
              <w:fldChar w:fldCharType="end"/>
            </w:r>
          </w:p>
        </w:tc>
      </w:tr>
      <w:tr w:rsidR="000F1981" w14:paraId="1793B5FB" w14:textId="77777777" w:rsidTr="00DA39F5">
        <w:tc>
          <w:tcPr>
            <w:tcW w:w="2835" w:type="dxa"/>
          </w:tcPr>
          <w:p w14:paraId="560C8DF0" w14:textId="77777777" w:rsidR="000F1981" w:rsidRDefault="000F1981" w:rsidP="000F1981">
            <w:pPr>
              <w:pStyle w:val="Tablecontent"/>
            </w:pPr>
            <w:r>
              <w:t>Taiwanese domestic</w:t>
            </w:r>
          </w:p>
        </w:tc>
        <w:tc>
          <w:tcPr>
            <w:tcW w:w="2977" w:type="dxa"/>
          </w:tcPr>
          <w:p w14:paraId="3AAE15F1" w14:textId="3A7D8DCA" w:rsidR="000F1981" w:rsidRDefault="000F711C" w:rsidP="000F1981">
            <w:pPr>
              <w:pStyle w:val="Tablecontent"/>
            </w:pPr>
            <w:r>
              <w:t>PRJNA202483</w:t>
            </w:r>
          </w:p>
        </w:tc>
        <w:tc>
          <w:tcPr>
            <w:tcW w:w="2268" w:type="dxa"/>
          </w:tcPr>
          <w:p w14:paraId="438C8BA7" w14:textId="0B46959C" w:rsidR="000F1981" w:rsidRDefault="000F1981" w:rsidP="000F1981">
            <w:pPr>
              <w:pStyle w:val="Tablecontent"/>
            </w:pPr>
            <w:r>
              <w:fldChar w:fldCharType="begin" w:fldLock="1"/>
            </w:r>
            <w:r w:rsidR="00E71440">
              <w:instrText>ADDIN CSL_CITATION { "citationItems" : [ { "id" : "ITEM-1", "itemData" : { "DOI" : "10.1093/gbe/evt097", "ISBN" : "1759-6653 (Electronic)\\r1759-6653 (Linking)", "ISSN" : "17596653", "PMID" : "23814129", "abstract" : "Domestic chickens are excellent models for investigating the genetic basis of phenotypic diversity, as numerous phenotypic changes in physiology, morphology, and behavior in chickens have been artificially selected. Genomic study is required to study genome-wide patterns of DNA variation for dissecting the genetic basis of phenotypic traits. We sequenced the genomes of the Silkie and the Taiwanese native chicken L2 at \u223c23- and 25-fold average coverage depth, respectively, using Illumina sequencing. The reads were mapped onto the chicken reference genome (including 5.1% Ns) to 92.32% genome coverage for the two breeds. Using a stringent filter, we identified \u223c7.6 million single-nucleotide polymorphisms (SNPs) and 8,839 copy number variations (CNVs) in the mapped regions; 42% of the SNPs have not found in other chickens before. Among the 68,906 SNPs annotated in the chicken sequence assembly, 27,852 were nonsynonymous SNPs located in 13,537 genes. We also identified hundreds of shared and divergent structural and copy number variants in intronic and intergenic regions and in coding regions in the two breeds. Functional enrichments of identified genetic variants were discussed. Radical nsSNP-containing immunity genes were enriched in the QTL regions associated with some economic traits for both breeds. Moreover, genetic changes involved in selective sweeps were detected. From the selective sweeps identified in our two breeds, several genes associated with growth, appetite, and metabolic regulation were identified. Our study provides a framework for genetic and genomic research of domestic chickens and facilitates the domestic chicken as an avian model for genomic, biomedical, and evolutionary studies.", "author" : [ { "dropping-particle" : "", "family" : "Fan", "given" : "Wen Lang", "non-dropping-particle" : "", "parse-names" : false, "suffix" : "" }, { "dropping-particle" : "", "family" : "Ng", "given" : "Chen Siang", "non-dropping-particle" : "", "parse-names" : false, "suffix" : "" }, { "dropping-particle" : "", "family" : "Chen", "given" : "Chih Feng", "non-dropping-particle" : "", "parse-names" : false, "suffix" : "" }, { "dropping-particle" : "", "family" : "Lu", "given" : "Mei Yeh Jade", "non-dropping-particle" : "", "parse-names" : false, "suffix" : "" }, { "dropping-particle" : "", "family" : "Chen", "given" : "Yu Hsiang", "non-dropping-particle" : "", "parse-names" : false, "suffix" : "" }, { "dropping-particle" : "", "family" : "Liu", "given" : "Chia Jung", "non-dropping-particle" : "", "parse-names" : false, "suffix" : "" }, { "dropping-particle" : "", "family" : "Wu", "given" : "Siao Man", "non-dropping-particle" : "", "parse-names" : false, "suffix" : "" }, { "dropping-particle" : "", "family" : "Chen", "given" : "Chih Kuan", "non-dropping-particle" : "", "parse-names" : false, "suffix" : "" }, { "dropping-particle" : "", "family" : "Chen", "given" : "Jiun Jie", "non-dropping-particle" : "", "parse-names" : false, "suffix" : "" }, { "dropping-particle" : "", "family" : "Mao", "given" : "Chi Tang", "non-dropping-particle" : "", "parse-names" : false, "suffix" : "" }, { "dropping-particle" : "", "family" : "Lai", "given" : "Yu Ting", "non-dropping-particle" : "", "parse-names" : false, "suffix" : "" }, { "dropping-particle" : "", "family" : "Lo", "given" : "Wen Sui", "non-dropping-particle" : "", "parse-names" : false, "suffix" : "" }, { "dropping-particle" : "", "family" : "Chang", "given" : "Wei Hua", "non-dropping-particle" : "", "parse-names" : false, "suffix" : "" }, { "dropping-particle" : "", "family" : "Li", "given" : "Wen Hsiung", "non-dropping-particle" : "", "parse-names" : false, "suffix" : "" } ], "container-title" : "Genome Biology and Evolution", "id" : "ITEM-1", "issue" : "7", "issued" : { "date-parts" : [ [ "2013" ] ] }, "page" : "1376-1392", "title" : "Genome-wide patterns of genetic variation in two domestic chickens", "type" : "article-journal", "volume" : "5" }, "uris" : [ "http://www.mendeley.com/documents/?uuid=1046cf95-d167-4a52-baac-987ccaa04f94" ] } ], "mendeley" : { "formattedCitation" : "(Fan et al. 2013)", "manualFormatting" : "Fan et al. 2013", "plainTextFormattedCitation" : "(Fan et al. 2013)", "previouslyFormattedCitation" : "(Fan et al. 2013)" }, "properties" : { "noteIndex" : 0 }, "schema" : "https://github.com/citation-style-language/schema/raw/master/csl-citation.json" }</w:instrText>
            </w:r>
            <w:r>
              <w:fldChar w:fldCharType="separate"/>
            </w:r>
            <w:r w:rsidRPr="000F1981">
              <w:rPr>
                <w:noProof/>
              </w:rPr>
              <w:t>Fan et al. 2013</w:t>
            </w:r>
            <w:r>
              <w:fldChar w:fldCharType="end"/>
            </w:r>
          </w:p>
        </w:tc>
      </w:tr>
      <w:tr w:rsidR="000F1981" w14:paraId="25B30D2A" w14:textId="77777777" w:rsidTr="00DA39F5">
        <w:tc>
          <w:tcPr>
            <w:tcW w:w="2835" w:type="dxa"/>
          </w:tcPr>
          <w:p w14:paraId="6600A7F7" w14:textId="77777777" w:rsidR="000F1981" w:rsidRDefault="000F1981" w:rsidP="000F1981">
            <w:pPr>
              <w:pStyle w:val="Tablecontent"/>
            </w:pPr>
            <w:r>
              <w:t>Tibetan highland/lowland</w:t>
            </w:r>
          </w:p>
        </w:tc>
        <w:tc>
          <w:tcPr>
            <w:tcW w:w="2977" w:type="dxa"/>
          </w:tcPr>
          <w:p w14:paraId="423890F6" w14:textId="469FC826" w:rsidR="000F1981" w:rsidRDefault="000F1981" w:rsidP="000F1981">
            <w:pPr>
              <w:pStyle w:val="Tablecontent"/>
            </w:pPr>
            <w:r w:rsidRPr="000F1981">
              <w:t>PRJNA309581</w:t>
            </w:r>
          </w:p>
        </w:tc>
        <w:tc>
          <w:tcPr>
            <w:tcW w:w="2268" w:type="dxa"/>
          </w:tcPr>
          <w:p w14:paraId="0F1E0C3B" w14:textId="0262FD5D" w:rsidR="000F1981" w:rsidRDefault="000F1981" w:rsidP="000F1981">
            <w:pPr>
              <w:pStyle w:val="Tablecontent"/>
            </w:pPr>
            <w:r>
              <w:fldChar w:fldCharType="begin" w:fldLock="1"/>
            </w:r>
            <w:r w:rsidR="00E71440">
              <w:instrText>ADDIN CSL_CITATION { "citationItems" : [ { "id" : "ITEM-1", "itemData" : { "DOI" : "10.1093/gbe/evw032", "ISSN" : "1759-6653", "PMID" : "26907498", "author" : [ { "dropping-particle" : "", "family" : "Zhang", "given" : "Qian", "non-dropping-particle" : "", "parse-names" : false, "suffix" : "" }, { "dropping-particle" : "", "family" : "Gou", "given" : "Wenyu", "non-dropping-particle" : "", "parse-names" : false, "suffix" : "" }, { "dropping-particle" : "", "family" : "Wang", "given" : "Xiaotong", "non-dropping-particle" : "", "parse-names" : false, "suffix" : "" }, { "dropping-particle" : "", "family" : "Zhang", "given" : "Yawen", "non-dropping-particle" : "", "parse-names" : false, "suffix" : "" }, { "dropping-particle" : "", "family" : "Ma", "given" : "Jun", "non-dropping-particle" : "", "parse-names" : false, "suffix" : "" }, { "dropping-particle" : "", "family" : "Zhang", "given" : "Hongliang", "non-dropping-particle" : "", "parse-names" : false, "suffix" : "" }, { "dropping-particle" : "", "family" : "Zhang", "given" : "Ying", "non-dropping-particle" : "", "parse-names" : false, "suffix" : "" }, { "dropping-particle" : "", "family" : "Zhang", "given" : "Hao", "non-dropping-particle" : "", "parse-names" : false, "suffix" : "" } ], "container-title" : "Genome Biology and Evolution", "id" : "ITEM-1", "issue" : "3", "issued" : { "date-parts" : [ [ "2016" ] ] }, "page" : "evw032", "title" : "Genome Resequencing Identifies Unique Adaptations of Tibetan Chickens to Hypoxia and High-dose Ultraviolet Radiation in High-altitude Environments", "type" : "article-journal", "volume" : "8" }, "uris" : [ "http://www.mendeley.com/documents/?uuid=9b69ceb1-53cd-4b69-a798-14c24283b107" ] } ], "mendeley" : { "formattedCitation" : "(Zhang et al. 2016)", "manualFormatting" : "Zhang et al. 2016", "plainTextFormattedCitation" : "(Zhang et al. 2016)", "previouslyFormattedCitation" : "(Zhang et al. 2016)" }, "properties" : { "noteIndex" : 0 }, "schema" : "https://github.com/citation-style-language/schema/raw/master/csl-citation.json" }</w:instrText>
            </w:r>
            <w:r>
              <w:fldChar w:fldCharType="separate"/>
            </w:r>
            <w:r w:rsidRPr="00431215">
              <w:rPr>
                <w:noProof/>
              </w:rPr>
              <w:t>Zhang et al. 2016</w:t>
            </w:r>
            <w:r>
              <w:fldChar w:fldCharType="end"/>
            </w:r>
          </w:p>
        </w:tc>
      </w:tr>
      <w:tr w:rsidR="000F1981" w14:paraId="038A22CE" w14:textId="77777777" w:rsidTr="00DA39F5">
        <w:tc>
          <w:tcPr>
            <w:tcW w:w="2835" w:type="dxa"/>
            <w:tcBorders>
              <w:bottom w:val="single" w:sz="4" w:space="0" w:color="auto"/>
            </w:tcBorders>
          </w:tcPr>
          <w:p w14:paraId="4A4A9058" w14:textId="7D7A100A" w:rsidR="000F1981" w:rsidRDefault="000F1981" w:rsidP="000F1981">
            <w:pPr>
              <w:pStyle w:val="Tablecontent"/>
            </w:pPr>
            <w:r>
              <w:t>Tibetan fighting</w:t>
            </w:r>
          </w:p>
        </w:tc>
        <w:tc>
          <w:tcPr>
            <w:tcW w:w="2977" w:type="dxa"/>
            <w:tcBorders>
              <w:bottom w:val="single" w:sz="4" w:space="0" w:color="auto"/>
            </w:tcBorders>
          </w:tcPr>
          <w:p w14:paraId="29905337" w14:textId="15AB3DBD" w:rsidR="000F1981" w:rsidRDefault="000F1981" w:rsidP="000F1981">
            <w:pPr>
              <w:pStyle w:val="Tablecontent"/>
            </w:pPr>
            <w:r w:rsidRPr="000F1981">
              <w:t>PRJNA241474</w:t>
            </w:r>
          </w:p>
        </w:tc>
        <w:tc>
          <w:tcPr>
            <w:tcW w:w="2268" w:type="dxa"/>
            <w:tcBorders>
              <w:bottom w:val="single" w:sz="4" w:space="0" w:color="auto"/>
            </w:tcBorders>
          </w:tcPr>
          <w:p w14:paraId="20D53741" w14:textId="0E99B232" w:rsidR="000F1981" w:rsidRDefault="000F1981" w:rsidP="000F1981">
            <w:pPr>
              <w:pStyle w:val="Tablecontent"/>
            </w:pPr>
            <w:r>
              <w:fldChar w:fldCharType="begin" w:fldLock="1"/>
            </w:r>
            <w:r w:rsidR="00E71440">
              <w:instrText>ADDIN CSL_CITATION { "citationItems" : [ { "id" : "ITEM-1", "itemData" : { "DOI" : "10.1186/s12711-016-0239-4", "ISBN" : "1271101602", "ISSN" : "1297-9686", "author" : [ { "dropping-particle" : "", "family" : "Guo", "given" : "Xing", "non-dropping-particle" : "", "parse-names" : false, "suffix" : "" }, { "dropping-particle" : "", "family" : "Fang", "given" : "Qi", "non-dropping-particle" : "", "parse-names" : false, "suffix" : "" }, { "dropping-particle" : "", "family" : "Ma", "given" : "Chendong", "non-dropping-particle" : "", "parse-names" : false, "suffix" : "" }, { "dropping-particle" : "", "family" : "Zhou", "given" : "Bangyuan", "non-dropping-particle" : "", "parse-names" : false, "suffix" : "" }, { "dropping-particle" : "", "family" : "Wan", "given" : "Yi", "non-dropping-particle" : "", "parse-names" : false, "suffix" : "" }, { "dropping-particle" : "", "family" : "Jiang", "given" : "Runshen", "non-dropping-particle" : "", "parse-names" : false, "suffix" : "" } ], "container-title" : "Genetics Selection Evolution", "id" : "ITEM-1", "issue" : "1", "issued" : { "date-parts" : [ [ "2016" ] ] }, "page" : "62", "publisher" : "BioMed Central", "title" : "Whole-genome resequencing of Xishuangbanna fighting chicken to identify signatures of selection", "type" : "article-journal", "volume" : "48" }, "uris" : [ "http://www.mendeley.com/documents/?uuid=cf5b65aa-9f4e-4bfb-b0a6-969225d23e02" ] } ], "mendeley" : { "formattedCitation" : "(Guo et al. 2016)", "manualFormatting" : "Guo et al. 2016", "plainTextFormattedCitation" : "(Guo et al. 2016)", "previouslyFormattedCitation" : "(Guo et al. 2016)" }, "properties" : { "noteIndex" : 0 }, "schema" : "https://github.com/citation-style-language/schema/raw/master/csl-citation.json" }</w:instrText>
            </w:r>
            <w:r>
              <w:fldChar w:fldCharType="separate"/>
            </w:r>
            <w:r w:rsidRPr="000F1981">
              <w:rPr>
                <w:noProof/>
              </w:rPr>
              <w:t>Guo et al. 2016</w:t>
            </w:r>
            <w:r>
              <w:fldChar w:fldCharType="end"/>
            </w:r>
          </w:p>
        </w:tc>
      </w:tr>
    </w:tbl>
    <w:p w14:paraId="3C0AD04E" w14:textId="5197756B" w:rsidR="002A444A" w:rsidRDefault="002A444A" w:rsidP="00391005">
      <w:pPr>
        <w:pStyle w:val="ListParagraph"/>
      </w:pPr>
    </w:p>
    <w:p w14:paraId="3A807C70" w14:textId="4E8B7EDC" w:rsidR="00292816" w:rsidRDefault="00292816" w:rsidP="00292816">
      <w:pPr>
        <w:pStyle w:val="Heading4"/>
      </w:pPr>
      <w:r>
        <w:lastRenderedPageBreak/>
        <w:t>Single end sequencing datasets</w:t>
      </w:r>
    </w:p>
    <w:p w14:paraId="68A8A5AC" w14:textId="26401B17" w:rsidR="00292816" w:rsidRDefault="00292816" w:rsidP="00391005">
      <w:pPr>
        <w:pStyle w:val="ListParagraph"/>
      </w:pPr>
      <w:r>
        <w:t xml:space="preserve">Two datasets were used which had single end datasets, both of which were sequenced with the Applied Biosystems SOLiD platform. The first dataset </w:t>
      </w:r>
      <w:r w:rsidR="009815CA">
        <w:t>wa</w:t>
      </w:r>
      <w:r>
        <w:t xml:space="preserve">s a collection of lines sequenced to identify signals </w:t>
      </w:r>
      <w:r w:rsidR="009815CA">
        <w:t>of domestication. This comprised</w:t>
      </w:r>
      <w:r>
        <w:t xml:space="preserve"> pooled sequencing data for eight red jungle fowl, ten each from two commercial broilers, eight RIR, eleven and eight from two commercial WL lines, eleven each from two WPR sister lines bred for differential growth rates (high and low), and ten from an obese WL experimental line (ENA SRP001870) </w:t>
      </w:r>
      <w:r>
        <w:fldChar w:fldCharType="begin" w:fldLock="1"/>
      </w:r>
      <w:r>
        <w:instrText>ADDIN CSL_CITATION { "citationItems" : [ { "id" : "ITEM-1", "itemData" : { "abstract" : "OPULATIONS of fully pedigreed chickens often contain individuals which 'deviate considerably in one or more respects from the average for the flock. When pedigrees reveal close genetic relationship among those similarly affected, further studies are warranted. Such was the case for the trait now recognized as hypothyroidism. Affected 5 %-month old White Leghorn pullets, which were somewhat smaller in skeletal size than normal, possessed long silky feathers, and were rather obese, began to lay before there was a development in size and red-ness of the comb. Reported egg production by two such birds had to be witnessed in person by the author before he would believe! The fact that the few such individuals all came from one of three strains and that they often were half-or full-sisters prompted a study to determine the role of heredity in the development of this trait. Individuals with similar phenotype have now been observed in several other unrelated stocks. It is apparent that the trait may be more common than at first beljeved but, because of the associated defects in normal physiology, affected individuals rarely survive to reach the age of maturity. Reuiew of pertinent literature: As far as the author knows, no similar trait has been described in chickens or other species, save possibly man. The most obvious deviation from normal pheno-type is the obesity which is especially pronounced during the period of from 8 to 16 weeks of age. Obesity of hereditary origin has been described in mice, rats, and dogs, and is obvious in man. Obese (ob ob) (INGALLS, DICKIE and SNELL 1950) and adipose (ad ad) (FALCONER and ISAACSON 1959) are simple Mendelian recessive traits but nonallelic, while the inheritance of the New Zealand obese mice (BIELSCHOWSKY and BIELSCHOWSKY 1956) is not a simple Mendelian type. The ob ob and New Zealand obese traits are associated with hyperglycemia and hyperinsulinism but differ in some respects, including reproduction and general activity. The famous yellow", "author" : [ { "dropping-particle" : "", "family" : "Cole", "given" : "R K", "non-dropping-particle" : "", "parse-names" : false, "suffix" : "" } ], "container-title" : "Genetics", "id" : "ITEM-1", "issued" : { "date-parts" : [ [ "1966" ] ] }, "page" : "1021-1033", "title" : "Hereditary Hypothyroidism in the Domestic Fowl", "type" : "article-journal", "volume" : "53" }, "uris" : [ "http://www.mendeley.com/documents/?uuid=6ee46a1d-ffaa-494b-9695-04a426f7b9f1" ] }, { "id" : "ITEM-2", "itemData" : { "DOI" : "10.3382/ps.0751168", "ISBN" : "0032-5791", "ISSN" : "0032-5791", "PMID" : "8893291", "abstract" : "This paper provides an overview of results from a long-term (38 generations) selection experiment. Lines were developed from individual phenotypic selection for high or low body weight at 8 wk of age. Included are data for the selected lines, sublines in which selection was relaxed, crosses of the selected lines, and sublines in which the sex-linked dw gene was introduced. Periodically (and in some cases every generation) data were obtained for unselected traits. These unselected traits included feed consumption and intake behavior, reproduction, allomorphic relationships, and metabolic, immunological, endocrine, and molecular factors. These responses have been integrated into a resource allocation paradigm.", "author" : [ { "dropping-particle" : "", "family" : "Dunnington", "given" : "E a", "non-dropping-particle" : "", "parse-names" : false, "suffix" : "" }, { "dropping-particle" : "", "family" : "Siegel", "given" : "P B", "non-dropping-particle" : "", "parse-names" : false, "suffix" : "" } ], "container-title" : "Poultry science", "id" : "ITEM-2", "issue" : "10", "issued" : { "date-parts" : [ [ "1996" ] ] }, "page" : "1168-79", "title" : "Long-term divergent selection for eight-week body weight in white Plymouth rock chickens.", "type" : "article-journal", "volume" : "75" }, "uris" : [ "http://www.mendeley.com/documents/?uuid=5941074b-9426-4758-9aca-e898461627fd" ] }, { "id" : "ITEM-3", "itemData" : { "DOI" : "10.1038/nature08832", "ISSN" : "1476-4687", "PMID" : "20220755", "abstract" : "Domestic animals are excellent models for genetic studies of phenotypic evolution. They have evolved genetic adaptations to a new environment, the farm, and have been subjected to strong human-driven selection leading to remarkable phenotypic changes in morphology, physiology and behaviour. Identifying the genetic changes underlying these developments provides new insight into general mechanisms by which genetic variation shapes phenotypic diversity. Here we describe the use of massively parallel sequencing to identify selective sweeps of favourable alleles and candidate mutations that have had a prominent role in the domestication of chickens (Gallus gallus domesticus) and their subsequent specialization into broiler (meat-producing) and layer (egg-producing) chickens. We have generated 44.5-fold coverage of the chicken genome using pools of genomic DNA representing eight different populations of domestic chickens as well as red jungle fowl (Gallus gallus), the major wild ancestor. We report more than 7,000,000 single nucleotide polymorphisms, almost 1,300 deletions and a number of putative selective sweeps. One of the most striking selective sweeps found in all domestic chickens occurred at the locus for thyroid stimulating hormone receptor (TSHR), which has a pivotal role in metabolic regulation and photoperiod control of reproduction in vertebrates. Several of the selective sweeps detected in broilers overlapped genes associated with growth, appetite and metabolic regulation. We found little evidence that selection for loss-of-function mutations had a prominent role in chicken domestication, but we detected two deletions in coding sequences that we suggest are functionally important. This study has direct application to animal breeding and enhances the importance of the domestic chicken as a model organism for biomedical research.", "author" : [ { "dropping-particle" : "", "family" : "Rubin", "given" : "Carl-Johan", "non-dropping-particle" : "", "parse-names" : false, "suffix" : "" }, { "dropping-particle" : "", "family" : "Zody", "given" : "Michael C", "non-dropping-particle" : "", "parse-names" : false, "suffix" : "" }, { "dropping-particle" : "", "family" : "Eriksson", "given" : "Jonas", "non-dropping-particle" : "", "parse-names" : false, "suffix" : "" }, { "dropping-particle" : "", "family" : "Meadows", "given" : "Jennifer R S", "non-dropping-particle" : "", "parse-names" : false, "suffix" : "" }, { "dropping-particle" : "", "family" : "Sherwood", "given" : "Ellen", "non-dropping-particle" : "", "parse-names" : false, "suffix" : "" }, { "dropping-particle" : "", "family" : "Webster", "given" : "Matthew T", "non-dropping-particle" : "", "parse-names" : false, "suffix" : "" }, { "dropping-particle" : "", "family" : "Jiang", "given" : "Lin", "non-dropping-particle" : "", "parse-names" : false, "suffix" : "" }, { "dropping-particle" : "", "family" : "Ingman", "given" : "Max", "non-dropping-particle" : "", "parse-names" : false, "suffix" : "" }, { "dropping-particle" : "", "family" : "Sharpe", "given" : "Ted", "non-dropping-particle" : "", "parse-names" : false, "suffix" : "" }, { "dropping-particle" : "", "family" : "Ka", "given" : "Sojeong", "non-dropping-particle" : "", "parse-names" : false, "suffix" : "" }, { "dropping-particle" : "", "family" : "Hallb\u00f6\u00f6k", "given" : "Finn", "non-dropping-particle" : "", "parse-names" : false, "suffix" : "" }, { "dropping-particle" : "", "family" : "Besnier", "given" : "Francois", "non-dropping-particle" : "", "parse-names" : false, "suffix" : "" }, { "dropping-particle" : "", "family" : "Carlborg", "given" : "Orjan", "non-dropping-particle" : "", "parse-names" : false, "suffix" : "" }, { "dropping-particle" : "", "family" : "Bed'hom", "given" : "Bertrand", "non-dropping-particle" : "", "parse-names" : false, "suffix" : "" }, { "dropping-particle" : "", "family" : "Tixier-Boichard", "given" : "Mich\u00e8le", "non-dropping-particle" : "", "parse-names" : false, "suffix" : "" }, { "dropping-particle" : "", "family" : "Jensen", "given" : "Per", "non-dropping-particle" : "", "parse-names" : false, "suffix" : "" }, { "dropping-particle" : "", "family" : "Siegel", "given" : "Paul", "non-dropping-particle" : "", "parse-names" : false, "suffix" : "" }, { "dropping-particle" : "", "family" : "Lindblad-Toh", "given" : "Kerstin", "non-dropping-particle" : "", "parse-names" : false, "suffix" : "" }, { "dropping-particle" : "", "family" : "Andersson", "given" : "Leif", "non-dropping-particle" : "", "parse-names" : false, "suffix" : "" } ], "container-title" : "Nature", "id" : "ITEM-3", "issue" : "7288", "issued" : { "date-parts" : [ [ "2010", "3", "25" ] ] }, "page" : "587-91", "title" : "Whole-genome resequencing reveals loci under selection during chicken domestication.", "type" : "article-journal", "volume" : "464" }, "uris" : [ "http://www.mendeley.com/documents/?uuid=915a3402-b085-4624-9e8e-685b331f995e" ] } ], "mendeley" : { "formattedCitation" : "(Cole 1966; Dunnington &amp; Siegel 1996; Rubin et al. 2010)", "plainTextFormattedCitation" : "(Cole 1966; Dunnington &amp; Siegel 1996; Rubin et al. 2010)", "previouslyFormattedCitation" : "(Cole 1966; Dunnington &amp; Siegel 1996; Rubin et al. 2010)" }, "properties" : { "noteIndex" : 0 }, "schema" : "https://github.com/citation-style-language/schema/raw/master/csl-citation.json" }</w:instrText>
      </w:r>
      <w:r>
        <w:fldChar w:fldCharType="separate"/>
      </w:r>
      <w:r w:rsidRPr="009537C0">
        <w:rPr>
          <w:noProof/>
        </w:rPr>
        <w:t>(Cole 1966; Dunnington &amp; Siegel 1996; Rubin et al. 2010)</w:t>
      </w:r>
      <w:r>
        <w:fldChar w:fldCharType="end"/>
      </w:r>
      <w:r>
        <w:t xml:space="preserve">. The second dataset was for feral chickens on the Hawaiian island of Kauai </w:t>
      </w:r>
      <w:r>
        <w:fldChar w:fldCharType="begin" w:fldLock="1"/>
      </w:r>
      <w:r>
        <w:instrText>ADDIN CSL_CITATION { "citationItems" : [ { "id" : "ITEM-1", "itemData" : { "DOI" : "10.1111/mec.13096", "ISSN" : "1365294X", "PMID" : "25655399", "abstract" : "A major goal of invasion genetics is to determine how establishment histories shape non-native organisms' genotypes and phenotypes. While domesticated species commonly escape cultivation to invade feral habitats, few studies have examined how this process shapes feral gene pools and traits. We collected genomic and phenotypic data from feral chickens (Gallus gallus) on the Hawaiian island of Kauai to (i) ascertain their origins and (ii) measure standing variation in feral genomes, morphology and behaviour. Mitochondrial phylogenies (D-loop &amp; whole Mt genome) revealed two divergent clades within our samples. The rare clade also contains sequences from Red Junglefowl (the domestic chicken's progenitor) and ancient DNA sequences from Kauai that predate European contact. This lineage appears to have been dispersed into the east Pacific by ancient Polynesian colonists. The more prevalent MtDNA clade occurs worldwide and includes domesticated breeds developed recently in Europe that are farmed within Hawaii. We hypothesize this lineage originates from recently feralized livestock and found supporting evidence for increased G. gallus density on Kauai within the last few decades. SNPs obtained from whole-genome sequencing were consistent with historic admixture between Kauai's divergent (G. gallus) lineages. Additionally, analyses of plumage, skin colour and vocalizations revealed that Kauai birds' behaviours and morphologies overlap with those of domestic chickens and Red Junglefowl, suggesting hybrid origins. Together, our data support the hypotheses that (i) Kauai's feral G. gallus descend from recent invasion(s) of domestic chickens into an ancient Red Junglefowl reservoir and (ii) feral chickens exhibit greater phenotypic diversity than candidate source populations. These findings complicate management objectives for Pacific feral chickens, while highlighting the potential of this and other feral systems for evolutionary studies of invasions. \u00a9 2015 The Authors. Molecular Ecology Published by John Wiley &amp; Sons Ltd.", "author" : [ { "dropping-particle" : "", "family" : "Gering", "given" : "E.", "non-dropping-particle" : "", "parse-names" : false, "suffix" : "" }, { "dropping-particle" : "", "family" : "Johnsson", "given" : "M.", "non-dropping-particle" : "", "parse-names" : false, "suffix" : "" }, { "dropping-particle" : "", "family" : "Willis", "given" : "P.", "non-dropping-particle" : "", "parse-names" : false, "suffix" : "" }, { "dropping-particle" : "", "family" : "Getty", "given" : "T.", "non-dropping-particle" : "", "parse-names" : false, "suffix" : "" }, { "dropping-particle" : "", "family" : "Wright", "given" : "D.", "non-dropping-particle" : "", "parse-names" : false, "suffix" : "" } ], "container-title" : "Molecular Ecology", "id" : "ITEM-1", "issue" : "9", "issued" : { "date-parts" : [ [ "2015" ] ] }, "page" : "2112-2124", "title" : "Mixed ancestry and admixture in Kauai's feral chickens: Invasion of domestic genes into ancient Red Junglefowl reservoirs", "type" : "article-journal", "volume" : "24" }, "uris" : [ "http://www.mendeley.com/documents/?uuid=248b90a4-0c62-4503-8cdc-28a8ba545ac3" ] } ], "mendeley" : { "formattedCitation" : "(Gering et al. 2015)", "plainTextFormattedCitation" : "(Gering et al. 2015)", "previouslyFormattedCitation" : "(Gering et al. 2015)" }, "properties" : { "noteIndex" : 0 }, "schema" : "https://github.com/citation-style-language/schema/raw/master/csl-citation.json" }</w:instrText>
      </w:r>
      <w:r>
        <w:fldChar w:fldCharType="separate"/>
      </w:r>
      <w:r w:rsidRPr="00C204E1">
        <w:rPr>
          <w:noProof/>
        </w:rPr>
        <w:t>(Gering et al. 2015)</w:t>
      </w:r>
      <w:r>
        <w:fldChar w:fldCharType="end"/>
      </w:r>
      <w:r>
        <w:t>. This included individual sequence data from twenty-three feral chickens, as well as one laboratory RJF (ENA PRJNA272379).</w:t>
      </w:r>
    </w:p>
    <w:p w14:paraId="04403981" w14:textId="77777777" w:rsidR="00292816" w:rsidRDefault="00292816" w:rsidP="00391005">
      <w:pPr>
        <w:pStyle w:val="ListParagraph"/>
      </w:pPr>
    </w:p>
    <w:p w14:paraId="569146A0" w14:textId="495D7DA5" w:rsidR="00203C7B" w:rsidRDefault="00203C7B" w:rsidP="00BB19BE">
      <w:pPr>
        <w:pStyle w:val="Heading3"/>
      </w:pPr>
      <w:bookmarkStart w:id="383" w:name="_Toc485721632"/>
      <w:bookmarkStart w:id="384" w:name="_Toc486787212"/>
      <w:bookmarkStart w:id="385" w:name="_Toc486787360"/>
      <w:r>
        <w:t>ALVE identification</w:t>
      </w:r>
      <w:bookmarkEnd w:id="383"/>
      <w:bookmarkEnd w:id="384"/>
      <w:bookmarkEnd w:id="385"/>
    </w:p>
    <w:p w14:paraId="1E4F5DD7" w14:textId="27165FC2" w:rsidR="00203C7B" w:rsidRDefault="00464C56" w:rsidP="00391005">
      <w:pPr>
        <w:pStyle w:val="ListParagraph"/>
      </w:pPr>
      <w:r>
        <w:t>Each dataset was analysed in turn using either the paired-end or single-end ALVE identification pipeline, as appropriate. Putative ALVE insertion regions were checked manually as described above (section</w:t>
      </w:r>
      <w:r w:rsidR="004C22FA">
        <w:t xml:space="preserve"> </w:t>
      </w:r>
      <w:r w:rsidR="004C22FA">
        <w:fldChar w:fldCharType="begin" w:fldLock="1"/>
      </w:r>
      <w:r w:rsidR="004C22FA">
        <w:instrText xml:space="preserve"> REF _Ref467854164 \r \h </w:instrText>
      </w:r>
      <w:r w:rsidR="004C22FA">
        <w:fldChar w:fldCharType="separate"/>
      </w:r>
      <w:r w:rsidR="002C549C">
        <w:t>5.1.2</w:t>
      </w:r>
      <w:r w:rsidR="004C22FA">
        <w:fldChar w:fldCharType="end"/>
      </w:r>
      <w:r>
        <w:t>) and the insertion hexamer noted. With the release of the Galgal5 feature annotation from Ensembl</w:t>
      </w:r>
      <w:r w:rsidR="00EF1B07">
        <w:t xml:space="preserve"> (v87)</w:t>
      </w:r>
      <w:r>
        <w:t xml:space="preserve">, insertion locations were not </w:t>
      </w:r>
      <w:r w:rsidR="00B50B53">
        <w:t xml:space="preserve">also </w:t>
      </w:r>
      <w:r>
        <w:t xml:space="preserve">identified in Galgal4 as with the HL and JL data. Instead, insert coordinates were compared directly to the Galgal5 annotation using BEDTools </w:t>
      </w:r>
      <w:r w:rsidR="00C56738">
        <w:t xml:space="preserve">closestBED and </w:t>
      </w:r>
      <w:r>
        <w:t>intersectBED.</w:t>
      </w:r>
      <w:r w:rsidR="00547116">
        <w:t xml:space="preserve"> Insertion sites were compared with the HL and JL data, as well as other known ALVE locations, to assign existing nomenclature where appropriate.</w:t>
      </w:r>
      <w:r>
        <w:t xml:space="preserve"> </w:t>
      </w:r>
      <w:r w:rsidR="00C56738">
        <w:t>Novel insertions, and those lacking clear ALVE-based names, were assigned new names based on the ALVE_ros001 nomenclature developed above.</w:t>
      </w:r>
    </w:p>
    <w:p w14:paraId="60D156E4" w14:textId="2DF9A272" w:rsidR="002169D2" w:rsidRDefault="00547116" w:rsidP="00391005">
      <w:pPr>
        <w:pStyle w:val="ListParagraph"/>
      </w:pPr>
      <w:r>
        <w:t>Due to the short, 35bp reads of the Andersson dataset, mapping was completed with BWA-aln followed by BWA-samse in addition to the standard BWA-mem protocol, as BWA-aln is optimised for short read mapping</w:t>
      </w:r>
      <w:r w:rsidR="0089010C">
        <w:t xml:space="preserve"> </w:t>
      </w:r>
      <w:r w:rsidR="0089010C">
        <w:fldChar w:fldCharType="begin" w:fldLock="1"/>
      </w:r>
      <w:r w:rsidR="00E41D19">
        <w:instrText>ADDIN CSL_CITATION { "citationItems" : [ { "id" : "ITEM-1", "itemData" : { "DOI" : "10.1093/bioinformatics/btp324", "ISSN" : "1367-4811", "PMID" : "19451168", "abstract" : "MOTIVATION: The enormous amount of short reads generated by the new DNA sequencing technologies call for the development of fast and accurate read alignment programs. A first generation of hash table-based methods has been developed, including MAQ, which is accurate, feature rich and fast enough to align short reads from a single individual. However, MAQ does not support gapped alignment for single-end reads, which makes it unsuitable for alignment of longer reads where indels may occur frequently. The speed of MAQ is also a concern when the alignment is scaled up to the resequencing of hundreds of individuals.\n\nRESULTS: We implemented Burrows-Wheeler Alignment tool (BWA), a new read alignment package that is based on backward search with Burrows-Wheeler Transform (BWT), to efficiently align short sequencing reads against a large reference sequence such as the human genome, allowing mismatches and gaps. BWA supports both base space reads, e.g. from Illumina sequencing machines, and color space reads from AB SOLiD machines. Evaluations on both simulated and real data suggest that BWA is approximately 10-20x faster than MAQ, while achieving similar accuracy. In addition, BWA outputs alignment in the new standard SAM (Sequence Alignment/Map) format. Variant calling and other downstream analyses after the alignment can be achieved with the open source SAMtools software package.\n\nAVAILABILITY: http://maq.sourceforge.net.", "author" : [ { "dropping-particle" : "", "family" : "Li", "given" : "Heng", "non-dropping-particle" : "", "parse-names" : false, "suffix" : "" }, { "dropping-particle" : "", "family" : "Durbin", "given" : "Richard", "non-dropping-particle" : "", "parse-names" : false, "suffix" : "" } ], "container-title" : "Bioinformatics (Oxford, England)", "id" : "ITEM-1", "issue" : "14", "issued" : { "date-parts" : [ [ "2009", "7", "15" ] ] }, "page" : "1754-60", "title" : "Fast and accurate short read alignment with Burrows-Wheeler transform.", "type" : "article-journal", "volume" : "25" }, "uris" : [ "http://www.mendeley.com/documents/?uuid=532f1d5b-426c-4175-974b-6818576172a6" ] }, { "id" : "ITEM-2", "itemData" : { "author" : [ { "dropping-particle" : "", "family" : "Li", "given" : "Heng", "non-dropping-particle" : "", "parse-names" : false, "suffix" : "" } ], "id" : "ITEM-2", "issue" : "00", "issued" : { "date-parts" : [ [ "2013" ] ] }, "note" : "NGS short read mappers originally designed for 36bp reads. Improvements in tech and chemistry means that reads are no longer this short. Many existing mappers were then unable to provide accurate results as the longer read length emans you have to incorporate the ability to handle affine gap (end) penalties, and not mandate end to end alignment (in a longer read there is more chance to have issues/duplications, deletions etc). \n\n        \nBWA-MEM uses: \n- seed and extend, with re-seeding to reduce mismappings whilst generating maximal results\n- chains of closely located sequence reads to discount short, poor quality or incorrect reads to stop costly incorrect extension later\n- adapted seed extension protocols so that it can choose between the best local and end to end alignments, and discern scoring differences during extension\n\n        \nBWA-MEM is more scalable to large genomes than other aligners as the seeding algorithm is less dependent on genome size. \n\n        \nGood for both short reads and much longer sections. ", "page" : "1-3", "title" : "Aligning sequence reads , clone sequences and assembly contigs with BWA-MEM", "type" : "article-journal", "volume" : "00" }, "uris" : [ "http://www.mendeley.com/documents/?uuid=9f5e5558-2b6a-4873-b4ea-e373d4d73dea" ] } ], "mendeley" : { "formattedCitation" : "(Li &amp; Durbin 2009; Li 2013)", "plainTextFormattedCitation" : "(Li &amp; Durbin 2009; Li 2013)", "previouslyFormattedCitation" : "(Li &amp; Durbin 2009; Li 2013)" }, "properties" : { "noteIndex" : 0 }, "schema" : "https://github.com/citation-style-language/schema/raw/master/csl-citation.json" }</w:instrText>
      </w:r>
      <w:r w:rsidR="0089010C">
        <w:fldChar w:fldCharType="separate"/>
      </w:r>
      <w:r w:rsidR="0089010C" w:rsidRPr="0089010C">
        <w:rPr>
          <w:noProof/>
        </w:rPr>
        <w:t>(Li &amp; Durbin 2009; Li 2013)</w:t>
      </w:r>
      <w:r w:rsidR="0089010C">
        <w:fldChar w:fldCharType="end"/>
      </w:r>
      <w:r>
        <w:t>. The results were compared between</w:t>
      </w:r>
      <w:r w:rsidR="007108D5">
        <w:t xml:space="preserve"> these two mapping approaches. </w:t>
      </w:r>
    </w:p>
    <w:p w14:paraId="5CD9C3C8" w14:textId="77777777" w:rsidR="007108D5" w:rsidRDefault="007108D5" w:rsidP="00391005">
      <w:pPr>
        <w:pStyle w:val="ListParagraph"/>
      </w:pPr>
    </w:p>
    <w:p w14:paraId="18ADFB2F" w14:textId="117ABAEE" w:rsidR="002169D2" w:rsidRDefault="002169D2" w:rsidP="002169D2">
      <w:pPr>
        <w:pStyle w:val="Heading4"/>
      </w:pPr>
      <w:r>
        <w:lastRenderedPageBreak/>
        <w:t>Characterisation of insertion locations</w:t>
      </w:r>
    </w:p>
    <w:p w14:paraId="15733B35" w14:textId="0770B07B" w:rsidR="002169D2" w:rsidRDefault="002169D2" w:rsidP="00391005">
      <w:pPr>
        <w:pStyle w:val="ListParagraph"/>
      </w:pPr>
      <w:r>
        <w:t xml:space="preserve">The insertion hexamers of the identified ALVEs were checked for sequence over-representation and GC content distribution. These observed values were compared to a model which simulated equal numbers of hexamers randomly distributed across the genome, repeated one million times. The GC content distributions were compared using a </w:t>
      </w:r>
      <w:r w:rsidR="00461C0C">
        <w:t>two-sample</w:t>
      </w:r>
      <w:r>
        <w:t xml:space="preserve"> </w:t>
      </w:r>
      <w:r w:rsidR="00461C0C">
        <w:t>t-</w:t>
      </w:r>
      <w:r>
        <w:t xml:space="preserve">test and plotted using MATLAB. </w:t>
      </w:r>
    </w:p>
    <w:p w14:paraId="713C7BFF" w14:textId="2B977184" w:rsidR="00E70EB0" w:rsidRPr="00E70EB0" w:rsidRDefault="002169D2" w:rsidP="00391005">
      <w:pPr>
        <w:pStyle w:val="ListParagraph"/>
      </w:pPr>
      <w:r>
        <w:t xml:space="preserve">Insertion bias due to GC content was also assessed by calculating the GC content in the insertion regions in windows of 100 bp, 1 kb, 10 kb and 100 kb. Values were compared to the genome average as well as to the chromosomal GC content, and patterns in GC deviance were assessed. </w:t>
      </w:r>
      <w:r w:rsidR="00E70EB0">
        <w:t>In addition, the number of insertions identified on each chromosome was log</w:t>
      </w:r>
      <w:r w:rsidR="00E70EB0">
        <w:rPr>
          <w:vertAlign w:val="subscript"/>
        </w:rPr>
        <w:t>10</w:t>
      </w:r>
      <w:r w:rsidR="00E70EB0">
        <w:t xml:space="preserve"> transformed for normality and correlated with the log</w:t>
      </w:r>
      <w:r w:rsidR="00E70EB0">
        <w:rPr>
          <w:vertAlign w:val="subscript"/>
        </w:rPr>
        <w:t>10</w:t>
      </w:r>
      <w:r w:rsidR="00E70EB0">
        <w:t xml:space="preserve"> transformation of chromosome length.</w:t>
      </w:r>
    </w:p>
    <w:p w14:paraId="5BB4595E" w14:textId="77777777" w:rsidR="002A444A" w:rsidRDefault="002A444A" w:rsidP="00391005">
      <w:pPr>
        <w:pStyle w:val="ListParagraph"/>
      </w:pPr>
    </w:p>
    <w:p w14:paraId="6E5D9222" w14:textId="39D6833D" w:rsidR="00203C7B" w:rsidRDefault="00AB50BD" w:rsidP="00BB19BE">
      <w:pPr>
        <w:pStyle w:val="Heading3"/>
      </w:pPr>
      <w:bookmarkStart w:id="386" w:name="_Toc485721633"/>
      <w:bookmarkStart w:id="387" w:name="_Toc486787213"/>
      <w:bookmarkStart w:id="388" w:name="_Toc486787361"/>
      <w:r>
        <w:t>Cluster analysis based on ALVE content</w:t>
      </w:r>
      <w:bookmarkEnd w:id="386"/>
      <w:bookmarkEnd w:id="387"/>
      <w:bookmarkEnd w:id="388"/>
    </w:p>
    <w:p w14:paraId="0810FB26" w14:textId="5B33EEF1" w:rsidR="001B206F" w:rsidRDefault="001B206F" w:rsidP="00391005">
      <w:pPr>
        <w:pStyle w:val="ListParagraph"/>
      </w:pPr>
      <w:r>
        <w:t>Presence/absence data for each line for all identified ALVEs was used to create a 1/0 matrix for clustering the lines based on their ALVE content. Euclidean distances were calculated for the matrix using the MATLAB pdist function. These distances were used to form a hierarchical binary cluster tree with the MATLAB linkage function</w:t>
      </w:r>
      <w:r w:rsidR="004A2266">
        <w:t xml:space="preserve"> using average distances,</w:t>
      </w:r>
      <w:r>
        <w:t xml:space="preserve"> and the complete tree plotted using the dendrogram function. </w:t>
      </w:r>
    </w:p>
    <w:p w14:paraId="7262721C" w14:textId="2BF507FB" w:rsidR="00A661B8" w:rsidRDefault="00A661B8" w:rsidP="00391005">
      <w:pPr>
        <w:pStyle w:val="ListParagraph"/>
      </w:pPr>
      <w:r>
        <w:t xml:space="preserve">Analysed datasets differed </w:t>
      </w:r>
      <w:r w:rsidR="00461BF1">
        <w:t xml:space="preserve">on library type (individuals or pools) and </w:t>
      </w:r>
      <w:r w:rsidR="00F40B76">
        <w:t>genome coverage. A general linear model (GLM) was used to identify whether these factors significantly influenced ALVE identification compared to the observed chicken breed categori</w:t>
      </w:r>
      <w:r w:rsidR="00303F07">
        <w:t>es. Lines were grouped into five categories: white egg layers</w:t>
      </w:r>
      <w:r w:rsidR="00F40B76">
        <w:t xml:space="preserve">, brown egg layers, broilers, </w:t>
      </w:r>
      <w:r w:rsidR="00346DB7">
        <w:t xml:space="preserve">native breeds, </w:t>
      </w:r>
      <w:r w:rsidR="00F40B76">
        <w:t>and ‘wild’ (including RJF samples). The GLM was fitted with identified ALVE number as the response variable, line category and library type as categorical variables, and average genome coverage as a covariate.</w:t>
      </w:r>
      <w:r w:rsidR="00461BF1">
        <w:t xml:space="preserve"> For individual libraries, </w:t>
      </w:r>
      <w:r w:rsidR="00682BD4">
        <w:t>genome coverage was calculated per dataset</w:t>
      </w:r>
      <w:r w:rsidR="00461BF1">
        <w:t xml:space="preserve"> and then averaged between datasets.</w:t>
      </w:r>
    </w:p>
    <w:p w14:paraId="05B58141" w14:textId="2B3580E1" w:rsidR="001B206F" w:rsidRPr="001B206F" w:rsidRDefault="001B206F" w:rsidP="00391005">
      <w:pPr>
        <w:pStyle w:val="ListParagraph"/>
      </w:pPr>
      <w:r>
        <w:t xml:space="preserve">To ensure the generated dendrogram was due to shared ALVEs, rather than similar numbers of identified ALVEs in disparate lines forcing relatedness, a model was </w:t>
      </w:r>
      <w:r w:rsidR="004A2266">
        <w:t xml:space="preserve">generated to randomly redistribute the presence/absence data. The model data set was </w:t>
      </w:r>
      <w:r w:rsidR="004A2266">
        <w:lastRenderedPageBreak/>
        <w:t xml:space="preserve">limited to lines with twelve ALVEs or fewer to ensure the large numbers of lineage-specific ALVEs observed in </w:t>
      </w:r>
      <w:r w:rsidR="00493FA2">
        <w:t>some datasets</w:t>
      </w:r>
      <w:r w:rsidR="004A2266">
        <w:t xml:space="preserve"> did</w:t>
      </w:r>
      <w:r w:rsidR="00050EC1">
        <w:t xml:space="preserve"> no</w:t>
      </w:r>
      <w:r w:rsidR="004A2266">
        <w:t xml:space="preserve">t bias the dendrogram construction. For each line, the number of identified ALVEs was kept the same, but the modelled ALVEs were randomly assigned. One hundred randomly generated dendrograms were created, </w:t>
      </w:r>
      <w:r w:rsidR="00493FA2">
        <w:t xml:space="preserve">manually </w:t>
      </w:r>
      <w:r w:rsidR="004A2266">
        <w:t>inspected</w:t>
      </w:r>
      <w:r w:rsidR="00493FA2">
        <w:t>,</w:t>
      </w:r>
      <w:r w:rsidR="00D74B8C">
        <w:t xml:space="preserve"> and compared to a dendrogram constructed using the observed presence/absence data</w:t>
      </w:r>
      <w:r w:rsidR="00493FA2">
        <w:t xml:space="preserve"> for the same lines</w:t>
      </w:r>
      <w:r w:rsidR="00D74B8C">
        <w:t xml:space="preserve">. </w:t>
      </w:r>
    </w:p>
    <w:p w14:paraId="6348B53B" w14:textId="43393636" w:rsidR="006A608F" w:rsidRDefault="006A608F" w:rsidP="00391005">
      <w:pPr>
        <w:pStyle w:val="ListParagraph"/>
      </w:pPr>
    </w:p>
    <w:p w14:paraId="04E18C8A" w14:textId="7B420CAA" w:rsidR="006A608F" w:rsidRDefault="006A608F" w:rsidP="001B206F">
      <w:pPr>
        <w:pStyle w:val="Heading4"/>
      </w:pPr>
      <w:r>
        <w:t>Principal Coordinate Analysis</w:t>
      </w:r>
    </w:p>
    <w:p w14:paraId="733E5322" w14:textId="7A4D2175" w:rsidR="0015648B" w:rsidRDefault="00013D7D" w:rsidP="00391005">
      <w:pPr>
        <w:pStyle w:val="ListParagraph"/>
      </w:pPr>
      <w:r>
        <w:t>In addition to the hierarchical d</w:t>
      </w:r>
      <w:r w:rsidR="00862120">
        <w:t>endrogram construction, the lines were</w:t>
      </w:r>
      <w:r>
        <w:t xml:space="preserve"> also clustered using classical multidimensional scaling, also known as Principal Coordinate Analysis (PCoA). Traditional Principal Component Analysis (PCA) was not appropriate as the presence/absence data was mainly zeros. The PCoA was completed on the Euclidean distance matrix calculated above using the MATLAB cmdscale</w:t>
      </w:r>
      <w:r w:rsidR="00862120">
        <w:t xml:space="preserve"> function, which also calculated</w:t>
      </w:r>
      <w:r>
        <w:t xml:space="preserve"> the eigenvalues. Eigenvalues were plotted using a scree plot and the contribution of each was compared. </w:t>
      </w:r>
      <w:r w:rsidR="0072038C">
        <w:t>The MATLAB plot function was used with various pairs and trios of the eigenvalues to identify clusters between the analysed lines.</w:t>
      </w:r>
    </w:p>
    <w:p w14:paraId="3908246E" w14:textId="77777777" w:rsidR="00ED410F" w:rsidRDefault="00ED410F" w:rsidP="00391005">
      <w:pPr>
        <w:pStyle w:val="ListParagraph"/>
      </w:pPr>
    </w:p>
    <w:p w14:paraId="086A6B27" w14:textId="77777777" w:rsidR="00920FC5" w:rsidRDefault="00920FC5" w:rsidP="00391005">
      <w:pPr>
        <w:pStyle w:val="ListParagraph"/>
        <w:sectPr w:rsidR="00920FC5" w:rsidSect="00504068">
          <w:pgSz w:w="11906" w:h="16838"/>
          <w:pgMar w:top="1134" w:right="1418" w:bottom="2268" w:left="2268" w:header="709" w:footer="1066" w:gutter="0"/>
          <w:cols w:space="708"/>
          <w:docGrid w:linePitch="360"/>
        </w:sectPr>
      </w:pPr>
    </w:p>
    <w:p w14:paraId="759D6CD0" w14:textId="569F54C4" w:rsidR="00920FC5" w:rsidRDefault="00920FC5" w:rsidP="00920FC5">
      <w:pPr>
        <w:pStyle w:val="Heading1"/>
      </w:pPr>
      <w:r>
        <w:lastRenderedPageBreak/>
        <w:t xml:space="preserve"> </w:t>
      </w:r>
      <w:bookmarkStart w:id="389" w:name="_Toc485721634"/>
      <w:bookmarkStart w:id="390" w:name="_Toc486787214"/>
      <w:bookmarkStart w:id="391" w:name="_Toc486787362"/>
      <w:r w:rsidR="0064236A">
        <w:t>The discovery and characterisation o</w:t>
      </w:r>
      <w:r w:rsidR="00522F47">
        <w:t xml:space="preserve">f Avian Leukosis Virus subgroup </w:t>
      </w:r>
      <w:r w:rsidR="0064236A">
        <w:t xml:space="preserve">E (ALVE) insertions using </w:t>
      </w:r>
      <w:r w:rsidR="00083395">
        <w:t>whole genome (re)sequencing (W</w:t>
      </w:r>
      <w:r w:rsidR="0064236A">
        <w:t>GS) data</w:t>
      </w:r>
      <w:bookmarkEnd w:id="389"/>
      <w:bookmarkEnd w:id="390"/>
      <w:bookmarkEnd w:id="391"/>
    </w:p>
    <w:p w14:paraId="336469DD" w14:textId="77777777" w:rsidR="00920FC5" w:rsidRDefault="0064667E" w:rsidP="0064667E">
      <w:pPr>
        <w:pStyle w:val="Heading2"/>
      </w:pPr>
      <w:bookmarkStart w:id="392" w:name="_Ref483725873"/>
      <w:bookmarkStart w:id="393" w:name="_Toc485721635"/>
      <w:bookmarkStart w:id="394" w:name="_Toc486787215"/>
      <w:bookmarkStart w:id="395" w:name="_Toc486787363"/>
      <w:r>
        <w:t>Introduction</w:t>
      </w:r>
      <w:bookmarkEnd w:id="392"/>
      <w:bookmarkEnd w:id="393"/>
      <w:bookmarkEnd w:id="394"/>
      <w:bookmarkEnd w:id="395"/>
    </w:p>
    <w:p w14:paraId="01D06CD2" w14:textId="77777777" w:rsidR="00726DAE" w:rsidRDefault="00C16FCF" w:rsidP="00391005">
      <w:pPr>
        <w:pStyle w:val="ListParagraph"/>
      </w:pPr>
      <w:r>
        <w:t xml:space="preserve">Avian Leukosis Virus subgroup E (ALVE) insertions are the youngest chicken endogenous retroviruses (ERVs), and are diverse across various chicken lines </w:t>
      </w:r>
      <w:r>
        <w:fldChar w:fldCharType="begin" w:fldLock="1"/>
      </w:r>
      <w:r>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"id" : "ITEM-2", "itemData" : { "DOI" : "10.1186/1742-4690-3-67", "ISSN" : "1742-4690", "PMID" : "17018135", "abstract" : "When endogenous retroviruses (ERV) were discovered in the late 1960s, the Mendelian inheritance of retroviral genomes by their hosts was an entirely new concept. Indeed Howard M Temin's DNA provirus hypothesis enunciated in 1964 was not generally accepted, and reverse transcriptase was yet to be discovered. Nonetheless, the evidence that we accrued in the pre-molecular era has stood the test of time, and our hypothesis on ERV, which one reviewer described as 'impossible', proved to be correct. Here I recount some of the key observations in birds and mammals that led to the discovery of ERV, and comment on their evolution, cross-species dispersion, and what remains to be elucidated.", "author" : [ { "dropping-particle" : "", "family" : "Weiss", "given" : "Robin a", "non-dropping-particle" : "", "parse-names" : false, "suffix" : "" } ], "container-title" : "Retrovirology", "id" : "ITEM-2", "issue" : "67", "issued" : { "date-parts" : [ [ "2006", "1" ] ] }, "note" : "Review of the points of discovery in the last 40 years. Section on ALV discovery", "title" : "The discovery of endogenous retroviruses.", "type" : "article-journal", "volume" : "3" }, "uris" : [ "http://www.mendeley.com/documents/?uuid=ce7432b9-cdd2-4d21-8178-16647ae0565a" ] } ], "mendeley" : { "formattedCitation" : "(Benkel 1998; Weiss 2006)", "plainTextFormattedCitation" : "(Benkel 1998; Weiss 2006)", "previouslyFormattedCitation" : "(Benkel 1998; Weiss 2006)" }, "properties" : { "noteIndex" : 0 }, "schema" : "https://github.com/citation-style-language/schema/raw/master/csl-citation.json" }</w:instrText>
      </w:r>
      <w:r>
        <w:fldChar w:fldCharType="separate"/>
      </w:r>
      <w:r w:rsidRPr="009B2049">
        <w:rPr>
          <w:noProof/>
        </w:rPr>
        <w:t>(Benkel 1998; Weiss 2006)</w:t>
      </w:r>
      <w:r>
        <w:fldChar w:fldCharType="end"/>
      </w:r>
      <w:r>
        <w:t>. Whilst their genomic copy number is often low, as contemporary insertions many ALVEs retain high structural integrity</w:t>
      </w:r>
      <w:r w:rsidR="00395D80">
        <w:t xml:space="preserve">. </w:t>
      </w:r>
    </w:p>
    <w:p w14:paraId="769EA914" w14:textId="0EEFBF66" w:rsidR="006D26E9" w:rsidRDefault="00C16FCF" w:rsidP="00391005">
      <w:pPr>
        <w:pStyle w:val="ListParagraph"/>
      </w:pPr>
      <w:r>
        <w:t>Complete</w:t>
      </w:r>
      <w:r w:rsidR="00164EC5">
        <w:t xml:space="preserve">, </w:t>
      </w:r>
      <w:r w:rsidR="00362F1E">
        <w:t>transcriptionally active</w:t>
      </w:r>
      <w:r w:rsidR="00EE147D">
        <w:t xml:space="preserve"> ALVEs </w:t>
      </w:r>
      <w:r>
        <w:t xml:space="preserve">produce replication-competent viral particles </w:t>
      </w:r>
      <w:r w:rsidR="00615648">
        <w:t>which can be shed, facilitating horizontal transmission of the virus within and between flocks. For the</w:t>
      </w:r>
      <w:r w:rsidR="00EE147D">
        <w:t xml:space="preserve"> hosts, viral particles induce </w:t>
      </w:r>
      <w:r w:rsidR="00164EC5">
        <w:t>viremia which causes persistent immunological</w:t>
      </w:r>
      <w:r w:rsidR="002E283C">
        <w:t xml:space="preserve"> and physiological</w:t>
      </w:r>
      <w:r w:rsidR="00164EC5">
        <w:t xml:space="preserve"> stress. This </w:t>
      </w:r>
      <w:r w:rsidR="00615648">
        <w:t>has been shown to</w:t>
      </w:r>
      <w:r w:rsidR="00164EC5">
        <w:t xml:space="preserve"> </w:t>
      </w:r>
      <w:r w:rsidR="00726DAE">
        <w:t xml:space="preserve">significantly </w:t>
      </w:r>
      <w:r w:rsidR="00615648">
        <w:t>delay and reduce antibody production to exogenous Avian Leukosis Virus (ALV</w:t>
      </w:r>
      <w:r w:rsidR="00164EC5">
        <w:t xml:space="preserve">) </w:t>
      </w:r>
      <w:r w:rsidR="00615648">
        <w:t>infection</w:t>
      </w:r>
      <w:r w:rsidR="00164EC5">
        <w:t xml:space="preserve"> </w:t>
      </w:r>
      <w:r w:rsidR="00164EC5">
        <w:fldChar w:fldCharType="begin" w:fldLock="1"/>
      </w:r>
      <w:r w:rsidR="00EE147D">
        <w:instrText>ADDIN CSL_CITATION { "citationItems" : [ { "id" : "ITEM-1", "itemData" : { "DOI" : "10.1080/03079459508419105", "ISSN" : "0307-9457", "PMID" : "18645822", "abstract" : "The influence of endogenous viral (ev) genes on avian leukosis virus (ALV) infection was studied in ALV-free white leghorn chickens exposed to chicks from ALV shedding dams. The study included four lines, each segregating for one ev gene, one line free of ev genes, and four commercial stocks segregating for a number of ev genes. Genes ev12 and ev21 that produce the complete endogenous virus were associated with significant reductions in antibody response to ALV. In commercial stocks with ev21 in all birds, both antibody response and ALV in oviducts were significantly influenced by the genomic background (stock). In one commercial stock, 37.6% of 133 birds with ev21 and only 5.8% of 120 birds without the gene were test-positive for virus in their oviducts at 180 days of age. No such differences were associated with ev1, ev3 or ev6 that do not produce complete endogenous virus. Thus, virus-producing ev genes were a predisposing factor for shedding ALV.", "author" : [ { "dropping-particle" : "", "family" : "Gavora", "given" : "J S", "non-dropping-particle" : "", "parse-names" : false, "suffix" : "" }, { "dropping-particle" : "", "family" : "Spencer", "given" : "J L", "non-dropping-particle" : "", "parse-names" : false, "suffix" : "" }, { "dropping-particle" : "", "family" : "Benkel", "given" : "B", "non-dropping-particle" : "", "parse-names" : false, "suffix" : "" }, { "dropping-particle" : "", "family" : "Gagnon", "given" : "C", "non-dropping-particle" : "", "parse-names" : false, "suffix" : "" }, { "dropping-particle" : "", "family" : "Emsley", "given" : "a", "non-dropping-particle" : "", "parse-names" : false, "suffix" : "" }, { "dropping-particle" : "", "family" : "Kulenkamp", "given" : "a", "non-dropping-particle" : "", "parse-names" : false, "suffix" : "" } ], "container-title" : "Avian pathology : journal of the W.V.P.A", "id" : "ITEM-1", "issue" : "4", "issued" : { "date-parts" : [ [ "1995" ] ] }, "page" : "653-64", "title" : "Endogenous viral genes influence infection with avian leukosis virus.", "type" : "article-journal", "volume" : "24" }, "uris" : [ "http://www.mendeley.com/documents/?uuid=226e2ce0-ad9b-4fca-be43-af60af79ab83" ] } ], "mendeley" : { "formattedCitation" : "(Gavora et al. 1995)", "plainTextFormattedCitation" : "(Gavora et al. 1995)", "previouslyFormattedCitation" : "(Gavora et al. 1995)" }, "properties" : { "noteIndex" : 0 }, "schema" : "https://github.com/citation-style-language/schema/raw/master/csl-citation.json" }</w:instrText>
      </w:r>
      <w:r w:rsidR="00164EC5">
        <w:fldChar w:fldCharType="separate"/>
      </w:r>
      <w:r w:rsidR="00EE147D" w:rsidRPr="00EE147D">
        <w:rPr>
          <w:noProof/>
        </w:rPr>
        <w:t>(Gavora et al. 1995)</w:t>
      </w:r>
      <w:r w:rsidR="00164EC5">
        <w:fldChar w:fldCharType="end"/>
      </w:r>
      <w:r w:rsidR="00615648">
        <w:t>, as well as detrimenta</w:t>
      </w:r>
      <w:r w:rsidR="004756A0">
        <w:t>lly a</w:t>
      </w:r>
      <w:r w:rsidR="00164EC5">
        <w:t>ffect commercial traits in both broilers (</w:t>
      </w:r>
      <w:r w:rsidR="00164EC5">
        <w:rPr>
          <w:i/>
        </w:rPr>
        <w:t xml:space="preserve">e.g. </w:t>
      </w:r>
      <w:r w:rsidR="00164EC5">
        <w:t>early growth rate, total body weight) and layers (</w:t>
      </w:r>
      <w:r w:rsidR="00164EC5">
        <w:rPr>
          <w:i/>
        </w:rPr>
        <w:t xml:space="preserve">e.g. </w:t>
      </w:r>
      <w:r w:rsidR="00366FF7">
        <w:t xml:space="preserve">egg weight and </w:t>
      </w:r>
      <w:r w:rsidR="00726DAE">
        <w:t>density</w:t>
      </w:r>
      <w:r w:rsidR="00164EC5">
        <w:t xml:space="preserve">, total egg count) </w:t>
      </w:r>
      <w:r w:rsidR="00164EC5">
        <w:fldChar w:fldCharType="begin" w:fldLock="1"/>
      </w:r>
      <w:r w:rsidR="00E371F9">
        <w:instrText>ADDIN CSL_CITATION { "citationItems" : [ { "id" : "ITEM-1", "itemData" : { "ISSN" : "0032-5791 (Print)", "PMID" : "3991420", "abstract" : "The purpose of the studies reported herein was to determine whether the depressing effects on growth rate of dominant white (I) and recessive white (c/c) are additive or possibly interact with each other. A synthetic stock was used that was segregating for both dominant white and recessive white. Using phenotypic observations of down color and juvenile plumage color; it was possible to identify the genotypes at the I and C+ loci and to utilize a factorial experiment that provided for an evaluation of interaction effects between the loci. Five replications of this design were conducted with the following results: 1) the main effect of dominant white on 6 and 8 week body weight was not statistically significant; 2) recessive white consistently depresses early growth rate and the difference (congruent to 4%) between C+/- vs. c/c was highly significant (P less than .01); 3) there was a significant interaction (P less than .05) between I and c indicating that depressing effects of these loci are not additive. It does not appear to be necessary to eliminate (I) from recessive white broiler stocks, but it would be economically advantageous to remove hypostatic (c) from dominant white lines.", "author" : [ { "dropping-particle" : "", "family" : "Fox", "given" : "W", "non-dropping-particle" : "", "parse-names" : false, "suffix" : "" }, { "dropping-particle" : "", "family" : "Smyth", "given" : "J R Jr", "non-dropping-particle" : "", "parse-names" : false, "suffix" : "" } ], "container-title" : "Poultry science", "id" : "ITEM-1", "issue" : "3", "issued" : { "date-parts" : [ [ "1985" ] ] }, "page" : "429-433", "title" : "The effects of recessive white and dominant white genotypes on early growth rate.", "type" : "article-journal", "volume" : "64" }, "uris" : [ "http://www.mendeley.com/documents/?uuid=4e307c59-5ae5-4377-ab75-636b9c67e1ff" ] }, { "id" : "ITEM-2", "itemData" : { "DOI" : "10.3382/ps.0681161", "ISSN" : "0032-5791", "author" : [ { "dropping-particle" : "", "family" : "Kuhnlein", "given" : "U.", "non-dropping-particle" : "", "parse-names" : false, "suffix" : "" }, { "dropping-particle" : "", "family" : "Sabour", "given" : "M.", "non-dropping-particle" : "", "parse-names" : false, "suffix" : "" }, { "dropping-particle" : "", "family" : "Gavora", "given" : "J. S.", "non-dropping-particle" : "", "parse-names" : false, "suffix" : "" }, { "dropping-particle" : "", "family" : "Fairfull", "given" : "R. W.", "non-dropping-particle" : "", "parse-names" : false, "suffix" : "" }, { "dropping-particle" : "", "family" : "Bernon", "given" : "D. E.", "non-dropping-particle" : "", "parse-names" : false, "suffix" : "" } ], "container-title" : "Poultry Science", "id" : "ITEM-2", "issue" : "9", "issued" : { "date-parts" : [ [ "1989" ] ] }, "page" : "1161-1167", "title" : "Influence of Selection for Egg Production and Marek's Disease Resistance on the Incidence of Endogenous Viral Genes in White Leghorns", "type" : "article-journal", "volume" : "68" }, "uris" : [ "http://www.mendeley.com/documents/?uuid=caf3be8f-a7b8-4e96-a33b-58b11359f09a" ] }, { "id" : "ITEM-3", "itemData" : { "DOI" : "10.3382/ps.0700618", "ISSN" : "0032-5791", "abstract" : "Endogenous viral (ev) genes are DNA sequences residing permanently in the genome of most chickens that have a high degree of homology to avian leukosis viruses (ALV). Association of ev genes with production trait differences was studied in White Leghorns free of exogenous ALV. The Cornell Strain K and S chickens used in Experiment 1 had multiple ev genes. In each of four lines of chickens in Experiment 2, there was a 1:1 segregation of full-sibs free of ev genes and those carrying one ev gene: ev-12 mat produces the complete endogenous virus, ev-3 or ev-6 that express certain viral antigens, or ev-1, a silent gene. In Experiment 1, the presence of genes ev-10 or ev-19, known to produce the complete virus, was associated with a 9% reduction in the annual egg production rate (P&lt;.05) in Strain S. Similarly, the presence of the virus-producing ev-12 in Experiment 2 was associated with an 8% reduction of annual egg production rate (P&lt;.05), a 2.2-g reduction in egg weight (P&lt;.01), and a .003 reduction in egg specific gravity (P&lt;.01). No significant effects of ev genes on age at first egg, Haugh unit score, percentage of eggs with blood spots, and body weight of hens were observed. It was concluded that ev genes producing complete endogenous virus are associated with production trait differences similar to those associated with subclinical infections with exogenous ALV.", "author" : [ { "dropping-particle" : "", "family" : "Gavora", "given" : "J. S.", "non-dropping-particle" : "", "parse-names" : false, "suffix" : "" }, { "dropping-particle" : "", "family" : "Kuhnlein", "given" : "U.", "non-dropping-particle" : "", "parse-names" : false, "suffix" : "" }, { "dropping-particle" : "", "family" : "Crittenden", "given" : "L. B.", "non-dropping-particle" : "", "parse-names" : false, "suffix" : "" }, { "dropping-particle" : "", "family" : "Spencer", "given" : "J. L.", "non-dropping-particle" : "", "parse-names" : false, "suffix" : "" }, { "dropping-particle" : "", "family" : "Sabour", "given" : "M. P.", "non-dropping-particle" : "", "parse-names" : false, "suffix" : "" } ], "container-title" : "Poultry Science", "id" : "ITEM-3", "issue" : "3", "issued" : { "date-parts" : [ [ "1991", "3", "1" ] ] }, "note" : "Presence of some ev genes is detrimental to the hen rate of egg production, egg size and egg shell thickness. The majority of ev genes allowed to persist in leghorns do not produce full virus \u2013 exception is ev21 because of the link to the K locus \nNot accessible online from Ed Uni - Journals available at the Vet School Library", "page" : "618-623", "title" : "Endogenous Viral Genes: Association with Reduced Egg Production Rate and Egg Size in White Leghorns", "type" : "article-journal", "volume" : "70" }, "uris" : [ "http://www.mendeley.com/documents/?uuid=a4558e2e-c34c-4c11-9982-f2dadb7b3eed" ] }, { "id" : "ITEM-4", "itemData" : { "DOI" : "10.1186/1742-4690-6-68", "ISSN" : "1742-4690", "PMID" : "19604406", "abstract" : "BACKGROUND: Long-term selection (&gt; 45 generations) for low or high juvenile body weight from a common founder population of White Plymouth Rock chickens has generated two extremely divergent lines, the LWS and HWS lines. In addition to a &gt; 9-fold difference between lines for the selected trait, large behavioural and metabolic differences between the two lines evolved during the course of the selection. We recently compared gene expression in brain tissue from birds representing these lines using a global cDNA array analysis and the results showed multiple but small expression differences in protein coding genes. The main differentially expressed transcripts were endogenous retroviral sequences identified as avian leucosis virus subgroup-E (ALVE).\n\nRESULTS: In this work we confirm the differential ALVE expression and analysed expression and number of proviral integrations in the two parental lines as well as in F9 individuals from an advanced intercross of the lines. Correlation analysis between expression, proviral integrations and body weight showed that high ALVE levels in the LWS line were inherited and that more ALVE integrations were detected in LWS than HWS birds.\n\nCONCLUSION: We conclude that only a few of the integrations contribute to the high expression levels seen in the LWS line and that high ALVE expression was significantly correlated with lower body weights for the females but not males. The conserved correlation between high expression and low body weight in females after 9 generations of intercrosses, indicated that ALVE loci conferring high expression directly affects growth or are very closely linked to loci regulating growth.", "author" : [ { "dropping-particle" : "", "family" : "Ka", "given" : "Sojeong", "non-dropping-particle" : "", "parse-names" : false, "suffix" : "" }, { "dropping-particle" : "", "family" : "Kerje", "given" : "Susanne", "non-dropping-particle" : "", "parse-names" : false, "suffix" : "" }, { "dropping-particle" : "", "family" : "Bornold", "given" : "Lina", "non-dropping-particle" : "", "parse-names" : false, "suffix" : "" }, { "dropping-particle" : "", "family" : "Liljegren", "given" : "Ulrika", "non-dropping-particle" : "", "parse-names" : false, "suffix" : "" }, { "dropping-particle" : "", "family" : "Siegel", "given" : "Paul B", "non-dropping-particle" : "", "parse-names" : false, "suffix" : "" }, { "dropping-particle" : "", "family" : "Andersson", "given" : "Leif", "non-dropping-particle" : "", "parse-names" : false, "suffix" : "" }, { "dropping-particle" : "", "family" : "Hallb\u00f6\u00f6k", "given" : "Finn", "non-dropping-particle" : "", "parse-names" : false, "suffix" : "" } ], "container-title" : "Retrovirology", "id" : "ITEM-4", "issued" : { "date-parts" : [ [ "2009", "1" ] ] }, "page" : "68", "title" : "Proviral integrations and expression of endogenous avian leucosis virus during long term selection for high and low body weight in two chicken lines.", "type" : "article-journal", "volume" : "6" }, "uris" : [ "http://www.mendeley.com/documents/?uuid=93c3010c-00da-4bad-910b-dce592c51feb" ] } ], "mendeley" : { "formattedCitation" : "(Fox &amp; Smyth 1985; Kuhnlein et al. 1989; Gavora et al. 1991; Ka et al. 2009)", "plainTextFormattedCitation" : "(Fox &amp; Smyth 1985; Kuhnlein et al. 1989; Gavora et al. 1991; Ka et al. 2009)", "previouslyFormattedCitation" : "(Fox &amp; Smyth 1985; Kuhnlein et al. 1989; Gavora et al. 1991; Ka et al. 2009)" }, "properties" : { "noteIndex" : 0 }, "schema" : "https://github.com/citation-style-language/schema/raw/master/csl-citation.json" }</w:instrText>
      </w:r>
      <w:r w:rsidR="00164EC5">
        <w:fldChar w:fldCharType="separate"/>
      </w:r>
      <w:r w:rsidR="00E371F9" w:rsidRPr="00E371F9">
        <w:rPr>
          <w:noProof/>
        </w:rPr>
        <w:t>(Fox &amp; Smyth 1985; Kuhnlein et al. 1989; Gavora et al. 1991; Ka et al. 2009)</w:t>
      </w:r>
      <w:r w:rsidR="00164EC5">
        <w:fldChar w:fldCharType="end"/>
      </w:r>
      <w:r w:rsidR="00164EC5">
        <w:t xml:space="preserve">. </w:t>
      </w:r>
      <w:r w:rsidR="00EE147D">
        <w:t xml:space="preserve">Despite this, multiple intact and transcriptionally active ALVEs remain in commercial lines due to their association with desirable phenotypic traits. These include ALVE-TYR, </w:t>
      </w:r>
      <w:r w:rsidR="00726DAE">
        <w:t xml:space="preserve">responsible for white feather colour through </w:t>
      </w:r>
      <w:r w:rsidR="00EE147D">
        <w:t>the recessive white mutation</w:t>
      </w:r>
      <w:r w:rsidR="00726DAE">
        <w:t xml:space="preserve"> </w:t>
      </w:r>
      <w:r w:rsidR="00726DAE">
        <w:fldChar w:fldCharType="begin" w:fldLock="1"/>
      </w:r>
      <w:r w:rsidR="00726DAE">
        <w:instrText>ADDIN CSL_CITATION { "citationItems" : [ { "id" : "ITEM-1", "itemData" : { "ISSN" : "0032-5791 (Print)", "PMID" : "3991420", "abstract" : "The purpose of the studies reported herein was to determine whether the depressing effects on growth rate of dominant white (I) and recessive white (c/c) are additive or possibly interact with each other. A synthetic stock was used that was segregating for both dominant white and recessive white. Using phenotypic observations of down color and juvenile plumage color; it was possible to identify the genotypes at the I and C+ loci and to utilize a factorial experiment that provided for an evaluation of interaction effects between the loci. Five replications of this design were conducted with the following results: 1) the main effect of dominant white on 6 and 8 week body weight was not statistically significant; 2) recessive white consistently depresses early growth rate and the difference (congruent to 4%) between C+/- vs. c/c was highly significant (P less than .01); 3) there was a significant interaction (P less than .05) between I and c indicating that depressing effects of these loci are not additive. It does not appear to be necessary to eliminate (I) from recessive white broiler stocks, but it would be economically advantageous to remove hypostatic (c) from dominant white lines.", "author" : [ { "dropping-particle" : "", "family" : "Fox", "given" : "W", "non-dropping-particle" : "", "parse-names" : false, "suffix" : "" }, { "dropping-particle" : "", "family" : "Smyth", "given" : "J R Jr", "non-dropping-particle" : "", "parse-names" : false, "suffix" : "" } ], "container-title" : "Poultry science", "id" : "ITEM-1", "issue" : "3", "issued" : { "date-parts" : [ [ "1985" ] ] }, "page" : "429-433", "title" : "The effects of recessive white and dominant white genotypes on early growth rate.", "type" : "article-journal", "volume" : "64" }, "uris" : [ "http://www.mendeley.com/documents/?uuid=4e307c59-5ae5-4377-ab75-636b9c67e1ff" ] }, { "id" : "ITEM-2",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"ITEM-2", "issued" : { "date-parts" : [ [ "2006", "1" ] ] }, "page" : "19", "title" : "Complete association between a retroviral insertion in the tyrosinase gene and the recessive white mutation in chickens.", "type" : "article-journal", "volume" : "7" }, "uris" : [ "http://www.mendeley.com/documents/?uuid=8077fea8-838f-4da4-b799-fb7fa0225565" ] }, { "id" : "ITEM-3", "itemData" : { "DOI" : "10.1111/j.1365-2052.2007.01581.x", "ISBN" : "0268-9146", "ISSN" : "02689146", "PMID" : "17355394", "abstract" : "Recently, we reported the complete association of a retroviral insertion in intron 4 of the tyrosinase gene and the recessive white mutation (c) in chickens. The mutant allele carrying the retroviral insertion produced, in skin samples of 10-week-old chickens, aberrant tyrosinase transcripts that did not contain exon 5. In the present study, we performed serial molecular and statistical analyses on embryos and 10-week-old chickens to characterize the quantitative effect of the retroviral insertion on the expression pattern of tyrosinase in different tissues (skin and retina). By using quantitative real-time RT-PCR, we observed that the expression level of tyrosinase was significantly lower in recessive white chickens than in wild-type coloured chickens, but that this pattern was age- and tissue-dependent. The differential expression in skin was not significant in embryos, whereas it was highly significant in 10-week-old chickens. Furthermore, there was no difference in the expression of tyrosinase in the retinal pigment epithelium of animals with different genotypes; this corresponds to phenotypic data, which show pigmented eyes in both genotypes. These findings show that the retroviral insertion disturbs tyrosinase expression in the recessive white mutant chickens, and suggests that the regulation of tyrosinase expression in chickens differs between embryos and growing animals, as well as between skin and retina.", "author" : [ { "dropping-particle" : "", "family" : "Chang", "given" : "C. M.", "non-dropping-particle" : "", "parse-names" : false, "suffix" : "" }, { "dropping-particle" : "", "family" : "Furet", "given" : "J. P.", "non-dropping-particle" : "", "parse-names" : false, "suffix" : "" }, { "dropping-particle" : "", "family" : "Coville", "given" : "J. L.", "non-dropping-particle" : "", "parse-names" : false, "suffix" : "" }, { "dropping-particle" : "", "family" : "Coquerelle", "given" : "G.", "non-dropping-particle" : "", "parse-names" : false, "suffix" : "" }, { "dropping-particle" : "", "family" : "Gourichon", "given" : "D.", "non-dropping-particle" : "", "parse-names" : false, "suffix" : "" }, { "dropping-particle" : "", "family" : "Tixier-Boichard", "given" : "M.", "non-dropping-particle" : "", "parse-names" : false, "suffix" : "" } ], "container-title" : "Animal Genetics", "id" : "ITEM-3", "issue" : "2", "issued" : { "date-parts" : [ [ "2007" ] ] }, "page" : "162-167", "title" : "Quantitative effects of an intronic retroviral insertion on the transcription of the tyrosinase gene in recessive white chickens", "type" : "article-journal", "volume" : "38" }, "uris" : [ "http://www.mendeley.com/documents/?uuid=ac81b6ab-53a1-4a28-bd4d-e27106d17ff8" ] } ], "mendeley" : { "formattedCitation" : "(Fox &amp; Smyth 1985; Chang et al. 2006; Chang et al. 2007)", "plainTextFormattedCitation" : "(Fox &amp; Smyth 1985; Chang et al. 2006; Chang et al. 2007)", "previouslyFormattedCitation" : "(Fox &amp; Smyth 1985; Chang et al. 2006; Chang et al. 2007)" }, "properties" : { "noteIndex" : 0 }, "schema" : "https://github.com/citation-style-language/schema/raw/master/csl-citation.json" }</w:instrText>
      </w:r>
      <w:r w:rsidR="00726DAE">
        <w:fldChar w:fldCharType="separate"/>
      </w:r>
      <w:r w:rsidR="00726DAE" w:rsidRPr="00726DAE">
        <w:rPr>
          <w:noProof/>
        </w:rPr>
        <w:t>(Fox &amp; Smyth 1985; Chang et al. 2006; Chang et al. 2007)</w:t>
      </w:r>
      <w:r w:rsidR="00726DAE">
        <w:fldChar w:fldCharType="end"/>
      </w:r>
      <w:r w:rsidR="00EE147D">
        <w:t>,</w:t>
      </w:r>
      <w:r w:rsidR="00726DAE">
        <w:t xml:space="preserve"> and ALVE21, which is closely associated with the slow feathering </w:t>
      </w:r>
      <w:r w:rsidR="00726DAE">
        <w:rPr>
          <w:i/>
        </w:rPr>
        <w:t xml:space="preserve">K </w:t>
      </w:r>
      <w:r w:rsidR="00726DAE">
        <w:t xml:space="preserve">locus used to differentiate bird gender at hatch </w:t>
      </w:r>
      <w:r w:rsidR="00726DAE">
        <w:fldChar w:fldCharType="begin" w:fldLock="1"/>
      </w:r>
      <w:r w:rsidR="00362F1E">
        <w:instrText>ADDIN CSL_CITATION { "citationItems" : [ { "id" : "ITEM-1", "itemData" : { "DOI" : "10.3382/ps.0670191", "ISSN" : "0032-5791", "abstract" : "A dominant sex-linked gene, K, regulates slow feathering (SF), whereas a recessive allele, k+, determines rapid feathering (RF) in chickens. This trait provides a convenient and inexpensive approach to gender identification of White Leghorn (WL) chicks at hatch, i.e., in a sex-linked mating using k+/k+ males mated with K/- females, the K/k+ male chicks are SF, and the k+/- females are RF. However, in many WL strains, female progeny of SF dams produce fewer eggs and have higher mortality than progeny of RF dams. This loss in productivity has been attributed to higher infection and shedding rates for leukosis viruses (ALV) in SF than in RF dam lines. Because infectious endogenous viruses (EV) can induce immunological tolerance to ALV, we examined the expression and distribution of ev genes in SF and RF siblings from heterozygous K/k+ sires and k+/- dams. Infectious ALV and EV were detected by cocultivation of frozen heparinized blood cells on selected chick embryo fibroblasts and culture supernatants were tested for viral antigen by enzyme-linked immunosorbent assay tests. Specific ev genes were identified as restriction fragment length polymorphisms after hybridization with a recombinant plasmid containing the complete genome of a Rous-associated virus. It was concluded that ev21 and K genes are tightly linked because, in different WL crosses, all SF chicks inherited ev21 but RF siblings uniformly lacked ev21. Alternatively, the K gene in WL may be a mutation resulting from the insertion of ev21 in the k+ gene. The SF chicks which harbor ev21 expressed infectious EV21; evidence that EV21 may influence susceptibility to ALV is presented.", "author" : [ { "dropping-particle" : "", "family" : "Bacon", "given" : "L. D.", "non-dropping-particle" : "", "parse-names" : false, "suffix" : "" }, { "dropping-particle" : "", "family" : "Smith", "given" : "E.", "non-dropping-particle" : "", "parse-names" : false, "suffix" : "" }, { "dropping-particle" : "", "family" : "Crittenden", "given" : "L. B.", "non-dropping-particle" : "", "parse-names" : false, "suffix" : "" }, { "dropping-particle" : "", "family" : "Havenstein", "given" : "G. B.", "non-dropping-particle" : "", "parse-names" : false, "suffix" : "" } ], "container-title" : "Poultry Science", "id" : "ITEM-1", "issue" : "2", "issued" : { "date-parts" : [ [ "1988", "2", "1" ] ] }, "note" : "Paper that identifies the link between the K locus and ev21.\n\n\nK locus provides an early gender test. If you mate k+/k+ males (rapid feathering) with K/- females all the male chicks will be slow feathering (K/k+) and all the females will be rapid feathering (k+/-)\nEv21 is associated with the k locus.\n\n\nIt was noticed that there was higher ALV shedding and that female progeny from SF dams had higher infection and lower productivity in both weight and egg number. \n\n\nEv21 is present in all SF chicks, but not in any of the RF siblings - must inherit together.\n\n\nTesting suggests that ev21 is non-defective and produces intact virus particles. Ev21 gives tolerance to exogenous ALV and therefore causes difficulty in eradicating ALV from SF chicken lines. ALV has been relatively easy to eradicate (ignoring ALV-J) in all RF lines.", "page" : "191-197", "title" : "Association of the Slow Feathering (K) and an Endogenous Viral (ev21) Gene on the Z Chromosome of Chickens", "type" : "article-journal", "volume" : "67" }, "uris" : [ "http://www.mendeley.com/documents/?uuid=1263fb77-e41c-46df-bcd0-b66985b8af8a" ] }, { "id" : "ITEM-2", "itemData" : { "ISSN" : "0268-9146", "PMID" : "7793680", "abstract" : "Nucleotide sequence analysis of polymerase chain reaction products confirmed that ev21 integrated into one of two large homologous elements on the Z chromosome of late-feathering (LF) White Leghorn chickens. Southern blots of NotI-, NaeI-, KspI- and BamHI-digested DNA from early-feathering (EF) and LF White Leghorns, that had been hybridized with a probe that flanks ev21, indicated a 180 kb duplication of an unoccupied repeat in the LF genotype of White Leghorns. A KspI fragment that carries ev21 was about 32 kb smaller than the KspI fragment found in EF DNA. In the evolution of LF, retroviral insertion into one of two large repeats and a 32 kb deletion may have generated LF.", "author" : [ { "dropping-particle" : "", "family" : "Iraqi", "given" : "F", "non-dropping-particle" : "", "parse-names" : false, "suffix" : "" }, { "dropping-particle" : "", "family" : "Smith", "given" : "E J", "non-dropping-particle" : "", "parse-names" : false, "suffix" : "" } ], "container-title" : "Animal genetics", "id" : "ITEM-2", "issue" : "3", "issued" : { "date-parts" : [ [ "1995" ] ] }, "page" : "141-6", "title" : "Organization of the sex-linked late-feathering haplotype in chickens.", "type" : "article-journal", "volume" : "26" }, "uris" : [ "http://www.mendeley.com/documents/?uuid=f31b0c70-add2-490a-afcd-0859e7638210" ] }, { "id" : "ITEM-3", "itemData" : { "DOI" : "10.1186/1471-2164-9-391", "ISSN" : "1471-2164", "PMID" : "18713476", "abstract" : "BACKGROUND: One of the loci responsible for feather development in chickens is K. The K allele is partially dominant to the k+ allele and causes a retard in the emergence of flight feathers at hatch. The K locus is sex linked and located on the Z chromosome. Therefore, the locus can be utilized to produce phenotypes that identify the sexes of chicks at hatch. Previous studies on the organization of the K allele concluded the integration of endogenous retrovirus 21 (ev21) into one of two large homologous segments located on the Z chromosome of late feathering chickens. In this study, a detailed molecular analysis of the K locus and a DNA test to distinguish between homozygous and heterozygous late feathering males are presented. RESULTS: The K locus was investigated with quantitative PCR by examining copy number variations in a total of fourteen markers surrounding the ev21 integration site. The results showed a duplication at the K allele and sequence analysis of the breakpoint junction indicated a tandem duplication of 176,324 basepairs. The tandem duplication of this region results in the partial duplication of two genes; the prolactin receptor and the gene encoding sperm flagellar protein 2. Sequence analysis revealed that the duplication is similar in Broiler and White Leghorn. In addition, twelve late feathering animals, including Broiler, White Leghorn, and Brown Layer lines, contained a 78 bp breakpoint junction fragment, indicating that the duplication is similar in all breeds. The breakpoint junction was used to develop a TaqMan-based quantitative PCR test to allow distinction between homozygous and heterozygous late feathering males. In total, 85.3% of the animals tested were correctly assigned, 14.7% were unassigned and no animals were incorrectly assigned. CONCLUSION: The detailed molecular analysis presented in this study revealed the presence of a tandem duplication in the K allele. The duplication resulted in the partial duplication of two genes; the prolactin receptor and the gene encoding sperm flagellar protein 2. Furthermore, a DNA test was developed to distinguish between homozygous and heterozygous late feathering males.", "author" : [ { "dropping-particle" : "", "family" : "Elferink", "given" : "Martin G", "non-dropping-particle" : "", "parse-names" : false, "suffix" : "" }, { "dropping-particle" : "", "family" : "Vall\u00e9e", "given" : "Am\u00e9lie a a", "non-dropping-particle" : "", "parse-names" : false, "suffix" : "" }, { "dropping-particle" : "", "family" : "Jungerius", "given" : "Annemieke P", "non-dropping-particle" : "", "parse-names" : false, "suffix" : "" }, { "dropping-particle" : "", "family" : "Crooijmans", "given" : "Richard P M a", "non-dropping-particle" : "", "parse-names" : false, "suffix" : "" }, { "dropping-particle" : "", "family" : "Groenen", "given" : "Martien a M", "non-dropping-particle" : "", "parse-names" : false, "suffix" : "" } ], "container-title" : "BMC genomics", "id" : "ITEM-3", "issued" : { "date-parts" : [ [ "2008", "1" ] ] }, "page" : "391", "title" : "Partial duplication of the PRLR and SPEF2 genes at the late feathering locus in chicken.", "type" : "article-journal", "volume" : "9" }, "uris" : [ "http://www.mendeley.com/documents/?uuid=c0f6c8e2-2413-434a-bc72-3bcc3de5d016" ] } ], "mendeley" : { "formattedCitation" : "(Bacon et al. 1988; Iraqi &amp; Smith 1995; Elferink et al. 2008)", "plainTextFormattedCitation" : "(Bacon et al. 1988; Iraqi &amp; Smith 1995; Elferink et al. 2008)", "previouslyFormattedCitation" : "(Bacon et al. 1988; Iraqi &amp; Smith 1995; Elferink et al. 2008)" }, "properties" : { "noteIndex" : 0 }, "schema" : "https://github.com/citation-style-language/schema/raw/master/csl-citation.json" }</w:instrText>
      </w:r>
      <w:r w:rsidR="00726DAE">
        <w:fldChar w:fldCharType="separate"/>
      </w:r>
      <w:r w:rsidR="00570CE1" w:rsidRPr="00570CE1">
        <w:rPr>
          <w:noProof/>
        </w:rPr>
        <w:t>(Bacon et al. 1988; Iraqi &amp; Smith 1995; Elferink et al. 2008)</w:t>
      </w:r>
      <w:r w:rsidR="00726DAE">
        <w:fldChar w:fldCharType="end"/>
      </w:r>
      <w:r w:rsidR="00726DAE">
        <w:t xml:space="preserve">. In addition, many lines harbour intact ALVEs, such as ALVE1, which have been transcriptionally silenced by DNA methylation, but can reactivate under certain infection conditions or during embryonic development </w:t>
      </w:r>
      <w:r w:rsidR="00726DAE">
        <w:fldChar w:fldCharType="begin" w:fldLock="1"/>
      </w:r>
      <w:r w:rsidR="00726DAE">
        <w:instrText>ADDIN CSL_CITATION { "citationItems" : [ { "id" : "ITEM-1", "itemData" : { "abstract" : "An enhancer element is located in the U3 portion of exogenous avian retrovirus long terminal repeats (LTRs). A similar element has not been detected in the LTRs of ev-1 and ev-2, two avian endogenous viruses (evs) that normally are not expressed in vivo. Experiments were initiated to determine whether minor nucleotide differences in the U3 region of a previously untested ev that is ubiquitously expressed in vivo (ev-3) might confer enhancer function on the LTR of this provirus. This question was addressed by inserting U3 regions from ev-3 and from ev-1 and/or ev-2 both upstream of the herpesvirus thymidine kinase gene promoter and in place of the major enhancer domains of the Rous sarcoma virus LTR and determining their relative effects on transcription. U3 regions from all evs tested were unable to enhance transcription from the thymidine kinase gene promoter, indicating that nucleotide differences in the ev U3 regions do not affect their relative enhancer function and therefore are unlikely to play a role in their differential expression in vivo. Unexpectedly, however, all ev U3 regions were able to augment transcription in an orientation-independent manner in the ev-Rous sarcoma virus hybrid LTRs. Further experiments conducted to determine why this enhancer activity is not detectable in intact ev LTRs demonstrated that it was not due to removal of repressor sequences in the ev fragments used that might normally be present in intact ev LTRs. The lack of detectable enhancer activity in intact ev LTRs also was not explained by a defect in ev promoters that makes them unresponsive to enhancers in cis. These experiments therefore identify sequences that, although unable to function detectably as enhancers in their natural context, can function efficiently in a heterologous context. Data are discussed in terms of the modularity of enhancer elements and possible interactions between enhancers and promoter-specific sequences.", "author" : [ { "dropping-particle" : "", "family" : "Conklin", "given" : "KF", "non-dropping-particle" : "", "parse-names" : false, "suffix" : "" } ], "container-title" : "Journal of virology", "id" : "ITEM-1", "issue" : "5", "issued" : { "date-parts" : [ [ "1991" ] ] }, "note" : "Exogenous Retrovirus LTRs contain strong enhancers. The enhancer and promoter for viral RNA transcription are in the U3, with the U3-R boundary marking the transcription start site. In general, it has been found with ALVE loci that U5 and R regions of the LTR are very similar to the exogenous relatives, but the U3 is very divergent: shorter and lacking sequences essential for enhancer function in exogenous counterparts. \nStudies with ev1 and ev2 suggest the LTRs are 10-100 fold less transcriptionally active than exogenous relatives. However, even those elements (such as ev3) that are transcriptionally active have similar deletions and divergence. The expression control is clearly more complicated than missing sequences in the LTR U3.", "page" : "2525-2532", "title" : "Activation of an endogenous retrovirus enhancer by insertion into a heterologous context.", "type" : "article-journal", "volume" : "65" }, "uris" : [ "http://www.mendeley.com/documents/?uuid=2b202731-05d9-42cb-98ca-a28dce245bda" ] }, { "id" : "ITEM-2", "itemData" : { "DOI" : "10.1007/s00705-016-3086-2", "ISSN" : "0304-8608", "author" : [ { "dropping-particle" : "", "family" : "Hu", "given" : "Xuming", "non-dropping-particle" : "", "parse-names" : false, "suffix" : "" }, { "dropping-particle" : "", "family" : "Zhu", "given" : "Wenqi", "non-dropping-particle" : "", "parse-names" : false, "suffix" : "" }, { "dropping-particle" : "", "family" : "Chen", "given" : "Shihao", "non-dropping-particle" : "", "parse-names" : false, "suffix" : "" }, { "dropping-particle" : "", "family" : "Liu", "given" : "Yangyang", "non-dropping-particle" : "", "parse-names" : false, "suffix" : "" }, { "dropping-particle" : "", "family" : "Sun", "given" : "Zhen", "non-dropping-particle" : "", "parse-names" : false, "suffix" : "" }, { "dropping-particle" : "", "family" : "Geng", "given" : "Tuoyu", "non-dropping-particle" : "", "parse-names" : false, "suffix" : "" }, { "dropping-particle" : "", "family" : "Song", "given" : "Chengyi", "non-dropping-particle" : "", "parse-names" : false, "suffix" : "" }, { "dropping-particle" : "", "family" : "Gao", "given" : "Bo", "non-dropping-particle" : "", "parse-names" : false, "suffix" : "" }, { "dropping-particle" : "", "family" : "Wang", "given" : "Xiaoyan", "non-dropping-particle" : "", "parse-names" : false, "suffix" : "" }, { "dropping-particle" : "", "family" : "Qin", "given" : "Aijian", "non-dropping-particle" : "", "parse-names" : false, "suffix" : "" }, { "dropping-particle" : "", "family" : "Cui", "given" : "Hengmi", "non-dropping-particle" : "", "parse-names" : false, "suffix" : "" } ], "container-title" : "Archives of Virology", "id" : "ITEM-2", "issue" : "November", "issued" : { "date-parts" : [ [ "2016" ] ] }, "publisher" : "Springer Vienna", "title" : "Expression patterns of endogenous avian retrovirus ALVE1 and its response to infection with exogenous avian tumour viruses", "type" : "article-journal" }, "uris" : [ "http://www.mendeley.com/documents/?uuid=03558dbe-8bbf-45b5-a5a9-9a5f520ace74" ] } ], "mendeley" : { "formattedCitation" : "(Conklin 1991; Hu, Zhu, Chen, Liu, Sun, Geng, Song, et al. 2016)", "manualFormatting" : "(Conklin 1991; Hu et al. 2016)", "plainTextFormattedCitation" : "(Conklin 1991; Hu, Zhu, Chen, Liu, Sun, Geng, Song, et al. 2016)", "previouslyFormattedCitation" : "(Conklin 1991; Hu, Zhu, Chen, Liu, Sun, Geng, Song, et al. 2016)" }, "properties" : { "noteIndex" : 0 }, "schema" : "https://github.com/citation-style-language/schema/raw/master/csl-citation.json" }</w:instrText>
      </w:r>
      <w:r w:rsidR="00726DAE">
        <w:fldChar w:fldCharType="separate"/>
      </w:r>
      <w:r w:rsidR="00726DAE" w:rsidRPr="009B2049">
        <w:rPr>
          <w:noProof/>
        </w:rPr>
        <w:t>(Conklin 1991; H</w:t>
      </w:r>
      <w:r w:rsidR="00726DAE">
        <w:rPr>
          <w:noProof/>
        </w:rPr>
        <w:t>u</w:t>
      </w:r>
      <w:r w:rsidR="00726DAE" w:rsidRPr="009B2049">
        <w:rPr>
          <w:noProof/>
        </w:rPr>
        <w:t xml:space="preserve"> et al. 2016)</w:t>
      </w:r>
      <w:r w:rsidR="00726DAE">
        <w:fldChar w:fldCharType="end"/>
      </w:r>
      <w:r w:rsidR="00726DAE">
        <w:t>.</w:t>
      </w:r>
    </w:p>
    <w:p w14:paraId="73BBBCEE" w14:textId="2B9037FD" w:rsidR="00EE147D" w:rsidRDefault="002E283C" w:rsidP="00391005">
      <w:pPr>
        <w:pStyle w:val="ListParagraph"/>
      </w:pPr>
      <w:r>
        <w:t>Not all</w:t>
      </w:r>
      <w:r w:rsidR="00570CE1">
        <w:t xml:space="preserve"> ALVEs are structurally intact, but the expression of individual retroviral domains can still elicit a significant effect on the host. </w:t>
      </w:r>
      <w:r w:rsidR="00362F1E">
        <w:t>Production of gag glycoproteins</w:t>
      </w:r>
      <w:r w:rsidR="00D46215">
        <w:t xml:space="preserve"> (</w:t>
      </w:r>
      <w:r w:rsidR="00D46215">
        <w:rPr>
          <w:i/>
        </w:rPr>
        <w:t xml:space="preserve">e.g. </w:t>
      </w:r>
      <w:r w:rsidR="00D46215">
        <w:t>ALVE3)</w:t>
      </w:r>
      <w:r w:rsidR="00362F1E">
        <w:t xml:space="preserve"> has been shown to induce tolerance to novel ALV infections, resulting in a delayed immune response and higher incidence of lymphoid tumours </w:t>
      </w:r>
      <w:r w:rsidR="00362F1E">
        <w:fldChar w:fldCharType="begin" w:fldLock="1"/>
      </w:r>
      <w:r w:rsidR="00362F1E">
        <w:instrText>ADDIN CSL_CITATION { "citationItems" : [ { "id" : "ITEM-1", "itemData" : { "author" : [ { "dropping-particle" : "", "family" : "Astrin", "given" : "S M", "non-dropping-particle" : "", "parse-names" : false, "suffix" : "" }, { "dropping-particle" : "", "family" : "Robinson", "given" : "HL", "non-dropping-particle" : "", "parse-names" : false, "suffix" : "" } ], "container-title" : "Journal of Virology", "id" : "ITEM-1", "issue" : "2", "issued" : { "date-parts" : [ [ "1979" ] ] }, "page" : "420-425", "title" : "Gs , an Allele of Chickens for Endogenous Avian Leukosis Viral Antigens , Segregates with ev 3 , a Genetic Locus That Contains Structural Genes for Virus", "type" : "article-journal", "volume" : "31" }, "uris" : [ "http://www.mendeley.com/documents/?uuid=92f6d6ca-888f-4afb-8649-ebb63e87da5b" ] }, { "id" : "ITEM-2", "itemData" : { "ISSN" : "0005-2086", "PMID" : "6098248", "abstract" : "Two experiments were conducted to determine the influence of endogenous viral (ev) gene expression on the response of chicken to day-old inoculation with two laboratory and two field strains of avian leukosis virus (ALV). The ev2- and ev3-negative semi-congenic chickens had much higher mortality from a unique non-neoplastic syndrome (NNS) than ev2- and ev3-positive semi-congenic chickens after inoculation with ALV strain RAV-1. The three other ALV strains induced little NNS. All four strains of ALV induced higher incidences of neutralizing antibody and lower incidences of viremia in ev2- and ev3-negative chickens than ev2- and ev3-positive chickens. The semi-congenic ev2- and ev3-negative chickens were only slightly less likely to shed ALV in the cloaca. Chickens of line 0, an unrelated line lacking ev genes, had a much higher rate of antibody production and lower rate of viremia and shedding than the semi-congenic chickens. Surprisingly, line 0 failed to get NNS after RAV-1 inoculation. There were major differences among strains of ALV in induction of antibody response, viremia, and shedding in the cloaca. The two field strains of ALV tended to be less immunogenic than the laboratory strains. We conclude that both the genetics of the host, including variation in ev gene expression, and the strain of ALV can influence the probability of ALV shedding and congenital transmission after horizontal infection.", "author" : [ { "dropping-particle" : "", "family" : "Crittenden", "given" : "L B", "non-dropping-particle" : "", "parse-names" : false, "suffix" : "" }, { "dropping-particle" : "", "family" : "Smith", "given" : "E J", "non-dropping-particle" : "", "parse-names" : false, "suffix" : "" }, { "dropping-particle" : "", "family" : "Fadly", "given" : "a M", "non-dropping-particle" : "", "parse-names" : false, "suffix" : "" } ], "container-title" : "Avian diseases", "id" : "ITEM-2", "issue" : "4", "issued" : { "date-parts" : [ [ "1984" ] ] }, "note" : "Ev genes are homologous to exogenous ALV. Ev genes have a range of expression levels from ev2 which codes for a full virion, ev3 which codes for gag antigens only to ev15 and ev16 which are solo LTRs with no expression. \nPresence of ev genes gives a reported lower frequency and delay in immune response due to established immune tolerance. This varies in ev gene present (tolerance less likely to build against ev2 when it is detrimental whereas ev3 has no risk). This means that in general ev gene birds (where there is expression) will repel viruses with shared antigens at a much slower rate than those lacking ev genes \u2013 reduced antibody response etc. \nTherefore chickens without ev genes are less likely to infect horizontally and may have a selective advantage in ALV infected flocks.", "page" : "1037-56", "title" : "Influence of endogenous viral (ev) gene expression and strain of exogenous avian leukosis virus (ALV) on mortality and ALV infection and shedding in chickens.", "type" : "article-journal", "volume" : "28" }, "uris" : [ "http://www.mendeley.com/documents/?uuid=4b7682b3-08c8-4d07-8a26-74df70fddfff" ] } ], "mendeley" : { "formattedCitation" : "(Astrin &amp; Robinson 1979; Crittenden et al. 1984)", "plainTextFormattedCitation" : "(Astrin &amp; Robinson 1979; Crittenden et al. 1984)", "previouslyFormattedCitation" : "(Astrin &amp; Robinson 1979; Crittenden et al. 1984)" }, "properties" : { "noteIndex" : 0 }, "schema" : "https://github.com/citation-style-language/schema/raw/master/csl-citation.json" }</w:instrText>
      </w:r>
      <w:r w:rsidR="00362F1E">
        <w:fldChar w:fldCharType="separate"/>
      </w:r>
      <w:r w:rsidR="00362F1E" w:rsidRPr="00362F1E">
        <w:rPr>
          <w:noProof/>
        </w:rPr>
        <w:t>(Astrin &amp; Robinson 1979; Crittenden et al. 1984)</w:t>
      </w:r>
      <w:r w:rsidR="00362F1E">
        <w:fldChar w:fldCharType="end"/>
      </w:r>
      <w:r w:rsidR="00362F1E">
        <w:t>. Contrastingly, expressed envelope glycoproteins</w:t>
      </w:r>
      <w:r w:rsidR="00D46215">
        <w:t xml:space="preserve"> (</w:t>
      </w:r>
      <w:r w:rsidR="00D46215">
        <w:rPr>
          <w:i/>
        </w:rPr>
        <w:t>e.g.</w:t>
      </w:r>
      <w:r w:rsidR="00D46215">
        <w:t xml:space="preserve"> ALVE3, ALVE6, ALVE9)</w:t>
      </w:r>
      <w:r w:rsidR="00362F1E">
        <w:t xml:space="preserve"> confer resistance to novel ALV infection through </w:t>
      </w:r>
      <w:r w:rsidR="00362F1E">
        <w:lastRenderedPageBreak/>
        <w:t xml:space="preserve">competitive interference, as the envelope proteins physically block the TVB (tumour virus binding) receptors used by ALVEs to enter host cells </w:t>
      </w:r>
      <w:r w:rsidR="00362F1E">
        <w:fldChar w:fldCharType="begin" w:fldLock="1"/>
      </w:r>
      <w:r w:rsidR="00D46215">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"id" : "ITEM-2", "itemData" : { "DOI" : "10.1371/journal.pone.0001731", "ISSN" : "1932-6203", "PMID" : "18320050", "abstract" : "Chicken endogenous viruses, ALVE (Avian Leukosis Virus subgroup E), are inherited as LTR (long terminal repeat) retrotransposons, which are negatively correlated with disease resistance, and any changes in DNA methylation may contribute to the susceptibility to neoplastic disease. The relationship between ALVE methylation status and neoplastic disease in the chicken is undefined. White Leghorn inbred lines 7(2) and 6(3) at the ADOL have been respectively selected for resistance and susceptibility to tumors that are induced by avian viruses. In this study, the DNA methylation patterns of 3 approximately 6 CpG sites of four conserved regions in ALVE, including one unique region in ALVE1, the promoter region in the TVB (tumor virus receptor of ALV subgroup B, D and E) locus, were analyzed in the two lines using pyrosequencing methods in four tissues, i.e., liver, spleen, blood and hypothalamus. A significant CpG hypermethylation level was seen in line 7(2) in all four tissues, e.g., 91.86 +/- 1.63% for ALVE region2 in blood, whereas the same region was hemimethylated (46.16 +/- 2.56%) in line 6(3). CpG methylation contents of the ALVE regions were significantly lower in line 6(3) than in line 7(2) in all tissues (P &lt; 0.01) except the ALVE region 3/4 in liver. RNA expressions of ALVE regions 2 and 3 (PPT-U3) were significantly higher in line 6(3) than in line 7(2) (P &lt; 0.01). The methylation levels of six recombinant congenic strains (RCSs) closely resembled to the background line 6(3) in ALVE-region 2, which imply the methylation pattern of ALVE-region 2 may be a biomarker in resistant disease breeding. The methylation level of the promoter region in the TVB was significantly different in blood (P &lt; 0.05) and hypothalamus (P &lt; 0.0001), respectively. Our data disclosed a hypermethylation pattern of ALVE that may be relevant for resistance against ALV induced tumors in chickens.", "author" : [ { "dropping-particle" : "", "family" : "Yu", "given" : "Ying", "non-dropping-particle" : "", "parse-names" : false, "suffix" : "" }, { "dropping-particle" : "", "family" : "Zhang", "given" : "Huanmin", "non-dropping-particle" : "", "parse-names" : false, "suffix" : "" }, { "dropping-particle" : "", "family" : "Tian", "given" : "Fei", "non-dropping-particle" : "", "parse-names" : false, "suffix" : "" }, { "dropping-particle" : "", "family" : "Bacon", "given" : "Larry", "non-dropping-particle" : "", "parse-names" : false, "suffix" : "" }, { "dropping-particle" : "", "family" : "Zhang", "given" : "Yuan", "non-dropping-particle" : "", "parse-names" : false, "suffix" : "" }, { "dropping-particle" : "", "family" : "Zhang", "given" : "Wensheng", "non-dropping-particle" : "", "parse-names" : false, "suffix" : "" }, { "dropping-particle" : "", "family" : "Song", "given" : "Jiuzhou", "non-dropping-particle" : "", "parse-names" : false, "suffix" : "" } ], "container-title" : "PloS one", "id" : "ITEM-2", "issue" : "3", "issued" : { "date-parts" : [ [ "2008", "1" ] ] }, "note" : "Ev genes are ALVE loci (ALV-subgroup E \u00e0 the only endogenous ALV, the other 5 classes are exogenous viruses). ALVEs are LTR-retrotransposons. \nLike in mammals, retrotransposons appear hypermethylated in normal tissue (expected that they are hypomethylated in malignant tumour tissue) \u2013 a difference of almost 6 times. Methylation sites act as epigenetic biomarkers. \nCpG methylation status is negatively correlated with levels of virus transcription \u2013 confers resistance.", "page" : "e1731", "title" : "Quantitative evaluation of DNA methylation patterns for ALVE and TVB genes in a neoplastic disease susceptible and resistant chicken model.", "type" : "article-journal", "volume" : "3" }, "uris" : [ "http://www.mendeley.com/documents/?uuid=06f36af3-ae9b-45f3-841f-a12ff1351e4c" ] } ], "mendeley" : { "formattedCitation" : "(Robinson et al. 1981; Yu et al. 2008)", "plainTextFormattedCitation" : "(Robinson et al. 1981; Yu et al. 2008)", "previouslyFormattedCitation" : "(Robinson et al. 1981; Yu et al. 2008)" }, "properties" : { "noteIndex" : 0 }, "schema" : "https://github.com/citation-style-language/schema/raw/master/csl-citation.json" }</w:instrText>
      </w:r>
      <w:r w:rsidR="00362F1E">
        <w:fldChar w:fldCharType="separate"/>
      </w:r>
      <w:r w:rsidR="00D46215" w:rsidRPr="00D46215">
        <w:rPr>
          <w:noProof/>
        </w:rPr>
        <w:t>(Robinson et al. 1981; Yu et al. 2008)</w:t>
      </w:r>
      <w:r w:rsidR="00362F1E">
        <w:fldChar w:fldCharType="end"/>
      </w:r>
      <w:r w:rsidR="00362F1E">
        <w:t xml:space="preserve">. </w:t>
      </w:r>
      <w:r w:rsidR="00D46215">
        <w:t xml:space="preserve">These opposed effects confer complex infection dynamics in hosts with multiple ALVE insertions. </w:t>
      </w:r>
      <w:r w:rsidR="00761DB8">
        <w:t xml:space="preserve">For example, </w:t>
      </w:r>
      <w:r w:rsidR="00D46215">
        <w:t xml:space="preserve">ALVE21 positive birds which also contain ALVE6 or ALVE9 have reduced viremia, higher ALV-antibody titres, and reduced viral shedding when compared to birds with ALVE21 alone </w:t>
      </w:r>
      <w:r w:rsidR="00D46215">
        <w:fldChar w:fldCharType="begin" w:fldLock="1"/>
      </w:r>
      <w:r w:rsidR="008D46FF">
        <w:instrText>ADDIN CSL_CITATION { "citationItems" : [ { "id" : "ITEM-1",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"ITEM-1",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"ITEM-2", "itemData" : { "DOI" : "10.1080/03079459508419105", "ISSN" : "0307-9457", "PMID" : "18645822", "abstract" : "The influence of endogenous viral (ev) genes on avian leukosis virus (ALV) infection was studied in ALV-free white leghorn chickens exposed to chicks from ALV shedding dams. The study included four lines, each segregating for one ev gene, one line free of ev genes, and four commercial stocks segregating for a number of ev genes. Genes ev12 and ev21 that produce the complete endogenous virus were associated with significant reductions in antibody response to ALV. In commercial stocks with ev21 in all birds, both antibody response and ALV in oviducts were significantly influenced by the genomic background (stock). In one commercial stock, 37.6% of 133 birds with ev21 and only 5.8% of 120 birds without the gene were test-positive for virus in their oviducts at 180 days of age. No such differences were associated with ev1, ev3 or ev6 that do not produce complete endogenous virus. Thus, virus-producing ev genes were a predisposing factor for shedding ALV.", "author" : [ { "dropping-particle" : "", "family" : "Gavora", "given" : "J S", "non-dropping-particle" : "", "parse-names" : false, "suffix" : "" }, { "dropping-particle" : "", "family" : "Spencer", "given" : "J L", "non-dropping-particle" : "", "parse-names" : false, "suffix" : "" }, { "dropping-particle" : "", "family" : "Benkel", "given" : "B", "non-dropping-particle" : "", "parse-names" : false, "suffix" : "" }, { "dropping-particle" : "", "family" : "Gagnon", "given" : "C", "non-dropping-particle" : "", "parse-names" : false, "suffix" : "" }, { "dropping-particle" : "", "family" : "Emsley", "given" : "a", "non-dropping-particle" : "", "parse-names" : false, "suffix" : "" }, { "dropping-particle" : "", "family" : "Kulenkamp", "given" : "a", "non-dropping-particle" : "", "parse-names" : false, "suffix" : "" } ], "container-title" : "Avian pathology : journal of the W.V.P.A", "id" : "ITEM-2", "issue" : "4", "issued" : { "date-parts" : [ [ "1995" ] ] }, "page" : "653-64", "title" : "Endogenous viral genes influence infection with avian leukosis virus.", "type" : "article-journal", "volume" : "24" }, "uris" : [ "http://www.mendeley.com/documents/?uuid=226e2ce0-ad9b-4fca-be43-af60af79ab83" ] } ], "mendeley" : { "formattedCitation" : "(Smith et al. 1990a; Gavora et al. 1995)", "plainTextFormattedCitation" : "(Smith et al. 1990a; Gavora et al. 1995)", "previouslyFormattedCitation" : "(Smith et al. 1990a; Gavora et al. 1995)" }, "properties" : { "noteIndex" : 0 }, "schema" : "https://github.com/citation-style-language/schema/raw/master/csl-citation.json" }</w:instrText>
      </w:r>
      <w:r w:rsidR="00D46215">
        <w:fldChar w:fldCharType="separate"/>
      </w:r>
      <w:r w:rsidR="00D46215" w:rsidRPr="00D46215">
        <w:rPr>
          <w:noProof/>
        </w:rPr>
        <w:t>(Smith et al. 1990a; Gavora et al. 1995)</w:t>
      </w:r>
      <w:r w:rsidR="00D46215">
        <w:fldChar w:fldCharType="end"/>
      </w:r>
      <w:r w:rsidR="00D46215">
        <w:t xml:space="preserve">. </w:t>
      </w:r>
      <w:r w:rsidR="00904C98">
        <w:t>This cross-reactivity can lead to unexpected results when lines with different ALVE complements are crossed.</w:t>
      </w:r>
      <w:r w:rsidR="00761DB8">
        <w:t xml:space="preserve"> </w:t>
      </w:r>
    </w:p>
    <w:p w14:paraId="142EAB17" w14:textId="70138DC6" w:rsidR="0073391D" w:rsidRDefault="003B7EE2" w:rsidP="00391005">
      <w:pPr>
        <w:pStyle w:val="ListParagraph"/>
      </w:pPr>
      <w:r>
        <w:t xml:space="preserve">These detrimental, and often complex, ALVE-related effects have led many commercial companies to select against these loci, aided by the development of a range of diagnostic PCR assays and an ELISA for p27, a </w:t>
      </w:r>
      <w:r>
        <w:rPr>
          <w:i/>
        </w:rPr>
        <w:t>gag</w:t>
      </w:r>
      <w:r>
        <w:t xml:space="preserve"> component found in all ALV subgroups </w:t>
      </w:r>
      <w:r>
        <w:fldChar w:fldCharType="begin" w:fldLock="1"/>
      </w:r>
      <w:r w:rsidR="003A4BF9">
        <w:instrText>ADDIN CSL_CITATION { "citationItems" : [ { "id" : "ITEM-1", "itemData" : { "ISSN" : "0005-2086", "PMID" : "230808", "abstract" : "Immunoglobulins from antiserum raised against chromatographically purified avian myeloblastosis virus (AMV) group-specific (gs) antigens were used in enzyme-linked immunosorbent assay (ELISA). Readily discernible color was produced with 2--3 ng of AMV protein in microplate wells coated with 4 micrograms of salt-precipitated immunoglobulins. When a biological assay, i.e., phenotypic mixing (PM), was the criterion for the infectious status of specimens, the ELISA consistently identified a greater percentage of virus-positive specimens than direct complement-fixation (DCF) tests. Over 95% concordance was obtained between the ELISA and PM bioassays when meconia and whole-blood samples were tested. Moreover, three DCF(-) egg albumens from one virus shedder hen were positive by the direct ELISA. Complete agreement was found between a biological assay for endogenous virus and the ELISA when blood and albumens from inbred chickens were tested. The ELISA is a rapid and convenient alternative to the DCF test for identifying infected chickens in eradication programs, because virus-rich sources such as meconia and blood that are unsuitable for DCF can be tested directly.", "author" : [ { "dropping-particle" : "", "family" : "Smith", "given" : "E J", "non-dropping-particle" : "", "parse-names" : false, "suffix" : "" }, { "dropping-particle" : "", "family" : "Fadly", "given" : "A", "non-dropping-particle" : "", "parse-names" : false, "suffix" : "" }, { "dropping-particle" : "", "family" : "Okazaki", "given" : "W", "non-dropping-particle" : "", "parse-names" : false, "suffix" : "" } ], "container-title" : "Avian diseases", "id" : "ITEM-1", "issue" : "3", "issued" : { "date-parts" : [ [ "1979" ] ] }, "note" : "Method for deecting various viral elements using ELISA on blood serum.", "page" : "698-707", "title" : "An enzyme-linked immunosorbent assay for detecting avian leukosis-sarcoma viruses.", "type" : "article-journal", "volume" : "23" }, "uris" : [ "http://www.mendeley.com/documents/?uuid=9d0b9432-2ff3-4d1e-b63a-05437bca47bb" ] }, { "id" : "ITEM-2",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"ITEM-2",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"id" : "ITEM-3",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"ITEM-3", "issued" : { "date-parts" : [ [ "2006", "1" ] ] }, "page" : "19", "title" : "Complete association between a retroviral insertion in the tyrosinase gene and the recessive white mutation in chickens.", "type" : "article-journal", "volume" : "7" }, "uris" : [ "http://www.mendeley.com/documents/?uuid=8077fea8-838f-4da4-b799-fb7fa0225565" ] }, { "id" : "ITEM-4", "itemData" : { "DOI" : "10.3382/ps.2009-00148", "ISSN" : "0032-5791", "PMID" : "19590071", "abstract" : "During the course of evolution, vertebrate genomes have been invaded and colonized by retroviruses. In humans, for example, endogenous retroviruses (long terminal repeat elements) occupy roughly twice as much sequence space as essential genes. There are numerous reports in the literature implicating endogenous proviruses in the modulation of host physiology. The fact that many of these host-virus interactions take place in a proviral locus-specific manner speaks to the need for rapid assays for element profiling. This report deals with the identification of novel elements belonging to a family of endogenous retroviruses, designated ALVE, that reside in the genome of the chicken and that are closely related to exogenous avian leukosis viruses. The study of ALVE elements in the chicken genome serves as a model system for understanding the interplay between endogenous viruses and their vertebrate hosts in general, including humans. In this report, we present locus-specific, diagnostic PCR-based assays for 2 novel ALVE elements. In addition, we characterize the proviral structures and examine the genomic environments of both novel elements along with a previously described element known as ALVE-NSAC-3.", "author" : [ { "dropping-particle" : "", "family" : "Smith", "given" : "a", "non-dropping-particle" : "", "parse-names" : false, "suffix" : "" }, { "dropping-particle" : "", "family" : "Benkel", "given" : "B F", "non-dropping-particle" : "", "parse-names" : false, "suffix" : "" } ], "container-title" : "Poultry science", "id" : "ITEM-4", "issue" : "8", "issued" : { "date-parts" : [ [ "2009", "8" ] ] }, "note" : "Development of simple, quick inexpensive diagnostic tests for ALVE elements is essential for tracking individual elements \u2013 allows study of how these impact the host. Locus-specific PCR based diagnostic assays are essential (ELISAs are much more laborious!). Authors developed tests for two Ev loci and were able to unambiguously differentiate between +/+, +/- and -/- at their particular loci. \nReport marked differences in Ev frequency dependent on breed and line. \nNo similarity between three chosen target sites \u2013 suggesting a randomness for insertion (although tentative point that the two studied are close to or within CR1 sequences) \u00e0 other evidence of insertion in repetitive areas (probably just reduced selection pressure on these areas).", "page" : "1580-5", "title" : "Novel avian leukosis virus-related endogenous proviruses from layer chickens: characterization and development of locus-specific assays.", "type" : "article-journal", "volume" : "88" }, "uris" : [ "http://www.mendeley.com/documents/?uuid=f493723e-bd36-45f2-b612-a5da427ac6a9" ] }, { "id" : "ITEM-5", "itemData" : { "author" : [ { "dropping-particle" : "", "family" : "Rutherford", "given" : "Katherine", "non-dropping-particle" : "", "parse-names" : false, "suffix" : "" }, { "dropping-particle" : "", "family" : "McLean", "given" : "N", "non-dropping-particle" : "", "parse-names" : false, "suffix" : "" }, { "dropping-particle" : "", "family" : "Benkel", "given" : "B", "non-dropping-particle" : "", "parse-names" : false, "suffix" : "" } ], "container-title" : "Avian Diseases", "id" : "ITEM-5", "issued" : { "date-parts" : [ [ "2013" ] ] }, "note" : "Propose a new rapid manner to detect proviral sequences - exploits restriction enzyme sites in flanking DNA. This can also detect novel ALVEs for which insertion sites have not yet been recognised.\n\n\nAcknowledge diversity among individuals for ERV composition - most variation in those families with recent retrotranspositional activity. \n\n\nUp to 50 ALVEs, of which half have been identified and characterised.\n\n\nThorough description of technique - may be of use later in PhD.", "title" : "A Rapid Profiling Assay for Avian Leukosis Virus Sub-group E Proviruses in Chickens.", "type" : "article-journal", "volume" : "prepress" }, "uris" : [ "http://www.mendeley.com/documents/?uuid=eb00ddd0-1888-4626-b903-0b314dcf6b56" ] } ], "mendeley" : { "formattedCitation" : "(Smith et al. 1979; Benkel 1998; Chang et al. 2006; Smith &amp; Benkel 2009a; Rutherford et al. 2013)", "plainTextFormattedCitation" : "(Smith et al. 1979; Benkel 1998; Chang et al. 2006; Smith &amp; Benkel 2009a; Rutherford et al. 2013)", "previouslyFormattedCitation" : "(Smith et al. 1979; Benkel 1998; Chang et al. 2006; Smith &amp; Benkel 2009a; Rutherford et al. 2013)" }, "properties" : { "noteIndex" : 0 }, "schema" : "https://github.com/citation-style-language/schema/raw/master/csl-citation.json" }</w:instrText>
      </w:r>
      <w:r>
        <w:fldChar w:fldCharType="separate"/>
      </w:r>
      <w:r w:rsidRPr="003B7EE2">
        <w:rPr>
          <w:noProof/>
        </w:rPr>
        <w:t>(Smith et al. 1979; Benkel 1998; Chang et al. 2006; Smith &amp; Benkel 2009a; Rutherford et al. 2013)</w:t>
      </w:r>
      <w:r>
        <w:fldChar w:fldCharType="end"/>
      </w:r>
      <w:r>
        <w:t xml:space="preserve">. However, </w:t>
      </w:r>
      <w:r w:rsidR="00C908D1">
        <w:t xml:space="preserve">changing focus in selection programmes, the expense of testing all known ALVEs for entire commercial flocks using gel based PCRs, </w:t>
      </w:r>
      <w:r>
        <w:t>the close association between many ALVEs and desirable traits (particularly ALVE21),</w:t>
      </w:r>
      <w:r w:rsidR="0073391D">
        <w:t xml:space="preserve"> the incomplete identification of all ALVEs within individual lines,</w:t>
      </w:r>
      <w:r>
        <w:t xml:space="preserve"> and the high frequency of many ALVEs, means that </w:t>
      </w:r>
      <w:r w:rsidR="003D4A28">
        <w:t>ALVEs have not been eradicated in</w:t>
      </w:r>
      <w:r>
        <w:t xml:space="preserve"> commercial lines</w:t>
      </w:r>
      <w:r w:rsidR="0073391D">
        <w:t xml:space="preserve">. </w:t>
      </w:r>
      <w:r w:rsidR="00EE66B9">
        <w:t xml:space="preserve">This enables further ALVE retrotransposition events, which could produce novel mutagenic effects, and recombination between ALVEs and exogenous ALV. </w:t>
      </w:r>
    </w:p>
    <w:p w14:paraId="2D3C36B0" w14:textId="231A1A28" w:rsidR="003A4BF9" w:rsidRDefault="0073391D" w:rsidP="00391005">
      <w:pPr>
        <w:pStyle w:val="ListParagraph"/>
      </w:pPr>
      <w:r>
        <w:t>The</w:t>
      </w:r>
      <w:r w:rsidR="00180213">
        <w:t xml:space="preserve"> current</w:t>
      </w:r>
      <w:r>
        <w:t xml:space="preserve"> detrimental impact of </w:t>
      </w:r>
      <w:r w:rsidR="003A4BF9">
        <w:t>ALVEs</w:t>
      </w:r>
      <w:r>
        <w:t xml:space="preserve"> in commercial chicken production goes beyond the described effects on productivity</w:t>
      </w:r>
      <w:r w:rsidR="003D4A28">
        <w:t xml:space="preserve">. </w:t>
      </w:r>
      <w:r w:rsidR="003A4BF9">
        <w:t xml:space="preserve">For example, all commercial flocks are tested for exogenous ALV using the p27 ELISA, but ALVEs expressing </w:t>
      </w:r>
      <w:r w:rsidR="003A4BF9">
        <w:rPr>
          <w:i/>
        </w:rPr>
        <w:t>gag</w:t>
      </w:r>
      <w:r w:rsidR="003A4BF9">
        <w:t xml:space="preserve"> generate false positive results and these birds must be culled. </w:t>
      </w:r>
      <w:r w:rsidR="00180213">
        <w:t>Recent</w:t>
      </w:r>
      <w:r w:rsidR="003A4BF9">
        <w:t xml:space="preserve"> research into </w:t>
      </w:r>
      <w:r w:rsidR="00180213">
        <w:t xml:space="preserve">the increasingly virulent </w:t>
      </w:r>
      <w:r w:rsidR="003A4BF9">
        <w:t>Marek’s Disease Virus (MDV; alpha herpesvirus) has shown that whilst the ALVE background does not influence MDV incidence or survival, MDV itself induces ALVE expression</w:t>
      </w:r>
      <w:r>
        <w:t xml:space="preserve"> (even of normally silenced elements such as ALVE1)</w:t>
      </w:r>
      <w:r w:rsidR="00706698">
        <w:t>,</w:t>
      </w:r>
      <w:r>
        <w:t xml:space="preserve"> provoking viral shedding</w:t>
      </w:r>
      <w:r w:rsidR="003A4BF9">
        <w:t xml:space="preserve"> </w:t>
      </w:r>
      <w:r w:rsidR="003A4BF9">
        <w:fldChar w:fldCharType="begin" w:fldLock="1"/>
      </w:r>
      <w:r>
        <w:instrText>ADDIN CSL_CITATION { "citationItems" : [ { "id" : "ITEM-1", "itemData" : { "abstract" : "Interpretive Summary: Avian leukosis virus (ALV) and Marek\u2019s disease virus (MDV) are two different kinds of avian tumor viruses, and each or both together can cause severe economic losses to the poultry industry. Susceptible chicks from a designed mating scheme were examined for carriers of the ALV, which were then also exposed to very virulent MDV. Experimental records showed both MD incidence and survival status did not differ between the ALV carrier birds and the non-carriers. Data from this study advances the basic understanding on disease risk when chickens are exposed to both ALV and MDV. The finding showed when susceptible chickens are exposed to very virulent MDV, other factors, such as ALV, are of little importance in disease status and survival days. Technical Abstract: Chicks of distinct genotypes at the tumor virus B locus (TVB) in combination with presence or absence of endogenous avian leukosis virus ev21 gene in their genomes were examined for survival day patterns after challenge with very virulent plus Marek\u2019s disease virus (vv+MDV) in three consecutive trials under controlled conditions. The distinct genotypic groups of the challenged birds were TVB*S1/S3 &amp; ev21+/-, TVB*S3/S3 &amp; ev21 +/-, TVB*S1/S3 &amp; ev21-/-, and TVB*S3/S3 &amp; ev21-/- with a frequency of approximately one quarter each. Chickens with the genotype TVB*S1/*S3 are genetically susceptible to the subgroup E avian leukosis viruses; and those with the TVB*S3/*S3 genotype are resistant. Marek\u2019s disease (MD) was diagnosed in all birds within 8 weeks post-challenge with a partially attenuated vv+MDV strain (648A passage 40), despite the fact that all chicks challenged were homozygous for MHCB*21 haplotype, which is known to be relatively resistant to MD. No significant difference in survival day patterns was detected between the chicken genotype groups (P&gt; 0.05). The survival day pattern difference was only detected between the challenged and the unchallenged control groups in all three trials (P&lt; 0.001). The findings from this study suggest the genetic nature in resistance or susceptibility to subgroup E avian leukosis viruses in combination with the presence or absence of the endogenous avian leukosis virus ev21 gene in the chicken genome are not capable of altering MD incidence nor distorting survival day patterns in chickens like those White Leghorns used in this study under the specific challenge conditions. If any influence of avian leukosis virus on MD exists, it may be heavi\u2026", "author" : [ { "dropping-particle" : "", "family" : "Chang", "given" : "S", "non-dropping-particle" : "", "parse-names" : false, "suffix" : "" }, { "dropping-particle" : "", "family" : "Xie", "given" : "Q", "non-dropping-particle" : "", "parse-names" : false, "suffix" : "" }, { "dropping-particle" : "", "family" : "Wang", "given" : "C", "non-dropping-particle" : "", "parse-names" : false, "suffix" : "" }, { "dropping-particle" : "", "family" : "Heidari", "given" : "M", "non-dropping-particle" : "", "parse-names" : false, "suffix" : "" }, { "dropping-particle" : "", "family" : "Ernst", "given" : "CW", "non-dropping-particle" : "", "parse-names" : false, "suffix" : "" }, { "dropping-particle" : "", "family" : "Dunn", "given" : "JR", "non-dropping-particle" : "", "parse-names" : false, "suffix" : "" }, { "dropping-particle" : "", "family" : "Zhang", "given" : "H", "non-dropping-particle" : "", "parse-names" : false, "suffix" : "" } ], "container-title" : "Annals of Virology and Research", "id" : "ITEM-1", "issue" : "2", "issued" : { "date-parts" : [ [ "2015" ] ] }, "page" : "1007", "title" : "Genetic susceptibility to and presence of endogenous avian leukosis viruses impose no significant impact on survival days of chickens challenged with very virulent plus Marek's disease virus", "type" : "article-journal", "volume" : "1" }, "uris" : [ "http://www.mendeley.com/documents/?uuid=898026e7-1c69-4490-846e-1903dea48ee8" ] }, { "id" : "ITEM-2", "itemData" : { "DOI" : "10.1007/s00705-016-2833-8", "ISSN" : "03048608", "PMID" : "27016933", "abstract" : "Endogenous retroviruses (ERVs) are important retroelements that reside in host genomes. However, ERV expression patterns and regulatory mechanisms are poorly understood. In this study, chicken embryo fibroblasts (CEFs) and MSB1 cells infected with Marek's disease virus (MDV) exhibited significantly increased expression of env from the endogenous retrovirus ALVE. In contrast, env expression was significantly lower in CEF and MSB1 cells infected with exogenous avian leukosis virus J (ALVJ) at the early infection stage. Furthermore, env was found to be ubiquitously expressed in various chicken tissues, with high expression in certain tissues at 2\u00a0days of age and low levels in most tissues, including immune organs (thymus, spleen and bursa) as well as the brain and heart, at 35\u00a0days of age. Sequence analysis revealed miR-155 target sites in env transcripts, which was verified using a firefly luciferase reporter assay, and treatment with miR-155 agomir significantly decreased levels of env transcripts in MSB1 and CEF cells. Together, these findings suggest that the env gene from the endogenous retrovirus ALVE is regulated by miR-155.", "author" : [ { "dropping-particle" : "", "family" : "Hu", "given" : "Xuming", "non-dropping-particle" : "", "parse-names" : false, "suffix" : "" }, { "dropping-particle" : "", "family" : "Zhu", "given" : "Wenqi", "non-dropping-particle" : "", "parse-names" : false, "suffix" : "" }, { "dropping-particle" : "", "family" : "Chen", "given" : "Shihao", "non-dropping-particle" : "", "parse-names" : false, "suffix" : "" }, { "dropping-particle" : "", "family" : "Liu", "given" : "Yangyang", "non-dropping-particle" : "", "parse-names" : false, "suffix" : "" }, { "dropping-particle" : "", "family" : "Sun", "given" : "Zhen", "non-dropping-particle" : "", "parse-names" : false, "suffix" : "" }, { "dropping-particle" : "", "family" : "Geng", "given" : "Tuoyu", "non-dropping-particle" : "", "parse-names" : false, "suffix" : "" }, { "dropping-particle" : "", "family" : "Wang", "given" : "Xiaoyan", "non-dropping-particle" : "", "parse-names" : false, "suffix" : "" }, { "dropping-particle" : "", "family" : "Gao", "given" : "Bo", "non-dropping-particle" : "", "parse-names" : false, "suffix" : "" }, { "dropping-particle" : "", "family" : "Song", "given" : "Chengyi", "non-dropping-particle" : "", "parse-names" : false, "suffix" : "" }, { "dropping-particle" : "", "family" : "Qin", "given" : "Aijian", "non-dropping-particle" : "", "parse-names" : false, "suffix" : "" }, { "dropping-particle" : "", "family" : "Cui", "given" : "Hengmi", "non-dropping-particle" : "", "parse-names" : false, "suffix" : "" } ], "container-title" : "Archives of Virology", "id" : "ITEM-2", "issue" : "6", "issued" : { "date-parts" : [ [ "2016" ] ] }, "page" : "1623-1632", "publisher" : "Springer Vienna", "title" : "Expression of the env gene from the avian endogenous retrovirus ALVE and regulation by miR-155", "type" : "article-journal", "volume" : "161" }, "uris" : [ "http://www.mendeley.com/documents/?uuid=fecfc91f-ea2c-4900-aa16-be66ffa5f8f7" ] }, { "id" : "ITEM-3", "itemData" : { "DOI" : "10.1007/s00705-016-3086-2", "ISSN" : "0304-8608", "author" : [ { "dropping-particle" : "", "family" : "Hu", "given" : "Xuming", "non-dropping-particle" : "", "parse-names" : false, "suffix" : "" }, { "dropping-particle" : "", "family" : "Zhu", "given" : "Wenqi", "non-dropping-particle" : "", "parse-names" : false, "suffix" : "" }, { "dropping-particle" : "", "family" : "Chen", "given" : "Shihao", "non-dropping-particle" : "", "parse-names" : false, "suffix" : "" }, { "dropping-particle" : "", "family" : "Liu", "given" : "Yangyang", "non-dropping-particle" : "", "parse-names" : false, "suffix" : "" }, { "dropping-particle" : "", "family" : "Sun", "given" : "Zhen", "non-dropping-particle" : "", "parse-names" : false, "suffix" : "" }, { "dropping-particle" : "", "family" : "Geng", "given" : "Tuoyu", "non-dropping-particle" : "", "parse-names" : false, "suffix" : "" }, { "dropping-particle" : "", "family" : "Song", "given" : "Chengyi", "non-dropping-particle" : "", "parse-names" : false, "suffix" : "" }, { "dropping-particle" : "", "family" : "Gao", "given" : "Bo", "non-dropping-particle" : "", "parse-names" : false, "suffix" : "" }, { "dropping-particle" : "", "family" : "Wang", "given" : "Xiaoyan", "non-dropping-particle" : "", "parse-names" : false, "suffix" : "" }, { "dropping-particle" : "", "family" : "Qin", "given" : "Aijian", "non-dropping-particle" : "", "parse-names" : false, "suffix" : "" }, { "dropping-particle" : "", "family" : "Cui", "given" : "Hengmi", "non-dropping-particle" : "", "parse-names" : false, "suffix" : "" } ], "container-title" : "Archives of Virology", "id" : "ITEM-3", "issue" : "November", "issued" : { "date-parts" : [ [ "2016" ] ] }, "publisher" : "Springer Vienna", "title" : "Expression patterns of endogenous avian retrovirus ALVE1 and its response to infection with exogenous avian tumour viruses", "type" : "article-journal" }, "uris" : [ "http://www.mendeley.com/documents/?uuid=03558dbe-8bbf-45b5-a5a9-9a5f520ace74" ] } ], "mendeley" : { "formattedCitation" : "(Chang et al. 2015; Hu, Zhu, Chen, Liu, Sun, Geng, Wang, et al. 2016; Hu, Zhu, Chen, Liu, Sun, Geng, Song, et al. 2016)", "manualFormatting" : "(Chang et al. 2015; Hu et al. 2016; Hu et al. 2016a)", "plainTextFormattedCitation" : "(Chang et al. 2015; Hu, Zhu, Chen, Liu, Sun, Geng, Wang, et al. 2016; Hu, Zhu, Chen, Liu, Sun, Geng, Song, et al. 2016)", "previouslyFormattedCitation" : "(Chang et al. 2015; Hu, Zhu, Chen, Liu, Sun, Geng, Wang, et al. 2016; Hu, Zhu, Chen, Liu, Sun, Geng, Song, et al. 2016)" }, "properties" : { "noteIndex" : 0 }, "schema" : "https://github.com/citation-style-language/schema/raw/master/csl-citation.json" }</w:instrText>
      </w:r>
      <w:r w:rsidR="003A4BF9">
        <w:fldChar w:fldCharType="separate"/>
      </w:r>
      <w:r w:rsidR="003A4BF9" w:rsidRPr="003A4BF9">
        <w:rPr>
          <w:noProof/>
        </w:rPr>
        <w:t>(Chang et al. 2015; Hu</w:t>
      </w:r>
      <w:r>
        <w:rPr>
          <w:noProof/>
        </w:rPr>
        <w:t xml:space="preserve"> et al. 2016; Hu</w:t>
      </w:r>
      <w:r w:rsidR="003A4BF9" w:rsidRPr="003A4BF9">
        <w:rPr>
          <w:noProof/>
        </w:rPr>
        <w:t xml:space="preserve"> et al. 2016</w:t>
      </w:r>
      <w:r>
        <w:rPr>
          <w:noProof/>
        </w:rPr>
        <w:t>a</w:t>
      </w:r>
      <w:r w:rsidR="003A4BF9" w:rsidRPr="003A4BF9">
        <w:rPr>
          <w:noProof/>
        </w:rPr>
        <w:t>)</w:t>
      </w:r>
      <w:r w:rsidR="003A4BF9">
        <w:fldChar w:fldCharType="end"/>
      </w:r>
      <w:r w:rsidR="003A4BF9">
        <w:t xml:space="preserve">. There </w:t>
      </w:r>
      <w:r w:rsidR="00706698">
        <w:t xml:space="preserve">was also found to be </w:t>
      </w:r>
      <w:r w:rsidR="003A4BF9">
        <w:t xml:space="preserve">a significantly higher incidence of spontaneous lymphoid tumours in lines containing </w:t>
      </w:r>
      <w:r w:rsidR="00706698">
        <w:t>ALVE21 f</w:t>
      </w:r>
      <w:r w:rsidR="003A4BF9">
        <w:t xml:space="preserve">ollowing MDV vaccination </w:t>
      </w:r>
      <w:r>
        <w:fldChar w:fldCharType="begin" w:fldLock="1"/>
      </w:r>
      <w:r w:rsidR="00E67E7B">
        <w:instrText>ADDIN CSL_CITATION { "citationItems" : [ { "id" : "ITEM-1", "itemData" : { "abstract" : "Technical Abstract: The influence of endogenous subgroup E avian Leukosis virus (ALV-E) and strain SB-1 of serotype 2 Marek\u2019s disease virus (MDV) on the enhancement of spontaneous lymphoid leukosis (LL)-like tumors was studied in chickens of Avian Disease and Oncology Laboratory (ADOL) line named 0.TVB*S1, or RFS. This line of chickens lacks all endogenous virus genes and is susceptible to infection with all subgroups of ALV including subgroup E (ALV-E). The results suggest that the incidence of spontaneous LL-like tumors in chickens that harbor endogenous ALV was higher than in chickens that lack ALV-E following vaccination with serotype 2 MDV at hatch. The data suggest that both ALV-E and serotype 2 MDV play an important role in the enhancement of spontaneous LL-like tumors in certain lines of chickens.", "author" : [ { "dropping-particle" : "", "family" : "Fadly", "given" : "AM", "non-dropping-particle" : "", "parse-names" : false, "suffix" : "" }, { "dropping-particle" : "", "family" : "Mays", "given" : "JK", "non-dropping-particle" : "", "parse-names" : false, "suffix" : "" }, { "dropping-particle" : "", "family" : "Zhang", "given" : "H", "non-dropping-particle" : "", "parse-names" : false, "suffix" : "" }, { "dropping-particle" : "", "family" : "Hunt", "given" : "HD", "non-dropping-particle" : "", "parse-names" : false, "suffix" : "" } ], "container-title" : "American Veterinary Medical Association Annual Convention, July 25-29, 2014, Denver, Colorado.", "id" : "ITEM-1", "issued" : { "date-parts" : [ [ "2014" ] ] }, "page" : "Abstract No. 16756", "title" : "Role of endogenous avian leukosis virus and serotype 2 Marek\u2019s disease virus in enhancement of spontaneous lymphoid-leukosis-like tumors in chickens", "type" : "paper-conference" }, "uris" : [ "http://www.mendeley.com/documents/?uuid=4e7692f6-5f79-4168-991d-92916ce3ebe3" ] }, { "id" : "ITEM-2", "itemData" : { "DOI" : "10.1080/03079457.2014.989195", "ISBN" : "1465-3338 (Electronic)\r0307-9457 (Linking)", "ISSN" : "0307-9457", "PMID" : "25407937", "author" : [ { "dropping-particle" : "", "family" : "Cao", "given" : "Weisheng", "non-dropping-particle" : "", "parse-names" : false, "suffix" : "" }, { "dropping-particle" : "", "family" : "Mays", "given" : "Jody", "non-dropping-particle" : "", "parse-names" : false, "suffix" : "" }, { "dropping-particle" : "", "family" : "Kulkarni", "given" : "Gururaj", "non-dropping-particle" : "", "parse-names" : false, "suffix" : "" }, { "dropping-particle" : "", "family" : "Dunn", "given" : "John", "non-dropping-particle" : "", "parse-names" : false, "suffix" : "" }, { "dropping-particle" : "", "family" : "Fulton", "given" : "Richard M.", "non-dropping-particle" : "", "parse-names" : false, "suffix" : "" }, { "dropping-particle" : "", "family" : "Fadly", "given" : "Aly", "non-dropping-particle" : "", "parse-names" : false, "suffix" : "" } ], "container-title" : "Avian Pathology", "id" : "ITEM-2", "issue" : "1", "issued" : { "date-parts" : [ [ "2015" ] ] }, "page" : "23-27", "publisher" : "Taylor &amp; Francis", "title" : "Further observations on serotype 2 Marek's disease virus-induced enhancement of spontaneous avian leukosis virus-like bursal lymphomas in &lt;i&gt;ALVA6&lt;/i&gt; transgenic chickens", "type" : "article-journal", "volume" : "44" }, "uris" : [ "http://www.mendeley.com/documents/?uuid=758c14a7-0d09-4f00-a40c-7ba8b5500db5" ] } ], "mendeley" : { "formattedCitation" : "(Fadly et al. 2014; Cao et al. 2015)", "plainTextFormattedCitation" : "(Fadly et al. 2014; Cao et al. 2015)", "previouslyFormattedCitation" : "(Fadly et al. 2014; Cao et al. 2015)" }, "properties" : { "noteIndex" : 0 }, "schema" : "https://github.com/citation-style-language/schema/raw/master/csl-citation.json" }</w:instrText>
      </w:r>
      <w:r>
        <w:fldChar w:fldCharType="separate"/>
      </w:r>
      <w:r w:rsidRPr="0073391D">
        <w:rPr>
          <w:noProof/>
        </w:rPr>
        <w:t>(Fadly et al. 2014; Cao et al. 2015)</w:t>
      </w:r>
      <w:r>
        <w:fldChar w:fldCharType="end"/>
      </w:r>
      <w:r w:rsidR="003A4BF9">
        <w:t xml:space="preserve">. </w:t>
      </w:r>
      <w:r w:rsidR="00083456">
        <w:t>This extra context of biologically r</w:t>
      </w:r>
      <w:r w:rsidR="004756A0">
        <w:t>epresentative co-infection is</w:t>
      </w:r>
      <w:r w:rsidR="00083456">
        <w:t xml:space="preserve"> important as individual infections or traits are commonly only considered in isolation.</w:t>
      </w:r>
    </w:p>
    <w:p w14:paraId="0D634ACD" w14:textId="570171A7" w:rsidR="00044A11" w:rsidRDefault="00200663" w:rsidP="00391005">
      <w:pPr>
        <w:pStyle w:val="ListParagraph"/>
      </w:pPr>
      <w:r>
        <w:lastRenderedPageBreak/>
        <w:t>The range of current and future concerns makes ALVE identification and characterisation within commercial lines essential for</w:t>
      </w:r>
      <w:r w:rsidR="00E67E7B">
        <w:t xml:space="preserve"> improvements in both productivity</w:t>
      </w:r>
      <w:r>
        <w:t xml:space="preserve"> and animal welfare. This information can then be used to design new, high throughput diagnostic assays for flock genotyping to advise better selective </w:t>
      </w:r>
      <w:r w:rsidR="00E67E7B">
        <w:t xml:space="preserve">breeding programmes, or even </w:t>
      </w:r>
      <w:r w:rsidR="00DB6CC7">
        <w:t>identify</w:t>
      </w:r>
      <w:r w:rsidR="00E67E7B">
        <w:t xml:space="preserve"> targets for CRISPR/Cas9 deletions.</w:t>
      </w:r>
    </w:p>
    <w:p w14:paraId="5047DA82" w14:textId="5DC9D485" w:rsidR="00044A11" w:rsidRDefault="00044A11" w:rsidP="00391005">
      <w:pPr>
        <w:pStyle w:val="ListParagraph"/>
      </w:pPr>
    </w:p>
    <w:p w14:paraId="22EAD23A" w14:textId="2D15B543" w:rsidR="00044A11" w:rsidRDefault="00044A11" w:rsidP="00044A11">
      <w:pPr>
        <w:pStyle w:val="Heading4"/>
      </w:pPr>
      <w:r>
        <w:t>Existing methods for identification of ALVE insertions</w:t>
      </w:r>
    </w:p>
    <w:p w14:paraId="59451D4D" w14:textId="02C49A5C" w:rsidR="00EF147C" w:rsidRDefault="00E24867" w:rsidP="00391005">
      <w:pPr>
        <w:pStyle w:val="ListParagraph"/>
      </w:pPr>
      <w:r>
        <w:t>Traditionally, ALVEs were identified almost exclusivel</w:t>
      </w:r>
      <w:r w:rsidR="005D67EE">
        <w:t>y in White Leghorn (WL) chickens</w:t>
      </w:r>
      <w:r>
        <w:t xml:space="preserve"> by performing full genomic DNA digests with several restriction enzymes</w:t>
      </w:r>
      <w:r w:rsidR="00492FB4">
        <w:t>, followed by fragment</w:t>
      </w:r>
      <w:r>
        <w:t xml:space="preserve"> </w:t>
      </w:r>
      <w:r w:rsidR="00492FB4">
        <w:t xml:space="preserve">hybridisation </w:t>
      </w:r>
      <w:r>
        <w:t xml:space="preserve">to </w:t>
      </w:r>
      <w:r w:rsidR="005D67EE">
        <w:rPr>
          <w:vertAlign w:val="superscript"/>
        </w:rPr>
        <w:t>32</w:t>
      </w:r>
      <w:r w:rsidR="005D67EE">
        <w:t xml:space="preserve">P-labelled RNA from </w:t>
      </w:r>
      <w:r>
        <w:t xml:space="preserve">Rous Sarcoma virus (RSV) </w:t>
      </w:r>
      <w:r>
        <w:fldChar w:fldCharType="begin" w:fldLock="1"/>
      </w:r>
      <w:r>
        <w:instrText>ADDIN CSL_CITATION { "citationItems" : [ { "id" : "ITEM-1", "itemData" : { "DOI" : "10.1073/pnas.75.12.5941", "ISSN" : "0027-8424", "PMID" : "216003", "abstract" : "The DNAs from greater than 150 individual White Leghorn chickens were digested with restriction endonucleases BamHI, EcoRI, HindIII, and Sst I, fractionated by gel electrophoresis, denatured, and transferred to nitrocellulose filters. Fragments containing the endogenous viral genes were detected by hybridization with 70S Rous associated virus type 2[32P]RNA. Embryos of several different phenotypes with respect to production of the endogenous virus and expression of viral group-specific antigen and viral envelope protein were analyzed. DNA from birds of each phenotype produced a distinctive pattern of fragments containing viral genetic information. Individual fragments were seen to segregate as genetic loci in mating experiments. From the fragment patterns and the segregation data, the following conclusions were drawn with respect to the sites of residence in the chicken chromosome of the endogenous viral genes: (i) the DNA of all chickens contains viral genetic information in at least one site, and this site of residence appears to be the same in all chickens analyzed; (ii) four other sites have been identified, and the presence of viral information at each of these sites is always accompanied by a specific phenotype of endogenous viral gene expression; (iii) in addition to the above-mentioned five sites, a small number of other sites have been identified which are not associated with a known phenotype.", "author" : [ { "dropping-particle" : "", "family" : "Astrin", "given" : "S M", "non-dropping-particle" : "", "parse-names" : false, "suffix" : "" } ], "container-title" : "Proceedings of the National Academy of Sciences of the United States of America", "id" : "ITEM-1", "issue" : "12", "issued" : { "date-parts" : [ [ "1978" ] ] }, "page" : "5941-5945", "title" : "Endogenous viral genes of the White Leghorn chicken: common site of residence and sites associated with specific phenotypes of viral gene expression.", "type" : "article-journal", "volume" : "75" }, "uris" : [ "http://www.mendeley.com/documents/?uuid=8c39900a-ed8c-418f-8f7a-eaf0aed774fd" ] } ], "mendeley" : { "formattedCitation" : "(Astrin 1978)", "plainTextFormattedCitation" : "(Astrin 1978)", "previouslyFormattedCitation" : "(Astrin 1978)" }, "properties" : { "noteIndex" : 0 }, "schema" : "https://github.com/citation-style-language/schema/raw/master/csl-citation.json" }</w:instrText>
      </w:r>
      <w:r>
        <w:fldChar w:fldCharType="separate"/>
      </w:r>
      <w:r w:rsidRPr="00E24867">
        <w:rPr>
          <w:noProof/>
        </w:rPr>
        <w:t>(Astrin 1978)</w:t>
      </w:r>
      <w:r>
        <w:fldChar w:fldCharType="end"/>
      </w:r>
      <w:r>
        <w:t>.</w:t>
      </w:r>
      <w:r w:rsidR="00492FB4">
        <w:t xml:space="preserve"> This generated band size patterns specific to known ALVEs.</w:t>
      </w:r>
      <w:r>
        <w:t xml:space="preserve"> As WLs generally have few ALVEs </w:t>
      </w:r>
      <w:r>
        <w:fldChar w:fldCharType="begin" w:fldLock="1"/>
      </w:r>
      <w:r>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fldChar w:fldCharType="separate"/>
      </w:r>
      <w:r w:rsidRPr="00E24867">
        <w:rPr>
          <w:noProof/>
        </w:rPr>
        <w:t>(Benkel 1998)</w:t>
      </w:r>
      <w:r>
        <w:fldChar w:fldCharType="end"/>
      </w:r>
      <w:r>
        <w:t xml:space="preserve">, </w:t>
      </w:r>
      <w:r>
        <w:rPr>
          <w:i/>
        </w:rPr>
        <w:t>in situ</w:t>
      </w:r>
      <w:r>
        <w:t xml:space="preserve"> hybridisation with RSV RNA probes often yielded general genomic locations. In addition, each analysed line had known phenotypes for ALVE </w:t>
      </w:r>
      <w:r w:rsidRPr="003A2411">
        <w:rPr>
          <w:i/>
        </w:rPr>
        <w:t>gag</w:t>
      </w:r>
      <w:r>
        <w:t xml:space="preserve"> and </w:t>
      </w:r>
      <w:r w:rsidRPr="003A2411">
        <w:rPr>
          <w:i/>
        </w:rPr>
        <w:t>envelope</w:t>
      </w:r>
      <w:r>
        <w:t xml:space="preserve"> expression which could then be assigned directly to individual ALVE insertions </w:t>
      </w:r>
      <w:r>
        <w:fldChar w:fldCharType="begin" w:fldLock="1"/>
      </w:r>
      <w:r>
        <w:instrText>ADDIN CSL_CITATION { "citationItems" : [ { "id" : "ITEM-1", "itemData" : { "author" : [ { "dropping-particle" : "", "family" : "Astrin", "given" : "S M", "non-dropping-particle" : "", "parse-names" : false, "suffix" : "" }, { "dropping-particle" : "", "family" : "Robinson", "given" : "HL", "non-dropping-particle" : "", "parse-names" : false, "suffix" : "" } ], "container-title" : "Journal of Virology", "id" : "ITEM-1", "issue" : "2", "issued" : { "date-parts" : [ [ "1979" ] ] }, "page" : "420-425", "title" : "Gs , an Allele of Chickens for Endogenous Avian Leukosis Viral Antigens , Segregates with ev 3 , a Genetic Locus That Contains Structural Genes for Virus", "type" : "article-journal", "volume" : "31" }, "uris" : [ "http://www.mendeley.com/documents/?uuid=92f6d6ca-888f-4afb-8649-ebb63e87da5b" ] } ], "mendeley" : { "formattedCitation" : "(Astrin &amp; Robinson 1979)", "plainTextFormattedCitation" : "(Astrin &amp; Robinson 1979)", "previouslyFormattedCitation" : "(Astrin &amp; Robinson 1979)" }, "properties" : { "noteIndex" : 0 }, "schema" : "https://github.com/citation-style-language/schema/raw/master/csl-citation.json" }</w:instrText>
      </w:r>
      <w:r>
        <w:fldChar w:fldCharType="separate"/>
      </w:r>
      <w:r w:rsidRPr="00E24867">
        <w:rPr>
          <w:noProof/>
        </w:rPr>
        <w:t>(Astrin &amp; Robinson 1979)</w:t>
      </w:r>
      <w:r>
        <w:fldChar w:fldCharType="end"/>
      </w:r>
      <w:r>
        <w:t>. These methods were laborious, but did enable the identificati</w:t>
      </w:r>
      <w:r w:rsidR="00615648">
        <w:t>on of twenty-three</w:t>
      </w:r>
      <w:r w:rsidR="00EF147C">
        <w:t xml:space="preserve"> </w:t>
      </w:r>
      <w:r w:rsidR="00DB6CC7">
        <w:t>A</w:t>
      </w:r>
      <w:r w:rsidR="005D18CE">
        <w:t>LVEs in WLs and a further twenty to twenty</w:t>
      </w:r>
      <w:r w:rsidR="00DB6CC7">
        <w:t>-five</w:t>
      </w:r>
      <w:r>
        <w:t xml:space="preserve"> once the methodology was expanded to other chicken breeds</w:t>
      </w:r>
      <w:r w:rsidR="00492FB4">
        <w:t xml:space="preserve"> including commercial broilers</w:t>
      </w:r>
      <w:r>
        <w:t xml:space="preserve"> </w:t>
      </w:r>
      <w:r>
        <w:fldChar w:fldCharType="begin" w:fldLock="1"/>
      </w:r>
      <w:r w:rsidR="00164EC5">
        <w:instrText>ADDIN CSL_CITATION { "citationItems" : [ { "id" : "ITEM-1", "itemData" : { "DOI" : "10.3382/ps.0711259", "ISSN" : "0032-5791", "abstract" : "The present study was designed to document the complexity of endogenous viral (ev) genes and seek evidence for their association with production traits in selected and control strains of meat-type chickens. Three populations were studied, each consisting of a control strain and one to three strains selected for various production traits. The ev genes were revealed by digesting genomic DNA with restriction enzymes and detecting DNA fragments on Southern blots using radioactive probes from nucleotide sequences of the avian leukosis virus genome. A total of 31 polymorphic ev loci were identified in these populations from a SacI digest, with an average of 7.3 ev genes per bird. There were no significant differences in ev genes per bird between strains within populations or between selected and control strains overall. Thirty of 62 comparisons in the three populations indicated ev gene frequency differences (P &lt; .05). Within populations, 13 of 93 comparisons of ev gene frequencies between control and selected strains and 8 of 62 between three selected strains of a sire population showed such differences (P &lt; .05). Selection for body weight and feed efficiency had been observed to reduce gene frequencies of the slow-feathering gene, which usually contains the ev21 locus; however, these effects were not detected (.05 &lt; P &lt; .06) between strains of the dam population in the current study. Such differences suggested possible associations between ev genes and production traits in meat-type chickens.", "author" : [ { "dropping-particle" : "", "family" : "Sabour", "given" : "M. P.", "non-dropping-particle" : "", "parse-names" : false, "suffix" : "" }, { "dropping-particle" : "", "family" : "Chambers", "given" : "J. R.", "non-dropping-particle" : "", "parse-names" : false, "suffix" : "" }, { "dropping-particle" : "", "family" : "Grunder", "given" : "A. A.", "non-dropping-particle" : "", "parse-names" : false, "suffix" : "" }, { "dropping-particle" : "", "family" : "Kuhnlein", "given" : "U.", "non-dropping-particle" : "", "parse-names" : false, "suffix" : "" }, { "dropping-particle" : "", "family" : "Gavora", "given" : "J. S.", "non-dropping-particle" : "", "parse-names" : false, "suffix" : "" } ], "container-title" : "Poultry Science", "id" : "ITEM-1", "issue" : "8", "issued" : { "date-parts" : [ [ "1992", "8", "1" ] ] }, "note" : "Identified 31 polymorphic ev loci -&amp;gt; average of 7.3 loci per bird -&amp;gt; identified using SacI digests.\nMost studies focus on the inbred white leghorn line (about 22/23 ev loci) but ev diversity is also known to be high in other birds.\nThis paper looks at meat chickens and whether there is an association between ev genes and production traits.\nExact levels of diversity unknown as digested bands are assumed to be different ev loci rather than accepting the possibility of other influencing indels etc, which may affect band size of what is the same locus.\nThey observe lots of ev loci but cannot associate results with certain traits of interest because the sample size is too small - needed to increase the power.", "page" : "1259-1270", "title" : "Endogenous Viral Gene Distribution in Populations of Meat-Type Chickens", "type" : "article-journal", "volume" : "71" }, "uris" : [ "http://www.mendeley.com/documents/?uuid=ee1c72f5-843c-4581-aa11-c7425ca2b763" ] }, { "id" : "ITEM-2",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"ITEM-2",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"id" : "ITEM-3", "itemData" : { "ISSN" : "0005-2086", "PMID" : "18939631", "abstract" : "Endogenous avian leukosis virus (ALVE) and the ALVE receptor (TVB*S1) status of six commercial chicken lines supplying specific-pathogen-free eggs were analyzed. All commercial chicken lines are certified free of the avian leukosis virus (ALV) by screening for expression of the p27 protein using the standard enzyme-linked immunosorbent assay. The commercial chicken lines A, E, and F contained replication competent ALVE inserts. Line A was fixed for ALVE21, and lines E and F were segregating for ALVE10. In addition, ALVE1 was detected in all the chicken lines. Chicken lines B, D, and F were essentially fixed for the TVB*S1 allele that confers susceptibility to ALVE, whereas lines A, C, B, and E were resistant, containing either the TVB*S3 or TVB*R alleles. The results show that lines selected to be ALV p27 negative give rise to two different genotypes. One genotype lacks the TVB*S1 receptor for ALVE. Chicken lines with the TVB*S1 negative genotype can retain replication competent endogenous virus inserts such as ALVE2, 10, or 21 and still display the p27 negative phenotype. These replication competent ALVE viruses are phenotypically p27 negative in the absence of the TVB*S1 receptor because their chromosomal integration sites restrict transcription and subsequent production of the p27 protein and virus particles to levels below the detection limit. If the TVB*S1 receptor is present, the limited production of ALVE virus particles reinfects and integrates into more productive chromosomal locations in the cell. Increased production of infective virus particles and detectable levels of p27 follow this reinfection and integration into more active regions of the cells genome. The other genotype observed in the commercial lines retains the ALVE receptor (TVB*S1) but either lacks replication competent inserts or expresses the envelope encoded protein from defective inserts such as ALVE3 or ALVE6. In this phenotype, the env-coded glycoprotein encoded by the defective inserts binds to the TVB*S1 receptor and blocks the reinfection of the replication competent ALVE virus. This receptor interference stops reinfection and subsequent production of detectable virus particles and the p27 protein. Mixtures of different p27 negative phenotypes can result in the p27 positive phenotype and ALVE virus production. For example, mixtures of ALVE receptor positive (TVB*S1) but ALVE negative (p27 negative and envelope negative) chick embryo fibroblasts (CEFs) with fibroblasts tha\u2026", "author" : [ { "dropping-particle" : "", "family" : "Hunt", "given" : "Henry", "non-dropping-particle" : "", "parse-names" : false, "suffix" : "" }, { "dropping-particle" : "", "family" : "Fadly", "given" : "Aly", "non-dropping-particle" : "", "parse-names" : false, "suffix" : "" }, { "dropping-particle" : "", "family" : "Silva", "given" : "Robert", "non-dropping-particle" : "", "parse-names" : false, "suffix" : "" }, { "dropping-particle" : "", "family" : "Zhang", "given" : "Huanmin", "non-dropping-particle" : "", "parse-names" : false, "suffix" : "" } ], "container-title" : "Avian diseases", "id" : "ITEM-3", "issue" : "3", "issued" : { "date-parts" : [ [ "2008", "9" ] ] }, "note" : "Good introduction on the general state of different ERV types.\n\n\nTVB* genetic complex includes the three ALV receptors for types B, D and E. TVB*S1 is the allele sensitive to ALVE, both TVB*S3 and TVB*R are resistant alleles.\nChickens with ev21 and TVB*S3 produce no p27 - the virus is effectively silence. In the lines with the TVB*S1 the virus is seen at higher levels and p27 can be detected by the commercial standard ELISA. However, this relationship becomes more complex due to other ev loci effects - the presence of ev3 (for example) will block the effect in TVB*S1 chickens so that the p27 is non-detectable.\n\n\nALVE is essentially innocuous as the LTRs are very weak promoters. Danger comes from the potential recombination with exogenous ALV.", "page" : "433-40", "title" : "Survey of endogenous virus and TVB* receptor status of commercial chicken stocks supplying specific-pathogen-free eggs.", "type" : "article-journal", "volume" : "52" }, "uris" : [ "http://www.mendeley.com/documents/?uuid=43048487-c1d9-4078-aba6-9152ed4ea995" ] } ], "mendeley" : { "formattedCitation" : "(Sabour et al. 1992; Benkel 1998; Hunt et al. 2008)", "plainTextFormattedCitation" : "(Sabour et al. 1992; Benkel 1998; Hunt et al. 2008)", "previouslyFormattedCitation" : "(Sabour et al. 1992; Benkel 1998; Hunt et al. 2008)" }, "properties" : { "noteIndex" : 0 }, "schema" : "https://github.com/citation-style-language/schema/raw/master/csl-citation.json" }</w:instrText>
      </w:r>
      <w:r>
        <w:fldChar w:fldCharType="separate"/>
      </w:r>
      <w:r w:rsidR="00615648" w:rsidRPr="00615648">
        <w:rPr>
          <w:noProof/>
        </w:rPr>
        <w:t>(Sabour et al. 1992; Benkel 1998; Hunt et al. 2008)</w:t>
      </w:r>
      <w:r>
        <w:fldChar w:fldCharType="end"/>
      </w:r>
      <w:r>
        <w:t xml:space="preserve">. </w:t>
      </w:r>
    </w:p>
    <w:p w14:paraId="0E77E7F4" w14:textId="16B8C1E3" w:rsidR="003A2411" w:rsidRDefault="00E24867" w:rsidP="00391005">
      <w:pPr>
        <w:pStyle w:val="ListParagraph"/>
      </w:pPr>
      <w:r>
        <w:t>The specificity of this detection method improved with the availability of a chicken reference genome, as primers could be designed to amplify the restriction enzyme digest fragments for sequencing</w:t>
      </w:r>
      <w:r w:rsidR="003A2411">
        <w:t>. This enabled</w:t>
      </w:r>
      <w:r>
        <w:t xml:space="preserve"> identification of exact genomic coordinates</w:t>
      </w:r>
      <w:r w:rsidR="003A2411">
        <w:t xml:space="preserve"> for the</w:t>
      </w:r>
      <w:r w:rsidR="00EF147C">
        <w:t xml:space="preserve"> insertion</w:t>
      </w:r>
      <w:r>
        <w:t xml:space="preserve"> </w:t>
      </w:r>
      <w:r>
        <w:fldChar w:fldCharType="begin" w:fldLock="1"/>
      </w:r>
      <w:r>
        <w:instrText>ADDIN CSL_CITATION { "citationItems" : [ { "id" : "ITEM-1", "itemData" : { "DOI" : "10.3382/ps.2009-00148", "ISSN" : "0032-5791", "PMID" : "19590071", "abstract" : "During the course of evolution, vertebrate genomes have been invaded and colonized by retroviruses. In humans, for example, endogenous retroviruses (long terminal repeat elements) occupy roughly twice as much sequence space as essential genes. There are numerous reports in the literature implicating endogenous proviruses in the modulation of host physiology. The fact that many of these host-virus interactions take place in a proviral locus-specific manner speaks to the need for rapid assays for element profiling. This report deals with the identification of novel elements belonging to a family of endogenous retroviruses, designated ALVE, that reside in the genome of the chicken and that are closely related to exogenous avian leukosis viruses. The study of ALVE elements in the chicken genome serves as a model system for understanding the interplay between endogenous viruses and their vertebrate hosts in general, including humans. In this report, we present locus-specific, diagnostic PCR-based assays for 2 novel ALVE elements. In addition, we characterize the proviral structures and examine the genomic environments of both novel elements along with a previously described element known as ALVE-NSAC-3.", "author" : [ { "dropping-particle" : "", "family" : "Smith", "given" : "a", "non-dropping-particle" : "", "parse-names" : false, "suffix" : "" }, { "dropping-particle" : "", "family" : "Benkel", "given" : "B F", "non-dropping-particle" : "", "parse-names" : false, "suffix" : "" } ], "container-title" : "Poultry science", "id" : "ITEM-1", "issued" : { "date-parts" : [ [ "2009" ] ] }, "page" : "1580-1585", "title" : "Novel avian leukosis virus-related endogenous proviruses from layer chickens: characterization and development of locus-specific assays.", "type" : "article-journal", "volume" : "88" }, "uris" : [ "http://www.mendeley.com/documents/?uuid=1db1caf6-a2e6-4b6f-ac69-9d3ee32e63d0" ] } ], "mendeley" : { "formattedCitation" : "(Smith &amp; Benkel 2009b)", "manualFormatting" : "(Smith &amp; Benkel 2009)", "plainTextFormattedCitation" : "(Smith &amp; Benkel 2009b)", "previouslyFormattedCitation" : "(Smith &amp; Benkel 2009b)" }, "properties" : { "noteIndex" : 0 }, "schema" : "https://github.com/citation-style-language/schema/raw/master/csl-citation.json" }</w:instrText>
      </w:r>
      <w:r>
        <w:fldChar w:fldCharType="separate"/>
      </w:r>
      <w:r>
        <w:rPr>
          <w:noProof/>
        </w:rPr>
        <w:t>(Smith &amp; Benkel 2009</w:t>
      </w:r>
      <w:r w:rsidRPr="00E24867">
        <w:rPr>
          <w:noProof/>
        </w:rPr>
        <w:t>)</w:t>
      </w:r>
      <w:r>
        <w:fldChar w:fldCharType="end"/>
      </w:r>
      <w:r>
        <w:t xml:space="preserve">. </w:t>
      </w:r>
      <w:r w:rsidR="00EF147C">
        <w:t xml:space="preserve">Further improvements were predicted with the cost-effective availability of </w:t>
      </w:r>
      <w:r w:rsidR="003A2411">
        <w:t>short read</w:t>
      </w:r>
      <w:r w:rsidR="00571BCC">
        <w:t xml:space="preserve"> </w:t>
      </w:r>
      <w:r w:rsidR="00083395">
        <w:t>whole genome</w:t>
      </w:r>
      <w:r w:rsidR="00EF147C">
        <w:t xml:space="preserve"> </w:t>
      </w:r>
      <w:r w:rsidR="00083395">
        <w:t>(re)sequencing (W</w:t>
      </w:r>
      <w:r w:rsidR="00EF147C">
        <w:t>GS) data</w:t>
      </w:r>
      <w:r w:rsidR="00F01CCD">
        <w:t>.</w:t>
      </w:r>
      <w:r w:rsidR="00EF147C">
        <w:t xml:space="preserve"> </w:t>
      </w:r>
      <w:r w:rsidR="00571BCC">
        <w:t xml:space="preserve">As hypothesised, </w:t>
      </w:r>
      <w:r w:rsidR="00EF147C">
        <w:t xml:space="preserve">this data facilitated identification of huge numbers of </w:t>
      </w:r>
      <w:r w:rsidR="00F01CCD">
        <w:t>single nucleotide polymorphisms (</w:t>
      </w:r>
      <w:r w:rsidR="00EF147C">
        <w:t>SNPs</w:t>
      </w:r>
      <w:r w:rsidR="00F01CCD">
        <w:t>)</w:t>
      </w:r>
      <w:r w:rsidR="00EF147C">
        <w:t xml:space="preserve"> across various chicken lines </w:t>
      </w:r>
      <w:r w:rsidR="00EF147C">
        <w:fldChar w:fldCharType="begin" w:fldLock="1"/>
      </w:r>
      <w:r w:rsidR="00F01CCD">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"plainTextFormattedCitation" : "(Kranis et al. 2013)", "previouslyFormattedCitation" : "(Kranis et al. 2013)" }, "properties" : { "noteIndex" : 0 }, "schema" : "https://github.com/citation-style-language/schema/raw/master/csl-citation.json" }</w:instrText>
      </w:r>
      <w:r w:rsidR="00EF147C">
        <w:fldChar w:fldCharType="separate"/>
      </w:r>
      <w:r w:rsidR="00EF147C" w:rsidRPr="00EF147C">
        <w:rPr>
          <w:noProof/>
        </w:rPr>
        <w:t>(Kranis et al. 2013)</w:t>
      </w:r>
      <w:r w:rsidR="00EF147C">
        <w:fldChar w:fldCharType="end"/>
      </w:r>
      <w:r w:rsidR="00DB6CC7">
        <w:t>. L</w:t>
      </w:r>
      <w:r w:rsidR="00EF147C">
        <w:t>arger structural variants (SVs)</w:t>
      </w:r>
      <w:r w:rsidR="00F01CCD">
        <w:t>, particularly</w:t>
      </w:r>
      <w:r w:rsidR="00492FB4">
        <w:t xml:space="preserve"> transposable</w:t>
      </w:r>
      <w:r w:rsidR="00F01CCD">
        <w:t xml:space="preserve"> element copy number variants (CNVs),</w:t>
      </w:r>
      <w:r w:rsidR="00EF147C">
        <w:t xml:space="preserve"> could not be detected so easily</w:t>
      </w:r>
      <w:r w:rsidR="00571BCC">
        <w:t xml:space="preserve">, usually requiring the identification of incongruent read mapping </w:t>
      </w:r>
      <w:r w:rsidR="003A2411">
        <w:t xml:space="preserve">events </w:t>
      </w:r>
      <w:r w:rsidR="00571BCC">
        <w:t>relative to the reference genome</w:t>
      </w:r>
      <w:r w:rsidR="00F01CCD">
        <w:t xml:space="preserve"> </w:t>
      </w:r>
      <w:r w:rsidR="00F01CCD">
        <w:fldChar w:fldCharType="begin" w:fldLock="1"/>
      </w:r>
      <w:r w:rsidR="00F01CCD">
        <w:instrText>ADDIN CSL_CITATION { "citationItems" : [ { "id" : "ITEM-1", "itemData" : { "DOI" : "10.1038/nrg2958", "ISBN" : "1471-0064 (Electronic)\\n1471-0056 (Linking)", "ISSN" : "1471-0064", "PMID" : "21358748", "abstract" : "Comparisons of human genomes show that more base pairs are altered as a result of structural variation - including copy number variation - than as a result of point mutations. Here we review advances and challenges in the discovery and genotyping of structural variation. The recent application of massively parallel sequencing methods has complemented microarray-based methods and has led to an exponential increase in the discovery of smaller structural-variation events. Some global discovery biases remain, but the integration of experimental and computational approaches is proving fruitful for accurate characterization of the copy, content and structure of variable regions. We argue that the long-term goal should be routine, cost-effective and high quality de novo assembly of human genomes to comprehensively assess all classes of structural variation.", "author" : [ { "dropping-particle" : "", "family" : "Alkan", "given" : "Can", "non-dropping-particle" : "", "parse-names" : false, "suffix" : "" }, { "dropping-particle" : "", "family" : "Coe", "given" : "Bradley P", "non-dropping-particle" : "", "parse-names" : false, "suffix" : "" }, { "dropping-particle" : "", "family" : "Eichler", "given" : "Evan E", "non-dropping-particle" : "", "parse-names" : false, "suffix" : "" } ], "container-title" : "Nature reviews. Genetics", "id" : "ITEM-1", "issue" : "5", "issued" : { "date-parts" : [ [ "2011" ] ] }, "page" : "363-76", "title" : "Genome structural variation discovery and genotyping.", "type" : "article-journal", "volume" : "12" }, "uris" : [ "http://www.mendeley.com/documents/?uuid=95ee2af2-f708-441c-bbef-e67f2708a2d6" ] } ], "mendeley" : { "formattedCitation" : "(Alkan et al. 2011)", "plainTextFormattedCitation" : "(Alkan et al. 2011)", "previouslyFormattedCitation" : "(Alkan et al. 2011)" }, "properties" : { "noteIndex" : 0 }, "schema" : "https://github.com/citation-style-language/schema/raw/master/csl-citation.json" }</w:instrText>
      </w:r>
      <w:r w:rsidR="00F01CCD">
        <w:fldChar w:fldCharType="separate"/>
      </w:r>
      <w:r w:rsidR="00F01CCD" w:rsidRPr="00F01CCD">
        <w:rPr>
          <w:noProof/>
        </w:rPr>
        <w:t>(Alkan et al. 2011)</w:t>
      </w:r>
      <w:r w:rsidR="00F01CCD">
        <w:fldChar w:fldCharType="end"/>
      </w:r>
      <w:r w:rsidR="00F01CCD">
        <w:t xml:space="preserve">. </w:t>
      </w:r>
      <w:r w:rsidR="00571BCC">
        <w:t>However, incongruent read mapping is relatively common, especially when assemblies are</w:t>
      </w:r>
      <w:r w:rsidR="003A2411">
        <w:t xml:space="preserve"> incomplete and </w:t>
      </w:r>
      <w:r w:rsidR="00571BCC">
        <w:t>repetitive sections of the genome remain poorly resolved</w:t>
      </w:r>
      <w:r w:rsidR="003A2411">
        <w:t>.</w:t>
      </w:r>
      <w:r w:rsidR="00571BCC">
        <w:t xml:space="preserve"> </w:t>
      </w:r>
    </w:p>
    <w:p w14:paraId="1A2FCB7D" w14:textId="2C7FC7FD" w:rsidR="00571BCC" w:rsidRDefault="00571BCC" w:rsidP="00391005">
      <w:pPr>
        <w:pStyle w:val="ListParagraph"/>
      </w:pPr>
      <w:r>
        <w:lastRenderedPageBreak/>
        <w:t xml:space="preserve">Unfortunately, </w:t>
      </w:r>
      <w:r>
        <w:rPr>
          <w:i/>
        </w:rPr>
        <w:t>de novo</w:t>
      </w:r>
      <w:r>
        <w:t xml:space="preserve"> assemblies </w:t>
      </w:r>
      <w:r w:rsidR="00F01CCD">
        <w:t>from short read technology are</w:t>
      </w:r>
      <w:r w:rsidR="003A2411">
        <w:t xml:space="preserve"> not the solution, as they are</w:t>
      </w:r>
      <w:r w:rsidR="00F01CCD">
        <w:t xml:space="preserve"> limited by their inability to assemble through repeated regions greater than </w:t>
      </w:r>
      <w:r w:rsidR="003A2411">
        <w:t>1 kb.  R</w:t>
      </w:r>
      <w:r>
        <w:t xml:space="preserve">epetitive element insertions generally </w:t>
      </w:r>
      <w:r w:rsidR="003A2411">
        <w:t>‘</w:t>
      </w:r>
      <w:r>
        <w:t>collapse</w:t>
      </w:r>
      <w:r w:rsidR="003A2411">
        <w:t>’</w:t>
      </w:r>
      <w:r>
        <w:t xml:space="preserve">, with all element-homologous reads mapping to a single assembled region. Long read sequencing technology, such as PacBio, now generates high throughput data with reads long enough to sequence through most repeat classes. Whilst these technologies are now becoming more commonplace, most sequencing projects have been completed with short read technology, </w:t>
      </w:r>
      <w:r w:rsidR="00411A53">
        <w:t>and</w:t>
      </w:r>
      <w:r w:rsidR="003A2411">
        <w:t>,</w:t>
      </w:r>
      <w:r w:rsidR="00411A53">
        <w:t xml:space="preserve"> consequently, have not been mined fully for their structural variants.</w:t>
      </w:r>
    </w:p>
    <w:p w14:paraId="792B8957" w14:textId="2D59A751" w:rsidR="00100E31" w:rsidRPr="00411A53" w:rsidRDefault="003A2411" w:rsidP="00391005">
      <w:pPr>
        <w:pStyle w:val="ListParagraph"/>
      </w:pPr>
      <w:r>
        <w:t>Discove</w:t>
      </w:r>
      <w:r w:rsidR="00083395">
        <w:t>ry of novel chicken ALVEs from W</w:t>
      </w:r>
      <w:r>
        <w:t>GS data faces the</w:t>
      </w:r>
      <w:r w:rsidR="006A1D14">
        <w:t>se</w:t>
      </w:r>
      <w:r>
        <w:t xml:space="preserve"> same issues. T</w:t>
      </w:r>
      <w:r w:rsidR="00411A53">
        <w:t xml:space="preserve">he </w:t>
      </w:r>
      <w:r w:rsidR="00F01CCD">
        <w:t>Galgal5 refere</w:t>
      </w:r>
      <w:r w:rsidR="00244F90">
        <w:t>nce genome con</w:t>
      </w:r>
      <w:r w:rsidR="00100E31">
        <w:t xml:space="preserve">tains two ALVEs: </w:t>
      </w:r>
      <w:r w:rsidR="00244F90">
        <w:t>ALVE-RJF on chromosome 1 and the partially assem</w:t>
      </w:r>
      <w:r w:rsidR="00177E66">
        <w:t>bled ALVE6</w:t>
      </w:r>
      <w:r w:rsidR="00F01CCD">
        <w:t xml:space="preserve"> </w:t>
      </w:r>
      <w:r w:rsidR="00F01CCD">
        <w:fldChar w:fldCharType="begin" w:fldLock="1"/>
      </w:r>
      <w:r w:rsidR="00411A53">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rsidR="00F01CCD">
        <w:fldChar w:fldCharType="separate"/>
      </w:r>
      <w:r w:rsidR="00F01CCD" w:rsidRPr="00F01CCD">
        <w:rPr>
          <w:noProof/>
        </w:rPr>
        <w:t>(Benkel &amp; Rutherford 2014)</w:t>
      </w:r>
      <w:r w:rsidR="00F01CCD">
        <w:fldChar w:fldCharType="end"/>
      </w:r>
      <w:r w:rsidR="00F01CCD">
        <w:t>.</w:t>
      </w:r>
      <w:r w:rsidR="00244F90">
        <w:t xml:space="preserve"> </w:t>
      </w:r>
      <w:r w:rsidR="00083395">
        <w:t>When WGS data is</w:t>
      </w:r>
      <w:r w:rsidR="006A1D14">
        <w:t xml:space="preserve"> mapped to the reference genome, all </w:t>
      </w:r>
      <w:r w:rsidR="00100E31">
        <w:t>ALVE-homologous sequences map to the assembled ALVE-RJF. Only reads</w:t>
      </w:r>
      <w:r w:rsidR="006A1D14">
        <w:t xml:space="preserve"> that map to the very edge of ALVE-RJF, or</w:t>
      </w:r>
      <w:r w:rsidR="00100E31">
        <w:t xml:space="preserve"> who</w:t>
      </w:r>
      <w:r w:rsidR="00604D77">
        <w:t>’</w:t>
      </w:r>
      <w:r w:rsidR="00100E31">
        <w:t xml:space="preserve">s </w:t>
      </w:r>
      <w:r w:rsidR="00DD4AF3">
        <w:t xml:space="preserve">read </w:t>
      </w:r>
      <w:r w:rsidR="00100E31">
        <w:t>pair ma</w:t>
      </w:r>
      <w:r w:rsidR="00DD4AF3">
        <w:t>ps to ‘true’</w:t>
      </w:r>
      <w:r w:rsidR="00100E31">
        <w:t xml:space="preserve"> </w:t>
      </w:r>
      <w:r w:rsidR="00DD4AF3">
        <w:t xml:space="preserve">chicken </w:t>
      </w:r>
      <w:r w:rsidR="00100E31">
        <w:t>genomic DNA</w:t>
      </w:r>
      <w:r w:rsidR="006A1D14">
        <w:t xml:space="preserve">, </w:t>
      </w:r>
      <w:r w:rsidR="00DD4AF3">
        <w:t>pro</w:t>
      </w:r>
      <w:r w:rsidR="00083395">
        <w:t>vide</w:t>
      </w:r>
      <w:r w:rsidR="00DD4AF3">
        <w:t xml:space="preserve"> novel insertion</w:t>
      </w:r>
      <w:r w:rsidR="00083395">
        <w:t xml:space="preserve"> position</w:t>
      </w:r>
      <w:r w:rsidR="00100E31">
        <w:t>s. However, detection of these insertion junction</w:t>
      </w:r>
      <w:r w:rsidR="00DD4AF3">
        <w:t xml:space="preserve">s </w:t>
      </w:r>
      <w:r w:rsidR="00100E31">
        <w:t>is heavily dependent on genome coverage.</w:t>
      </w:r>
    </w:p>
    <w:p w14:paraId="511D4974" w14:textId="605E23C8" w:rsidR="00F04AD1" w:rsidRDefault="008903CB" w:rsidP="00391005">
      <w:pPr>
        <w:pStyle w:val="ListParagraph"/>
      </w:pPr>
      <w:r>
        <w:t>In an effort to improve cove</w:t>
      </w:r>
      <w:r w:rsidR="00083395">
        <w:t xml:space="preserve">rage of insert junction sites, </w:t>
      </w:r>
      <w:r>
        <w:t xml:space="preserve">protocols have been developed which echo the hybridisation strategies </w:t>
      </w:r>
      <w:r w:rsidR="005D67EE">
        <w:t>of</w:t>
      </w:r>
      <w:r>
        <w:t xml:space="preserve"> traditional repeat identification. These ‘target capture’ sequencing projects use repeat sequences to form a ‘bait panel’ for sheared genomic DNA. Bound DNA fragments are then sequenced to high coverage and the resultant data mapped to the reference genome. This has been used successfully with other retrotransposon classes such as human L1 elements </w:t>
      </w:r>
      <w:r>
        <w:fldChar w:fldCharType="begin" w:fldLock="1"/>
      </w:r>
      <w:r>
        <w:instrText>ADDIN CSL_CITATION { "citationItems" : [ { "id" : "ITEM-1", "itemData" : { "DOI" : "10.1038/nature10531", "ISSN" : "1476-4687", "PMID" : "22037309", "abstract" : "Retrotransposons are mobile genetic elements that use a germline 'copy-and-paste' mechanism to spread throughout metazoan genomes. At least 50 per cent of the human genome is derived from retrotransposons, with three active families (L1, Alu and SVA) associated with insertional mutagenesis and disease. Epigenetic and post-transcriptional suppression block retrotransposition in somatic cells, excluding early embryo development and some malignancies. Recent reports of L1 expression and copy number variation in the human brain suggest that L1 mobilization may also occur during later development. However, the corresponding integration sites have not been mapped. Here we apply a high-throughput method to identify numerous L1, Alu and SVA germline mutations, as well as 7,743 putative somatic L1 insertions, in the hippocampus and caudate nucleus of three individuals. Surprisingly, we also found 13,692 somatic Alu insertions and 1,350 SVA insertions. Our results demonstrate that retrotransposons mobilize to protein-coding genes differentially expressed and active in the brain. Thus, somatic genome mosaicism driven by retrotransposition may reshape the genetic circuitry that underpins normal and abnormal neurobiological processes.", "author" : [ { "dropping-particle" : "", "family" : "Baillie", "given" : "J Kenneth", "non-dropping-particle" : "", "parse-names" : false, "suffix" : "" }, { "dropping-particle" : "", "family" : "Barnett", "given" : "Mark W", "non-dropping-particle" : "", "parse-names" : false, "suffix" : "" }, { "dropping-particle" : "", "family" : "Upton", "given" : "Kyle R", "non-dropping-particle" : "", "parse-names" : false, "suffix" : "" }, { "dropping-particle" : "", "family" : "Gerhardt", "given" : "Daniel J", "non-dropping-particle" : "", "parse-names" : false, "suffix" : "" }, { "dropping-particle" : "", "family" : "Richmond", "given" : "Todd a", "non-dropping-particle" : "", "parse-names" : false, "suffix" : "" }, { "dropping-particle" : "", "family" : "Sapio", "given" : "Fioravante", "non-dropping-particle" : "De", "parse-names" : false, "suffix" : "" }, { "dropping-particle" : "", "family" : "Brennan", "given" : "Paul M", "non-dropping-particle" : "", "parse-names" : false, "suffix" : "" }, { "dropping-particle" : "", "family" : "Rizzu", "given" : "Patrizia", "non-dropping-particle" : "", "parse-names" : false, "suffix" : "" }, { "dropping-particle" : "", "family" : "Smith", "given" : "Sarah", "non-dropping-particle" : "", "parse-names" : false, "suffix" : "" }, { "dropping-particle" : "", "family" : "Fell", "given" : "Mark", "non-dropping-particle" : "", "parse-names" : false, "suffix" : "" }, { "dropping-particle" : "", "family" : "Talbot", "given" : "Richard T", "non-dropping-particle" : "", "parse-names" : false, "suffix" : "" }, { "dropping-particle" : "", "family" : "Gustincich", "given" : "Stefano", "non-dropping-particle" : "", "parse-names" : false, "suffix" : "" }, { "dropping-particle" : "", "family" : "Freeman", "given" : "Thomas C", "non-dropping-particle" : "", "parse-names" : false, "suffix" : "" }, { "dropping-particle" : "", "family" : "Mattick", "given" : "John S", "non-dropping-particle" : "", "parse-names" : false, "suffix" : "" }, { "dropping-particle" : "", "family" : "Hume", "given" : "David a", "non-dropping-particle" : "", "parse-names" : false, "suffix" : "" }, { "dropping-particle" : "", "family" : "Heutink", "given" : "Peter", "non-dropping-particle" : "", "parse-names" : false, "suffix" : "" }, { "dropping-particle" : "", "family" : "Carninci", "given" : "Piero", "non-dropping-particle" : "", "parse-names" : false, "suffix" : "" }, { "dropping-particle" : "", "family" : "Jeddeloh", "given" : "Jeffrey a", "non-dropping-particle" : "", "parse-names" : false, "suffix" : "" }, { "dropping-particle" : "", "family" : "Faulkner", "given" : "Geoffrey J", "non-dropping-particle" : "", "parse-names" : false, "suffix" : "" } ], "container-title" : "Nature", "id" : "ITEM-1", "issue" : "7374", "issued" : { "date-parts" : [ [ "2011", "11", "24" ] ] }, "page" : "534-7", "publisher" : "Nature Publishing Group", "title" : "Somatic retrotransposition alters the genetic landscape of the human brain.", "type" : "article-journal", "volume" : "479" }, "uris" : [ "http://www.mendeley.com/documents/?uuid=8b282b82-83c3-4d39-8273-2dae346aa342" ] } ], "mendeley" : { "formattedCitation" : "(Baillie et al. 2011)", "plainTextFormattedCitation" : "(Baillie et al. 2011)", "previouslyFormattedCitation" : "(Baillie et al. 2011)" }, "properties" : { "noteIndex" : 0 }, "schema" : "https://github.com/citation-style-language/schema/raw/master/csl-citation.json" }</w:instrText>
      </w:r>
      <w:r>
        <w:fldChar w:fldCharType="separate"/>
      </w:r>
      <w:r w:rsidRPr="008903CB">
        <w:rPr>
          <w:noProof/>
        </w:rPr>
        <w:t>(Baillie et al. 2011)</w:t>
      </w:r>
      <w:r>
        <w:fldChar w:fldCharType="end"/>
      </w:r>
      <w:r>
        <w:t xml:space="preserve">, but during the course of this project a methodology was also published specifically for ALVE target capture sequencing </w:t>
      </w:r>
      <w:r>
        <w:fldChar w:fldCharType="begin" w:fldLock="1"/>
      </w:r>
      <w:r w:rsidR="00DB4F2E">
        <w:instrText>ADDIN CSL_CITATION { "citationItems" : [ { "id" : "ITEM-1", "itemData" : { "DOI" : "10.3382/ps/pew194", "ISSN" : "15253171", "author" : [ { "dropping-particle" : "", "family" : "Rutherford", "given" : "K", "non-dropping-particle" : "", "parse-names" : false, "suffix" : "" }, { "dropping-particle" : "", "family" : "Meehan", "given" : "C J", "non-dropping-particle" : "", "parse-names" : false, "suffix" : "" }, { "dropping-particle" : "", "family" : "Langille", "given" : "M G I", "non-dropping-particle" : "", "parse-names" : false, "suffix" : "" }, { "dropping-particle" : "", "family" : "Tyack", "given" : "S G", "non-dropping-particle" : "", "parse-names" : false, "suffix" : "" }, { "dropping-particle" : "", "family" : "Mckay", "given" : "J C", "non-dropping-particle" : "", "parse-names" : false, "suffix" : "" }, { "dropping-particle" : "", "family" : "Mclean", "given" : "N L", "non-dropping-particle" : "", "parse-names" : false, "suffix" : "" }, { "dropping-particle" : "", "family" : "Benkel", "given" : "K", "non-dropping-particle" : "", "parse-names" : false, "suffix" : "" }, { "dropping-particle" : "", "family" : "Beiko", "given" : "R G", "non-dropping-particle" : "", "parse-names" : false, "suffix" : "" }, { "dropping-particle" : "", "family" : "Benkel", "given" : "B", "non-dropping-particle" : "", "parse-names" : false, "suffix" : "" } ], "container-title" : "Poultry Science", "id" : "ITEM-1", "issued" : { "date-parts" : [ [ "2016" ] ] }, "page" : "2250-2258", "title" : "Discovery of an expended set of avian leukosis subroup E proviruses in chickens using Vermillion, a novel sequence capture and analysis pipeline", "type" : "article-journal", "volume" : "95" }, "uris" : [ "http://www.mendeley.com/documents/?uuid=aa0069fc-5d68-44c4-8fbe-350ad9189ff7" ] } ], "mendeley" : { "formattedCitation" : "(Rutherford et al. 2016)", "plainTextFormattedCitation" : "(Rutherford et al. 2016)", "previouslyFormattedCitation" : "(Rutherford et al. 2016)" }, "properties" : { "noteIndex" : 0 }, "schema" : "https://github.com/citation-style-language/schema/raw/master/csl-citation.json" }</w:instrText>
      </w:r>
      <w:r>
        <w:fldChar w:fldCharType="separate"/>
      </w:r>
      <w:r w:rsidRPr="008903CB">
        <w:rPr>
          <w:noProof/>
        </w:rPr>
        <w:t>(Rutherford et al. 2016)</w:t>
      </w:r>
      <w:r>
        <w:fldChar w:fldCharType="end"/>
      </w:r>
      <w:r>
        <w:t xml:space="preserve">. </w:t>
      </w:r>
    </w:p>
    <w:p w14:paraId="6A7B6A88" w14:textId="58C3E184" w:rsidR="00100E31" w:rsidRDefault="004756A0" w:rsidP="004756A0">
      <w:pPr>
        <w:pStyle w:val="ListParagraph"/>
      </w:pPr>
      <w:r>
        <w:t xml:space="preserve">As an alternative </w:t>
      </w:r>
      <w:r w:rsidR="00083395">
        <w:t>to WGS</w:t>
      </w:r>
      <w:r>
        <w:t>, target capture sequ</w:t>
      </w:r>
      <w:r w:rsidR="00DD4AF3">
        <w:t xml:space="preserve">encing would reduce </w:t>
      </w:r>
      <w:r w:rsidR="00177E66">
        <w:t>overall</w:t>
      </w:r>
      <w:r>
        <w:t xml:space="preserve"> cost</w:t>
      </w:r>
      <w:r w:rsidR="00DD4AF3">
        <w:t>s</w:t>
      </w:r>
      <w:r>
        <w:t>.</w:t>
      </w:r>
      <w:r w:rsidR="00F04AD1">
        <w:t xml:space="preserve"> However, </w:t>
      </w:r>
      <w:r w:rsidR="00666E37">
        <w:t>these</w:t>
      </w:r>
      <w:r w:rsidR="00177E66">
        <w:t xml:space="preserve"> data are very specific and</w:t>
      </w:r>
      <w:r w:rsidR="00F04AD1">
        <w:t xml:space="preserve"> unnecessary if identified ALVEs were previously k</w:t>
      </w:r>
      <w:r w:rsidR="00177E66">
        <w:t>nown or at a high frequency in a</w:t>
      </w:r>
      <w:r w:rsidR="00F04AD1">
        <w:t xml:space="preserve"> population, particularly as sequencing cost is dropping all the time. </w:t>
      </w:r>
      <w:r w:rsidR="006A1D14">
        <w:t>One of the major advantage</w:t>
      </w:r>
      <w:r w:rsidR="00666E37">
        <w:t>s</w:t>
      </w:r>
      <w:r w:rsidR="00083395">
        <w:t xml:space="preserve"> of W</w:t>
      </w:r>
      <w:r w:rsidR="006A1D14">
        <w:t>GS data is the ability to apply a single</w:t>
      </w:r>
      <w:r w:rsidR="00177E66">
        <w:t xml:space="preserve"> dataset to multiple </w:t>
      </w:r>
      <w:r w:rsidR="006A1D14">
        <w:t xml:space="preserve">research questions. </w:t>
      </w:r>
      <w:r w:rsidR="00F04AD1">
        <w:t xml:space="preserve">In addition, </w:t>
      </w:r>
      <w:r w:rsidR="006A1D14">
        <w:t xml:space="preserve">whilst identifying structural variants </w:t>
      </w:r>
      <w:r w:rsidR="00083395">
        <w:t>from existing W</w:t>
      </w:r>
      <w:r w:rsidR="006A1D14">
        <w:t xml:space="preserve">GS datasets is more difficult than identifying SNPs, it is possible, as </w:t>
      </w:r>
      <w:r>
        <w:t>demonstrated</w:t>
      </w:r>
      <w:r w:rsidR="00177E66">
        <w:t xml:space="preserve"> below. This means </w:t>
      </w:r>
      <w:r w:rsidR="006A1D14">
        <w:t xml:space="preserve">existing </w:t>
      </w:r>
      <w:r w:rsidR="00083395">
        <w:t>W</w:t>
      </w:r>
      <w:r w:rsidR="006A1D14">
        <w:t xml:space="preserve">GS </w:t>
      </w:r>
      <w:r w:rsidR="00177E66">
        <w:t>data</w:t>
      </w:r>
      <w:r w:rsidR="006A1D14">
        <w:t xml:space="preserve"> can be used for ALVE identification, rather than requiring additional sequencing. </w:t>
      </w:r>
    </w:p>
    <w:p w14:paraId="495F91FF" w14:textId="205CDFE9" w:rsidR="0064667E" w:rsidRDefault="0064667E" w:rsidP="0064667E">
      <w:pPr>
        <w:pStyle w:val="Heading2"/>
      </w:pPr>
      <w:bookmarkStart w:id="396" w:name="_Toc485721636"/>
      <w:bookmarkStart w:id="397" w:name="_Toc486787216"/>
      <w:bookmarkStart w:id="398" w:name="_Toc486787364"/>
      <w:r>
        <w:lastRenderedPageBreak/>
        <w:t>Research Aims</w:t>
      </w:r>
      <w:bookmarkEnd w:id="396"/>
      <w:bookmarkEnd w:id="397"/>
      <w:bookmarkEnd w:id="398"/>
    </w:p>
    <w:p w14:paraId="7270C03F" w14:textId="4477DDEE" w:rsidR="0064667E" w:rsidRPr="00A36A67" w:rsidRDefault="00DD4AF3" w:rsidP="00391005">
      <w:pPr>
        <w:pStyle w:val="ListParagraph"/>
      </w:pPr>
      <w:r>
        <w:t xml:space="preserve">This </w:t>
      </w:r>
      <w:r w:rsidR="00A36A67">
        <w:t>chapter covers four major research aims. Firstly, the development of a new bioinformatics pipeline for the identific</w:t>
      </w:r>
      <w:r w:rsidR="00083395">
        <w:t>ation of ALVEs within existing W</w:t>
      </w:r>
      <w:r w:rsidR="00A36A67">
        <w:t>GS datasets, without requiring further, targeted sequencing. Secondly, the validation of the f</w:t>
      </w:r>
      <w:r>
        <w:t>indings of this pipeline by</w:t>
      </w:r>
      <w:r w:rsidR="00A36A67">
        <w:t xml:space="preserve"> the development of diagnostic assays s</w:t>
      </w:r>
      <w:r>
        <w:t>pecific to each ALVE insertion which were</w:t>
      </w:r>
      <w:r w:rsidR="004756A0">
        <w:t xml:space="preserve"> subsequently </w:t>
      </w:r>
      <w:r w:rsidR="00A36A67">
        <w:t xml:space="preserve">tested on the original lines. Thirdly, the annotation of each </w:t>
      </w:r>
      <w:r w:rsidR="00F8058E">
        <w:t xml:space="preserve">ALVE </w:t>
      </w:r>
      <w:r w:rsidR="00A36A67">
        <w:t xml:space="preserve">insertion by assigning existing or new nomenclature, describing the insert location relative to annotated genes, </w:t>
      </w:r>
      <w:r w:rsidR="00D572AE">
        <w:t xml:space="preserve">and </w:t>
      </w:r>
      <w:r w:rsidR="00A36A67">
        <w:t xml:space="preserve">characterising the intactness of the insert sequence. Finally, </w:t>
      </w:r>
      <w:r w:rsidR="00F8058E">
        <w:t xml:space="preserve">the </w:t>
      </w:r>
      <w:r w:rsidR="00A36A67">
        <w:t xml:space="preserve">further characterisation of the commercially important slow feathering </w:t>
      </w:r>
      <w:r w:rsidR="00A36A67">
        <w:rPr>
          <w:i/>
        </w:rPr>
        <w:t xml:space="preserve">K </w:t>
      </w:r>
      <w:r w:rsidR="00F8058E">
        <w:t>locus using high resolution optic mapping.</w:t>
      </w:r>
    </w:p>
    <w:p w14:paraId="6A8C1E34" w14:textId="77777777" w:rsidR="0064667E" w:rsidRDefault="0064667E" w:rsidP="00391005">
      <w:pPr>
        <w:pStyle w:val="ListParagraph"/>
      </w:pPr>
    </w:p>
    <w:p w14:paraId="1C6FB1B2" w14:textId="4B0DDC98" w:rsidR="0064667E" w:rsidRDefault="0064667E" w:rsidP="0064667E">
      <w:pPr>
        <w:pStyle w:val="Heading2"/>
      </w:pPr>
      <w:bookmarkStart w:id="399" w:name="_Toc485721637"/>
      <w:bookmarkStart w:id="400" w:name="_Toc486787217"/>
      <w:bookmarkStart w:id="401" w:name="_Toc486787365"/>
      <w:r>
        <w:t>Development of the ALVE identification pipeline</w:t>
      </w:r>
      <w:bookmarkEnd w:id="399"/>
      <w:bookmarkEnd w:id="400"/>
      <w:bookmarkEnd w:id="401"/>
    </w:p>
    <w:p w14:paraId="0400B65C" w14:textId="5B5BD033" w:rsidR="0064667E" w:rsidRDefault="006F42F5" w:rsidP="006F42F5">
      <w:pPr>
        <w:pStyle w:val="Heading3"/>
      </w:pPr>
      <w:bookmarkStart w:id="402" w:name="_Toc485721638"/>
      <w:bookmarkStart w:id="403" w:name="_Toc486787218"/>
      <w:bookmarkStart w:id="404" w:name="_Toc486787366"/>
      <w:r>
        <w:t>Initial approaches</w:t>
      </w:r>
      <w:bookmarkEnd w:id="402"/>
      <w:bookmarkEnd w:id="403"/>
      <w:bookmarkEnd w:id="404"/>
    </w:p>
    <w:p w14:paraId="78E2A9C9" w14:textId="0CBDADB0" w:rsidR="006018FD" w:rsidRDefault="006E38C9" w:rsidP="00391005">
      <w:pPr>
        <w:pStyle w:val="ListParagraph"/>
      </w:pPr>
      <w:r>
        <w:t>With the em</w:t>
      </w:r>
      <w:r w:rsidR="00083395">
        <w:t>ergence of more cost effective W</w:t>
      </w:r>
      <w:r>
        <w:t xml:space="preserve">GS datasets, multiple bioinformatics tools have been developed in recent years to identify viral insertions, particularly in the field of human cancer genomics. These tools, such as Virana </w:t>
      </w:r>
      <w:r>
        <w:fldChar w:fldCharType="begin" w:fldLock="1"/>
      </w:r>
      <w:r>
        <w:instrText>ADDIN CSL_CITATION { "citationItems" : [ { "id" : "ITEM-1", "itemData" : { "DOI" : "10.1371/journal.pcbi.1003228", "ISSN" : "1553-7358", "PMID" : "24098097", "abstract" : "In excess of 12% of human cancer incidents have a viral cofactor. Epidemiological studies of idiopathic human cancers indicate that additional tumor viruses remain to be discovered. Recent advances in sequencing technology have enabled systematic screenings of human tumor transcriptomes for viral transcripts. However, technical problems such as low abundances of viral transcripts in large volumes of sequencing data, viral sequence divergence, and homology between viral and human factors significantly confound identification of tumor viruses. We have developed a novel computational approach for detecting viral transcripts in human cancers that takes the aforementioned confounding factors into account and is applicable to a wide variety of viruses and tumors. We apply the approach to conducting the first systematic search for viruses in neuroblastoma, the most common cancer in infancy. The diverse clinical progression of this disease as well as related epidemiological and virological findings are highly suggestive of a pathogenic cofactor. However, a viral etiology of neuroblastoma is currently contested. We mapped 14 transcriptomes of neuroblastoma as well as positive and negative controls to the human and all known viral genomes in order to detect both known and unknown viruses. Analysis of controls, comparisons with related methods, and statistical estimates demonstrate the high sensitivity of our approach. Detailed investigation of putative viral transcripts within neuroblastoma samples did not provide evidence for the existence of any known human viruses. Likewise, de-novo assembly and analysis of chimeric transcripts did not result in expression signatures associated with novel human pathogens. While confounding factors such as sample dilution or viral clearance in progressed tumors may mask viral cofactors in the data, in principle, this is rendered less likely by the high sensitivity of our approach and the number of biological replicates analyzed. Therefore, our results suggest that frequent viral cofactors of metastatic neuroblastoma are unlikely.", "author" : [ { "dropping-particle" : "", "family" : "Schelhorn", "given" : "Sven-Eric", "non-dropping-particle" : "", "parse-names" : false, "suffix" : "" }, { "dropping-particle" : "", "family" : "Fischer", "given" : "Matthias", "non-dropping-particle" : "", "parse-names" : false, "suffix" : "" }, { "dropping-particle" : "", "family" : "Tolosi", "given" : "Laura", "non-dropping-particle" : "", "parse-names" : false, "suffix" : "" }, { "dropping-particle" : "", "family" : "Altm\u00fcller", "given" : "Janine", "non-dropping-particle" : "", "parse-names" : false, "suffix" : "" }, { "dropping-particle" : "", "family" : "N\u00fcrnberg", "given" : "Peter", "non-dropping-particle" : "", "parse-names" : false, "suffix" : "" }, { "dropping-particle" : "", "family" : "Pfister", "given" : "Herbert", "non-dropping-particle" : "", "parse-names" : false, "suffix" : "" }, { "dropping-particle" : "", "family" : "Lengauer", "given" : "Thomas", "non-dropping-particle" : "", "parse-names" : false, "suffix" : "" }, { "dropping-particle" : "", "family" : "Berthold", "given" : "Frank", "non-dropping-particle" : "", "parse-names" : false, "suffix" : "" } ], "container-title" : "PLoS computational biology", "id" : "ITEM-1", "issue" : "10", "issued" : { "date-parts" : [ [ "2013", "1" ] ] }, "page" : "e1003228", "title" : "Sensitive detection of viral transcripts in human tumor transcriptomes.", "type" : "article-journal", "volume" : "9" }, "uris" : [ "http://www.mendeley.com/documents/?uuid=3afbd67c-8c70-4f82-b9a1-4bf98ff5ff81" ] } ], "mendeley" : { "formattedCitation" : "(Schelhorn et al. 2013)", "plainTextFormattedCitation" : "(Schelhorn et al. 2013)", "previouslyFormattedCitation" : "(Schelhorn et al. 2013)" }, "properties" : { "noteIndex" : 0 }, "schema" : "https://github.com/citation-style-language/schema/raw/master/csl-citation.json" }</w:instrText>
      </w:r>
      <w:r>
        <w:fldChar w:fldCharType="separate"/>
      </w:r>
      <w:r w:rsidRPr="006E38C9">
        <w:rPr>
          <w:noProof/>
        </w:rPr>
        <w:t>(Schelhorn et al. 2013)</w:t>
      </w:r>
      <w:r>
        <w:fldChar w:fldCharType="end"/>
      </w:r>
      <w:r>
        <w:t xml:space="preserve">, VirusSeq </w:t>
      </w:r>
      <w:r>
        <w:fldChar w:fldCharType="begin" w:fldLock="1"/>
      </w:r>
      <w:r>
        <w:instrText>ADDIN CSL_CITATION { "citationItems" : [ { "id" : "ITEM-1", "itemData" : { "DOI" : "10.1093/bioinformatics/bts665", "ISSN" : "1367-4811", "PMID" : "23162058", "abstract" : "SUMMARY: We developed a new algorithmic method, VirusSeq, for detecting known viruses and their integration sites in the human genome using next-generation sequencing data. We evaluated VirusSeq on whole-transcriptome sequencing (RNA-Seq) data of 256 human cancer samples from The Cancer Genome Atlas. Using these data, we showed that VirusSeq accurately detects the known viruses and their integration sites with high sensitivity and specificity. VirusSeq can also perform this function using whole-genome sequencing data of human tissue.\n\nAVAILABILITY: VirusSeq has been implemented in PERL and is available at http://odin.mdacc.tmc.edu/\u223cxsu1/VirusSeq.html.\n\nCONTACT: xsu1@mdanderson.org\n\nSUPPLEMENTARY INFORMATION: Supplementary data are available at Bioinformatics online.", "author" : [ { "dropping-particle" : "", "family" : "Chen", "given" : "Yunxin", "non-dropping-particle" : "", "parse-names" : false, "suffix" : "" }, { "dropping-particle" : "", "family" : "Yao", "given" : "Hui", "non-dropping-particle" : "", "parse-names" : false, "suffix" : "" }, { "dropping-particle" : "", "family" : "Thompson", "given" : "Erika J", "non-dropping-particle" : "", "parse-names" : false, "suffix" : "" }, { "dropping-particle" : "", "family" : "Tannir", "given" : "Nizar M", "non-dropping-particle" : "", "parse-names" : false, "suffix" : "" }, { "dropping-particle" : "", "family" : "Weinstein", "given" : "John N", "non-dropping-particle" : "", "parse-names" : false, "suffix" : "" }, { "dropping-particle" : "", "family" : "Su", "given" : "Xiaoping", "non-dropping-particle" : "", "parse-names" : false, "suffix" : "" } ], "container-title" : "Bioinformatics (Oxford, England)", "id" : "ITEM-1", "issue" : "2", "issued" : { "date-parts" : [ [ "2013", "1", "15" ] ] }, "page" : "266-7", "title" : "VirusSeq: software to identify viruses and their integration sites using next-generation sequencing of human cancer tissue.", "type" : "article-journal", "volume" : "29" }, "uris" : [ "http://www.mendeley.com/documents/?uuid=d0ce98a3-495c-4380-8234-ddf5850f0471" ] } ], "mendeley" : { "formattedCitation" : "(Chen et al. 2013)", "plainTextFormattedCitation" : "(Chen et al. 2013)", "previouslyFormattedCitation" : "(Chen et al. 2013)" }, "properties" : { "noteIndex" : 0 }, "schema" : "https://github.com/citation-style-language/schema/raw/master/csl-citation.json" }</w:instrText>
      </w:r>
      <w:r>
        <w:fldChar w:fldCharType="separate"/>
      </w:r>
      <w:r w:rsidRPr="006E38C9">
        <w:rPr>
          <w:noProof/>
        </w:rPr>
        <w:t>(Chen et al. 2013)</w:t>
      </w:r>
      <w:r>
        <w:fldChar w:fldCharType="end"/>
      </w:r>
      <w:r>
        <w:t xml:space="preserve">, VirusFinder </w:t>
      </w:r>
      <w:r>
        <w:fldChar w:fldCharType="begin" w:fldLock="1"/>
      </w:r>
      <w:r w:rsidR="007A27BF">
        <w:instrText>ADDIN CSL_CITATION { "citationItems" : [ { "id" : "ITEM-1", "itemData" : { "DOI" : "10.1371/journal.pone.0064465", "ISSN" : "1932-6203", "PMID" : "23717618", "abstract" : "Next generation sequencing (NGS) technologies allow us to explore virus interactions with host genomes that lead to carcinogenesis or other diseases; however, this effort is largely hindered by the dearth of efficient computational tools. Here, we present a new tool, VirusFinder, for the identification of viruses and their integration sites in host genomes using NGS data, including whole transcriptome sequencing (RNA-Seq), whole genome sequencing (WGS), and targeted sequencing data. VirusFinder's unique features include the characterization of insertion loci of virus of arbitrary type in the host genome and high accuracy and computational efficiency as a result of its well-designed pipeline. The source code as well as additional data of VirusFinder is publicly available at http://bioinfo.mc.vanderbilt.edu/VirusFinder/.", "author" : [ { "dropping-particle" : "", "family" : "Wang", "given" : "Qingguo", "non-dropping-particle" : "", "parse-names" : false, "suffix" : "" }, { "dropping-particle" : "", "family" : "Jia", "given" : "Peilin", "non-dropping-particle" : "", "parse-names" : false, "suffix" : "" }, { "dropping-particle" : "", "family" : "Zhao", "given" : "Zhongming", "non-dropping-particle" : "", "parse-names" : false, "suffix" : "" } ], "container-title" : "PloS one", "id" : "ITEM-1", "issue" : "5", "issued" : { "date-parts" : [ [ "2013", "1" ] ] }, "page" : "e64465", "title" : "VirusFinder: software for efficient and accurate detection of viruses and their integration sites in host genomes through next generation sequencing data.", "type" : "article-journal", "volume" : "8" }, "uris" : [ "http://www.mendeley.com/documents/?uuid=ced4b725-5dc8-4bc2-8b03-ebab0b33d17a" ] }, { "id" : "ITEM-2", "itemData" : { "DOI" : "10.1186/s13073-015-0126-6", "ISSN" : "1756-994X", "author" : [ { "dropping-particle" : "", "family" : "Wang", "given" : "Qingguo", "non-dropping-particle" : "", "parse-names" : false, "suffix" : "" }, { "dropping-particle" : "", "family" : "Jia", "given" : "Peilin", "non-dropping-particle" : "", "parse-names" : false, "suffix" : "" }, { "dropping-particle" : "", "family" : "Zhao", "given" : "Zhongming", "non-dropping-particle" : "", "parse-names" : false, "suffix" : "" } ], "container-title" : "Genome Medicine", "id" : "ITEM-2", "issue" : "1", "issued" : { "date-parts" : [ [ "2015", "1", "20" ] ] }, "page" : "2", "title" : "VERSE: a novel approach to detect virus integration in host genomes through reference genome customization", "type" : "article-journal", "volume" : "7" }, "uris" : [ "http://www.mendeley.com/documents/?uuid=fbc16667-91d2-47ef-850a-06345b186d7f" ] } ], "mendeley" : { "formattedCitation" : "(Q. Wang et al. 2013; Wang et al. 2015)", "plainTextFormattedCitation" : "(Q. Wang et al. 2013; Wang et al. 2015)", "previouslyFormattedCitation" : "(Q. Wang et al. 2013; Wang et al. 2015)" }, "properties" : { "noteIndex" : 0 }, "schema" : "https://github.com/citation-style-language/schema/raw/master/csl-citation.json" }</w:instrText>
      </w:r>
      <w:r>
        <w:fldChar w:fldCharType="separate"/>
      </w:r>
      <w:r w:rsidR="007A27BF" w:rsidRPr="007A27BF">
        <w:rPr>
          <w:noProof/>
        </w:rPr>
        <w:t>(Q. Wang et al. 2013; Wang et al. 2015)</w:t>
      </w:r>
      <w:r>
        <w:fldChar w:fldCharType="end"/>
      </w:r>
      <w:r>
        <w:t xml:space="preserve"> and ViralFusionSeq </w:t>
      </w:r>
      <w:r>
        <w:fldChar w:fldCharType="begin" w:fldLock="1"/>
      </w:r>
      <w:r w:rsidR="003E4C77">
        <w:instrText>ADDIN CSL_CITATION { "citationItems" : [ { "id" : "ITEM-1", "itemData" : { "DOI" : "10.1093/bioinformatics/btt011", "ISSN" : "1367-4811", "PMID" : "23314323", "abstract" : "SUMMARY: Insertional mutagenesis from virus infection is an important pathogenic risk for the development of cancer. Despite the advent of high-throughput sequencing, discovery of viral integration sites and expressed viral fusion events are still limited. Here, we present ViralFusionSeq (VFS), which combines soft-clipping information, read-pair analysis and targeted de novo assembly to discover and annotate viral-human fusions. VFS was used in an RNA-Seq experiment, simulated DNA-Seq experiment and re-analysis of published DNA-Seq datasets. Our experiments demonstrated that VFS is both sensitive and highly accurate.\n\nAVAILABILITY: VFS is distributed under GPL version 3 at http://hkbic.cuhk.edu.hk/software/viralfusionseq", "author" : [ { "dropping-particle" : "", "family" : "Li", "given" : "Jing-Woei", "non-dropping-particle" : "", "parse-names" : false, "suffix" : "" }, { "dropping-particle" : "", "family" : "Wan", "given" : "Raymond", "non-dropping-particle" : "", "parse-names" : false, "suffix" : "" }, { "dropping-particle" : "", "family" : "Yu", "given" : "Chi-Shing", "non-dropping-particle" : "", "parse-names" : false, "suffix" : "" }, { "dropping-particle" : "", "family" : "Co", "given" : "Ngai Na", "non-dropping-particle" : "", "parse-names" : false, "suffix" : "" }, { "dropping-particle" : "", "family" : "Wong", "given" : "Nathalie", "non-dropping-particle" : "", "parse-names" : false, "suffix" : "" }, { "dropping-particle" : "", "family" : "Chan", "given" : "Ting-Fung", "non-dropping-particle" : "", "parse-names" : false, "suffix" : "" } ], "container-title" : "Bioinformatics (Oxford, England)", "id" : "ITEM-1", "issue" : "5", "issued" : { "date-parts" : [ [ "2013", "3", "1" ] ] }, "page" : "649-51", "title" : "ViralFusionSeq: accurately discover viral integration events and reconstruct fusion transcripts at single-base resolution.", "type" : "article-journal", "volume" : "29" }, "uris" : [ "http://www.mendeley.com/documents/?uuid=66936aee-952c-4442-834b-a7040bb19f44" ] } ], "mendeley" : { "formattedCitation" : "(Li et al. 2013)", "plainTextFormattedCitation" : "(Li et al. 2013)", "previouslyFormattedCitation" : "(Li et al. 2013)" }, "properties" : { "noteIndex" : 0 }, "schema" : "https://github.com/citation-style-language/schema/raw/master/csl-citation.json" }</w:instrText>
      </w:r>
      <w:r>
        <w:fldChar w:fldCharType="separate"/>
      </w:r>
      <w:r w:rsidRPr="006E38C9">
        <w:rPr>
          <w:noProof/>
        </w:rPr>
        <w:t>(Li et al. 2013)</w:t>
      </w:r>
      <w:r>
        <w:fldChar w:fldCharType="end"/>
      </w:r>
      <w:r>
        <w:t xml:space="preserve">, create a viral pseudochromosome which is appended to the reference genome enabling bridging of read pairs between genomic and viral DNA. </w:t>
      </w:r>
    </w:p>
    <w:p w14:paraId="57E0F2B1" w14:textId="0C7F6897" w:rsidR="00AA36BF" w:rsidRPr="00AA36BF" w:rsidRDefault="006E38C9" w:rsidP="00391005">
      <w:pPr>
        <w:pStyle w:val="ListParagraph"/>
      </w:pPr>
      <w:r>
        <w:t>Initially, identification of ALVEs was completed with custom scripting fo</w:t>
      </w:r>
      <w:r w:rsidR="006018FD">
        <w:t xml:space="preserve">llowing this approach. Both VirusFinder and VirusSeq were trialled, but the ability to directly tailor a pipeline to discovery of retroviral insertions (rather than any viral genera) and reduce the computational effort meant that </w:t>
      </w:r>
      <w:r w:rsidR="00B27C01">
        <w:t xml:space="preserve">the </w:t>
      </w:r>
      <w:r w:rsidR="006018FD">
        <w:t xml:space="preserve">time creating a new identification pipeline was well spent. </w:t>
      </w:r>
      <w:r w:rsidR="00B27C01">
        <w:t xml:space="preserve">However, it was quickly observed that </w:t>
      </w:r>
      <w:r w:rsidR="00322FA5">
        <w:t>there were limited mapping events between the genomic DNA and viral pseudochromosome. Additionally, any mapping was well within the viral sequence, rather than at either terminus. Whilst this enabled detection of an insertion within an approximately 500</w:t>
      </w:r>
      <w:r w:rsidR="002E7A54">
        <w:t xml:space="preserve"> </w:t>
      </w:r>
      <w:r w:rsidR="00322FA5">
        <w:t xml:space="preserve">bp region, it did not enable exact insertion site identification. </w:t>
      </w:r>
    </w:p>
    <w:p w14:paraId="194EF95E" w14:textId="45E5C0CC" w:rsidR="00322FA5" w:rsidRDefault="00951354" w:rsidP="00391005">
      <w:pPr>
        <w:pStyle w:val="ListParagraph"/>
      </w:pPr>
      <w:r>
        <w:t xml:space="preserve">Another approach was to first map all reads to the reference genome, then extract any incongruently or unmapped reads and map these to the pseudochromosome. Any read </w:t>
      </w:r>
      <w:r>
        <w:lastRenderedPageBreak/>
        <w:t>pairs with one read mapping to the pseudochromosome would then be mapped back against the reference genome, enabling identification of the insertion site. Whilst this methodology worked, it was computationally expensive as many low quality or non-ALVE reads were carried through to the pseudochromosome mappin</w:t>
      </w:r>
      <w:r w:rsidR="00817924">
        <w:t>g. The approach was changed to begin with the pseudochromosome mapping, removing the most computationally expensive step without any impact on detection sensitivity. This approach is described below.</w:t>
      </w:r>
      <w:r>
        <w:t xml:space="preserve"> </w:t>
      </w:r>
    </w:p>
    <w:p w14:paraId="1A2237B7" w14:textId="77777777" w:rsidR="00817924" w:rsidRDefault="00817924" w:rsidP="00391005">
      <w:pPr>
        <w:pStyle w:val="ListParagraph"/>
      </w:pPr>
    </w:p>
    <w:p w14:paraId="54B3CFDC" w14:textId="48AD1C7A" w:rsidR="00817924" w:rsidRDefault="00817924" w:rsidP="00817924">
      <w:pPr>
        <w:pStyle w:val="Heading3"/>
      </w:pPr>
      <w:bookmarkStart w:id="405" w:name="_Toc485721639"/>
      <w:bookmarkStart w:id="406" w:name="_Toc486787219"/>
      <w:bookmarkStart w:id="407" w:name="_Toc486787367"/>
      <w:r>
        <w:t>Pipeline implementation</w:t>
      </w:r>
      <w:bookmarkEnd w:id="405"/>
      <w:bookmarkEnd w:id="406"/>
      <w:bookmarkEnd w:id="407"/>
    </w:p>
    <w:p w14:paraId="113A0178" w14:textId="722BDE43" w:rsidR="00817924" w:rsidRDefault="00817924" w:rsidP="00391005">
      <w:pPr>
        <w:pStyle w:val="ListParagraph"/>
      </w:pPr>
      <w:r>
        <w:t>This ALVE identification approach was wrapped into seven scripts, written to be executed in Linux using either standard BASH tools or Python 2.7</w:t>
      </w:r>
      <w:r w:rsidR="00D33690">
        <w:t xml:space="preserve"> (</w:t>
      </w:r>
      <w:r w:rsidR="00D33690" w:rsidRPr="00DD4AF3">
        <w:fldChar w:fldCharType="begin" w:fldLock="1"/>
      </w:r>
      <w:r w:rsidR="00D33690" w:rsidRPr="00DD4AF3">
        <w:instrText xml:space="preserve"> REF _Ref478655687 \h </w:instrText>
      </w:r>
      <w:r w:rsidR="00DD4AF3" w:rsidRPr="00DD4AF3">
        <w:instrText xml:space="preserve"> \* MERGEFORMAT </w:instrText>
      </w:r>
      <w:r w:rsidR="00D33690" w:rsidRPr="00DD4AF3">
        <w:fldChar w:fldCharType="separate"/>
      </w:r>
      <w:r w:rsidR="002C549C" w:rsidRPr="00DD4AF3">
        <w:t xml:space="preserve">Table </w:t>
      </w:r>
      <w:r w:rsidR="002C549C">
        <w:rPr>
          <w:noProof/>
        </w:rPr>
        <w:t>6</w:t>
      </w:r>
      <w:r w:rsidR="002C549C" w:rsidRPr="00DD4AF3">
        <w:rPr>
          <w:noProof/>
        </w:rPr>
        <w:t>.</w:t>
      </w:r>
      <w:r w:rsidR="002C549C">
        <w:rPr>
          <w:noProof/>
        </w:rPr>
        <w:t>1</w:t>
      </w:r>
      <w:r w:rsidR="00D33690" w:rsidRPr="00DD4AF3">
        <w:fldChar w:fldCharType="end"/>
      </w:r>
      <w:r w:rsidR="00D33690">
        <w:t>)</w:t>
      </w:r>
      <w:r>
        <w:t xml:space="preserve">. The overall </w:t>
      </w:r>
      <w:r w:rsidR="00D33690">
        <w:t xml:space="preserve">pipeline is shown in </w:t>
      </w:r>
      <w:r w:rsidR="00D33690" w:rsidRPr="00DD4AF3">
        <w:fldChar w:fldCharType="begin" w:fldLock="1"/>
      </w:r>
      <w:r w:rsidR="00D33690" w:rsidRPr="00DD4AF3">
        <w:instrText xml:space="preserve"> REF _Ref478655674 \h </w:instrText>
      </w:r>
      <w:r w:rsidR="00DD4AF3" w:rsidRPr="00DD4AF3">
        <w:instrText xml:space="preserve"> \* MERGEFORMAT </w:instrText>
      </w:r>
      <w:r w:rsidR="00D33690" w:rsidRPr="00DD4AF3">
        <w:fldChar w:fldCharType="separate"/>
      </w:r>
      <w:r w:rsidR="002C549C" w:rsidRPr="00DD4AF3">
        <w:t xml:space="preserve">Figure </w:t>
      </w:r>
      <w:r w:rsidR="002C549C">
        <w:rPr>
          <w:noProof/>
        </w:rPr>
        <w:t>6</w:t>
      </w:r>
      <w:r w:rsidR="002C549C" w:rsidRPr="00DD4AF3">
        <w:rPr>
          <w:noProof/>
        </w:rPr>
        <w:t>.</w:t>
      </w:r>
      <w:r w:rsidR="002C549C">
        <w:rPr>
          <w:noProof/>
        </w:rPr>
        <w:t>1</w:t>
      </w:r>
      <w:r w:rsidR="00D33690" w:rsidRPr="00DD4AF3">
        <w:fldChar w:fldCharType="end"/>
      </w:r>
      <w:r w:rsidR="001615B7" w:rsidRPr="00DD4AF3">
        <w:t>.</w:t>
      </w:r>
      <w:r w:rsidR="001615B7">
        <w:t xml:space="preserve"> </w:t>
      </w:r>
      <w:r>
        <w:t xml:space="preserve">Following identification of putative ALVE sites, the BAM files can be viewed at the command line or in a much more visual manner using a genome viewer such as IGV or Golden Helix. </w:t>
      </w:r>
      <w:r w:rsidR="001615B7">
        <w:t>All scripts are on the CD accompanying this thesis (Appendix 1) and in the GitHub ALVE identification repository (</w:t>
      </w:r>
      <w:r w:rsidR="001615B7" w:rsidRPr="0093068F">
        <w:t>https://github.com/andrewstephenmason/ALVE_ID_pipeline</w:t>
      </w:r>
      <w:r w:rsidR="001615B7">
        <w:t>).</w:t>
      </w:r>
    </w:p>
    <w:p w14:paraId="2B83E440" w14:textId="26230D7E" w:rsidR="00D33690" w:rsidRDefault="00D33690" w:rsidP="00D33690">
      <w:pPr>
        <w:pStyle w:val="Caption"/>
      </w:pPr>
      <w:bookmarkStart w:id="408" w:name="_Ref478655687"/>
      <w:bookmarkStart w:id="409" w:name="_Ref480386278"/>
      <w:bookmarkStart w:id="410" w:name="_Toc486786324"/>
      <w:r w:rsidRPr="00DD4AF3">
        <w:t xml:space="preserve">Table </w:t>
      </w:r>
      <w:fldSimple w:instr=" STYLEREF 1 \s " w:fldLock="1">
        <w:r w:rsidR="002C549C">
          <w:rPr>
            <w:noProof/>
          </w:rPr>
          <w:t>6</w:t>
        </w:r>
      </w:fldSimple>
      <w:r w:rsidR="001167C6" w:rsidRPr="00DD4AF3">
        <w:t>.</w:t>
      </w:r>
      <w:fldSimple w:instr=" SEQ Table \* ARABIC \s 1 " w:fldLock="1">
        <w:r w:rsidR="002C549C">
          <w:rPr>
            <w:noProof/>
          </w:rPr>
          <w:t>1</w:t>
        </w:r>
      </w:fldSimple>
      <w:bookmarkEnd w:id="408"/>
      <w:r>
        <w:t xml:space="preserve"> ALVE identification pipeline scripts</w:t>
      </w:r>
      <w:bookmarkEnd w:id="409"/>
      <w:r w:rsidR="00DD4AF3">
        <w:t xml:space="preserve"> and functionality.</w:t>
      </w:r>
      <w:bookmarkEnd w:id="410"/>
    </w:p>
    <w:tbl>
      <w:tblPr>
        <w:tblStyle w:val="TableGrid"/>
        <w:tblW w:w="82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7"/>
        <w:gridCol w:w="3855"/>
      </w:tblGrid>
      <w:tr w:rsidR="00D33690" w14:paraId="6CB6DD5E" w14:textId="77777777" w:rsidTr="00DD4AF3">
        <w:trPr>
          <w:jc w:val="center"/>
        </w:trPr>
        <w:tc>
          <w:tcPr>
            <w:tcW w:w="4367" w:type="dxa"/>
            <w:tcBorders>
              <w:top w:val="single" w:sz="4" w:space="0" w:color="auto"/>
              <w:bottom w:val="single" w:sz="4" w:space="0" w:color="auto"/>
            </w:tcBorders>
            <w:vAlign w:val="center"/>
          </w:tcPr>
          <w:p w14:paraId="5E21BC85" w14:textId="77777777" w:rsidR="00D33690" w:rsidRDefault="00D33690" w:rsidP="00D33690">
            <w:pPr>
              <w:pStyle w:val="Tablecontent"/>
            </w:pPr>
            <w:r>
              <w:t>Script name</w:t>
            </w:r>
          </w:p>
        </w:tc>
        <w:tc>
          <w:tcPr>
            <w:tcW w:w="3855" w:type="dxa"/>
            <w:tcBorders>
              <w:top w:val="single" w:sz="4" w:space="0" w:color="auto"/>
              <w:bottom w:val="single" w:sz="4" w:space="0" w:color="auto"/>
            </w:tcBorders>
            <w:vAlign w:val="center"/>
          </w:tcPr>
          <w:p w14:paraId="4F4A33ED" w14:textId="77777777" w:rsidR="00D33690" w:rsidRDefault="00D33690" w:rsidP="00D33690">
            <w:pPr>
              <w:pStyle w:val="Tablecontent"/>
            </w:pPr>
            <w:r>
              <w:t>Functionality</w:t>
            </w:r>
          </w:p>
        </w:tc>
      </w:tr>
      <w:tr w:rsidR="00D33690" w14:paraId="7D526FAD" w14:textId="77777777" w:rsidTr="00DD4AF3">
        <w:trPr>
          <w:jc w:val="center"/>
        </w:trPr>
        <w:tc>
          <w:tcPr>
            <w:tcW w:w="4367" w:type="dxa"/>
            <w:tcBorders>
              <w:top w:val="single" w:sz="4" w:space="0" w:color="auto"/>
            </w:tcBorders>
          </w:tcPr>
          <w:p w14:paraId="3E5749EC" w14:textId="3E1606FF" w:rsidR="00D33690" w:rsidRDefault="00D33690" w:rsidP="00D33690">
            <w:pPr>
              <w:pStyle w:val="Tablecontent"/>
            </w:pPr>
            <w:r w:rsidRPr="00EE421F">
              <w:t>S1_run_blast_ref_seq.sh</w:t>
            </w:r>
          </w:p>
        </w:tc>
        <w:tc>
          <w:tcPr>
            <w:tcW w:w="3855" w:type="dxa"/>
            <w:tcBorders>
              <w:top w:val="single" w:sz="4" w:space="0" w:color="auto"/>
            </w:tcBorders>
          </w:tcPr>
          <w:p w14:paraId="35BBB66E" w14:textId="3BE658FF" w:rsidR="00D33690" w:rsidRDefault="003C4FF2" w:rsidP="00D33690">
            <w:pPr>
              <w:pStyle w:val="Tablecontent"/>
            </w:pPr>
            <w:r>
              <w:t xml:space="preserve">Identifies known alpharetroviral sites </w:t>
            </w:r>
          </w:p>
        </w:tc>
      </w:tr>
      <w:tr w:rsidR="00D33690" w14:paraId="0BD64B53" w14:textId="77777777" w:rsidTr="00DD4AF3">
        <w:trPr>
          <w:jc w:val="center"/>
        </w:trPr>
        <w:tc>
          <w:tcPr>
            <w:tcW w:w="4367" w:type="dxa"/>
          </w:tcPr>
          <w:p w14:paraId="5E933842" w14:textId="6E172DD7" w:rsidR="00D33690" w:rsidRDefault="00D33690" w:rsidP="00D33690">
            <w:pPr>
              <w:pStyle w:val="Tablecontent"/>
            </w:pPr>
            <w:r w:rsidRPr="00EE421F">
              <w:t>S2_make_pseudochromosome.py</w:t>
            </w:r>
          </w:p>
        </w:tc>
        <w:tc>
          <w:tcPr>
            <w:tcW w:w="3855" w:type="dxa"/>
          </w:tcPr>
          <w:p w14:paraId="50E211EB" w14:textId="368A5C7C" w:rsidR="00D33690" w:rsidRDefault="003C4FF2" w:rsidP="00D33690">
            <w:pPr>
              <w:pStyle w:val="Tablecontent"/>
            </w:pPr>
            <w:r>
              <w:t xml:space="preserve">Creates the pseudochromosome </w:t>
            </w:r>
          </w:p>
        </w:tc>
      </w:tr>
      <w:tr w:rsidR="00D33690" w14:paraId="0EFA9813" w14:textId="77777777" w:rsidTr="00DD4AF3">
        <w:trPr>
          <w:jc w:val="center"/>
        </w:trPr>
        <w:tc>
          <w:tcPr>
            <w:tcW w:w="4367" w:type="dxa"/>
          </w:tcPr>
          <w:p w14:paraId="24FCEC80" w14:textId="0A467CB5" w:rsidR="00D33690" w:rsidRDefault="00D33690" w:rsidP="00D33690">
            <w:pPr>
              <w:pStyle w:val="Tablecontent"/>
            </w:pPr>
            <w:r w:rsidRPr="00EE421F">
              <w:t>S3_run_bwa_alignment.sh</w:t>
            </w:r>
          </w:p>
        </w:tc>
        <w:tc>
          <w:tcPr>
            <w:tcW w:w="3855" w:type="dxa"/>
          </w:tcPr>
          <w:p w14:paraId="1609BF3F" w14:textId="7F5B11CA" w:rsidR="00D33690" w:rsidRDefault="003C4FF2" w:rsidP="00D33690">
            <w:pPr>
              <w:pStyle w:val="Tablecontent"/>
            </w:pPr>
            <w:r>
              <w:t>Maps sequencing reads to the pseudochromosome</w:t>
            </w:r>
          </w:p>
        </w:tc>
      </w:tr>
      <w:tr w:rsidR="00D33690" w14:paraId="01A37625" w14:textId="77777777" w:rsidTr="00DD4AF3">
        <w:trPr>
          <w:jc w:val="center"/>
        </w:trPr>
        <w:tc>
          <w:tcPr>
            <w:tcW w:w="4367" w:type="dxa"/>
          </w:tcPr>
          <w:p w14:paraId="371478A8" w14:textId="4D2AD8EF" w:rsidR="00D33690" w:rsidRDefault="00D33690" w:rsidP="00D33690">
            <w:pPr>
              <w:pStyle w:val="Tablecontent"/>
            </w:pPr>
            <w:r w:rsidRPr="00EE421F">
              <w:t>S4_extract_ref_seq_mapped_reads.sh</w:t>
            </w:r>
          </w:p>
        </w:tc>
        <w:tc>
          <w:tcPr>
            <w:tcW w:w="3855" w:type="dxa"/>
          </w:tcPr>
          <w:p w14:paraId="2765A624" w14:textId="2F350DEE" w:rsidR="00D33690" w:rsidRDefault="003C4FF2" w:rsidP="00D33690">
            <w:pPr>
              <w:pStyle w:val="Tablecontent"/>
            </w:pPr>
            <w:r>
              <w:t xml:space="preserve">Extracts viral mapped reads and pairs </w:t>
            </w:r>
          </w:p>
        </w:tc>
      </w:tr>
      <w:tr w:rsidR="00D33690" w14:paraId="63886229" w14:textId="77777777" w:rsidTr="00DD4AF3">
        <w:trPr>
          <w:jc w:val="center"/>
        </w:trPr>
        <w:tc>
          <w:tcPr>
            <w:tcW w:w="4367" w:type="dxa"/>
          </w:tcPr>
          <w:p w14:paraId="76F80C5B" w14:textId="7FD136F7" w:rsidR="00D33690" w:rsidRDefault="00D33690" w:rsidP="00D33690">
            <w:pPr>
              <w:pStyle w:val="Tablecontent"/>
            </w:pPr>
            <w:r w:rsidRPr="00EE421F">
              <w:t>S5_run_bwa_alignment.sh</w:t>
            </w:r>
          </w:p>
        </w:tc>
        <w:tc>
          <w:tcPr>
            <w:tcW w:w="3855" w:type="dxa"/>
          </w:tcPr>
          <w:p w14:paraId="24FEF1A1" w14:textId="2B369797" w:rsidR="00D33690" w:rsidRDefault="003C4FF2" w:rsidP="00D33690">
            <w:pPr>
              <w:pStyle w:val="Tablecontent"/>
            </w:pPr>
            <w:r>
              <w:t>Maps sequencing reads to the reference genome</w:t>
            </w:r>
          </w:p>
        </w:tc>
      </w:tr>
      <w:tr w:rsidR="00D33690" w14:paraId="07F21BAD" w14:textId="77777777" w:rsidTr="00DD4AF3">
        <w:trPr>
          <w:jc w:val="center"/>
        </w:trPr>
        <w:tc>
          <w:tcPr>
            <w:tcW w:w="4367" w:type="dxa"/>
          </w:tcPr>
          <w:p w14:paraId="022AB356" w14:textId="1836A263" w:rsidR="00D33690" w:rsidRDefault="00D33690" w:rsidP="00D33690">
            <w:pPr>
              <w:pStyle w:val="Tablecontent"/>
            </w:pPr>
            <w:r w:rsidRPr="00EE421F">
              <w:t>S6_extract_putative_sites.py</w:t>
            </w:r>
          </w:p>
        </w:tc>
        <w:tc>
          <w:tcPr>
            <w:tcW w:w="3855" w:type="dxa"/>
          </w:tcPr>
          <w:p w14:paraId="3B2EA80F" w14:textId="04F59024" w:rsidR="00D33690" w:rsidRDefault="003C4FF2" w:rsidP="00D33690">
            <w:pPr>
              <w:pStyle w:val="Tablecontent"/>
            </w:pPr>
            <w:r>
              <w:t>Identifies the putative insertion sites</w:t>
            </w:r>
          </w:p>
        </w:tc>
      </w:tr>
      <w:tr w:rsidR="00D33690" w14:paraId="56FD2F58" w14:textId="77777777" w:rsidTr="00DD4AF3">
        <w:trPr>
          <w:jc w:val="center"/>
        </w:trPr>
        <w:tc>
          <w:tcPr>
            <w:tcW w:w="4367" w:type="dxa"/>
            <w:tcBorders>
              <w:bottom w:val="single" w:sz="4" w:space="0" w:color="auto"/>
            </w:tcBorders>
          </w:tcPr>
          <w:p w14:paraId="6E1C6641" w14:textId="03005ECD" w:rsidR="00D33690" w:rsidRDefault="00D33690" w:rsidP="00D33690">
            <w:pPr>
              <w:pStyle w:val="Tablecontent"/>
            </w:pPr>
            <w:r w:rsidRPr="00EE421F">
              <w:t>S7_merge_lists_and_reduce_ref_genome.sh</w:t>
            </w:r>
          </w:p>
        </w:tc>
        <w:tc>
          <w:tcPr>
            <w:tcW w:w="3855" w:type="dxa"/>
            <w:tcBorders>
              <w:bottom w:val="single" w:sz="4" w:space="0" w:color="auto"/>
            </w:tcBorders>
          </w:tcPr>
          <w:p w14:paraId="528BC479" w14:textId="2AB0C5BD" w:rsidR="00D33690" w:rsidRDefault="003C4FF2" w:rsidP="00D33690">
            <w:pPr>
              <w:pStyle w:val="Tablecontent"/>
            </w:pPr>
            <w:r>
              <w:t>Merges identified sites between sequencing files and prepares a reduced reference genome</w:t>
            </w:r>
          </w:p>
        </w:tc>
      </w:tr>
    </w:tbl>
    <w:p w14:paraId="43676607" w14:textId="4B24F981" w:rsidR="00D33690" w:rsidRPr="00DD4AF3" w:rsidRDefault="00D33690" w:rsidP="00391005">
      <w:pPr>
        <w:pStyle w:val="ListParagraph"/>
        <w:rPr>
          <w:sz w:val="2"/>
        </w:rPr>
      </w:pPr>
    </w:p>
    <w:p w14:paraId="6484B11D" w14:textId="091DE6E9" w:rsidR="00D33690" w:rsidRDefault="002202E5" w:rsidP="00DD4AF3">
      <w:pPr>
        <w:pStyle w:val="ListParagraph"/>
        <w:jc w:val="center"/>
      </w:pPr>
      <w:r>
        <w:rPr>
          <w:noProof/>
          <w:lang w:eastAsia="en-GB"/>
        </w:rPr>
        <w:lastRenderedPageBreak/>
        <w:drawing>
          <wp:inline distT="0" distB="0" distL="0" distR="0" wp14:anchorId="71B0B4ED" wp14:editId="0584C1B9">
            <wp:extent cx="4190337" cy="2890327"/>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93363" cy="2892414"/>
                    </a:xfrm>
                    <a:prstGeom prst="rect">
                      <a:avLst/>
                    </a:prstGeom>
                    <a:noFill/>
                  </pic:spPr>
                </pic:pic>
              </a:graphicData>
            </a:graphic>
          </wp:inline>
        </w:drawing>
      </w:r>
    </w:p>
    <w:p w14:paraId="4496981F" w14:textId="455D3C2D" w:rsidR="00D33690" w:rsidRDefault="00D33690" w:rsidP="00D33690">
      <w:pPr>
        <w:pStyle w:val="Figure"/>
      </w:pPr>
      <w:bookmarkStart w:id="411" w:name="_Ref478655674"/>
      <w:bookmarkStart w:id="412" w:name="_Toc486785446"/>
      <w:r w:rsidRPr="00DD4AF3">
        <w:t xml:space="preserve">Figure </w:t>
      </w:r>
      <w:fldSimple w:instr=" STYLEREF 1 \s " w:fldLock="1">
        <w:r w:rsidR="002C549C">
          <w:rPr>
            <w:noProof/>
          </w:rPr>
          <w:t>6</w:t>
        </w:r>
      </w:fldSimple>
      <w:r w:rsidR="001167C6" w:rsidRPr="00DD4AF3">
        <w:t>.</w:t>
      </w:r>
      <w:fldSimple w:instr=" SEQ Figure \* ARABIC \s 1 " w:fldLock="1">
        <w:r w:rsidR="002C549C">
          <w:rPr>
            <w:noProof/>
          </w:rPr>
          <w:t>1</w:t>
        </w:r>
      </w:fldSimple>
      <w:bookmarkEnd w:id="411"/>
      <w:r w:rsidR="002202E5">
        <w:t xml:space="preserve"> ALVE identification pipeline workflow. Script names have been abbreviated to their order as in </w:t>
      </w:r>
      <w:r w:rsidR="002202E5" w:rsidRPr="00DD4AF3">
        <w:fldChar w:fldCharType="begin" w:fldLock="1"/>
      </w:r>
      <w:r w:rsidR="002202E5" w:rsidRPr="00DD4AF3">
        <w:instrText xml:space="preserve"> REF _Ref478655687 \h </w:instrText>
      </w:r>
      <w:r w:rsidR="00DD4AF3" w:rsidRPr="00DD4AF3">
        <w:instrText xml:space="preserve"> \* MERGEFORMAT </w:instrText>
      </w:r>
      <w:r w:rsidR="002202E5" w:rsidRPr="00DD4AF3">
        <w:fldChar w:fldCharType="separate"/>
      </w:r>
      <w:r w:rsidR="002C549C" w:rsidRPr="00DD4AF3">
        <w:t xml:space="preserve">Table </w:t>
      </w:r>
      <w:r w:rsidR="002C549C">
        <w:rPr>
          <w:noProof/>
        </w:rPr>
        <w:t>6</w:t>
      </w:r>
      <w:r w:rsidR="002C549C" w:rsidRPr="00DD4AF3">
        <w:rPr>
          <w:noProof/>
        </w:rPr>
        <w:t>.</w:t>
      </w:r>
      <w:r w:rsidR="002C549C">
        <w:rPr>
          <w:noProof/>
        </w:rPr>
        <w:t>1</w:t>
      </w:r>
      <w:r w:rsidR="002202E5" w:rsidRPr="00DD4AF3">
        <w:fldChar w:fldCharType="end"/>
      </w:r>
      <w:r w:rsidR="002202E5">
        <w:t xml:space="preserve"> and input/output files are shown.</w:t>
      </w:r>
      <w:bookmarkEnd w:id="412"/>
    </w:p>
    <w:p w14:paraId="79570433" w14:textId="09BA833E" w:rsidR="00817924" w:rsidRDefault="00817924" w:rsidP="00391005">
      <w:pPr>
        <w:pStyle w:val="ListParagraph"/>
      </w:pPr>
      <w:r>
        <w:t>Each script file manages the naming prefixes of all linked files, enabling the processes to be completed</w:t>
      </w:r>
      <w:r w:rsidR="00DE1E57">
        <w:t xml:space="preserve"> in a largely parallel manner. However, d</w:t>
      </w:r>
      <w:r>
        <w:t xml:space="preserve">ata analysis is limited to the </w:t>
      </w:r>
      <w:r w:rsidR="0027293A">
        <w:t>number</w:t>
      </w:r>
      <w:r>
        <w:t xml:space="preserve"> of processors and </w:t>
      </w:r>
      <w:r w:rsidR="00DE1E57">
        <w:t xml:space="preserve">amount of </w:t>
      </w:r>
      <w:r>
        <w:t>writable memory available. As BAM files are very large</w:t>
      </w:r>
      <w:r w:rsidR="00DD4AF3">
        <w:t>,</w:t>
      </w:r>
      <w:r>
        <w:t xml:space="preserve"> the most memory intensive steps were always when these files had to be sorted, such as after a mapping, hence the setting of sorting threads and memory in the two mapping scripts (S3 and S5). Additionally, the samtools sort program creates huge temporary files during sorting and </w:t>
      </w:r>
      <w:r w:rsidR="0027293A">
        <w:t>thus</w:t>
      </w:r>
      <w:r>
        <w:t xml:space="preserve"> parallel runs were usually limited to eight datasets at a time, where the total </w:t>
      </w:r>
      <w:r w:rsidR="001174B0">
        <w:t xml:space="preserve">compressed </w:t>
      </w:r>
      <w:r>
        <w:t>FASTQ size for the dataset was 20-30</w:t>
      </w:r>
      <w:r w:rsidR="00D6091C">
        <w:t xml:space="preserve"> </w:t>
      </w:r>
      <w:r w:rsidRPr="0050345D">
        <w:t>GB</w:t>
      </w:r>
      <w:r>
        <w:t xml:space="preserve">, corresponding to 200-300 million paired end reads. </w:t>
      </w:r>
    </w:p>
    <w:p w14:paraId="1A490DCB" w14:textId="5ABFFCCD" w:rsidR="00817924" w:rsidRDefault="00817924" w:rsidP="00391005">
      <w:pPr>
        <w:pStyle w:val="ListParagraph"/>
      </w:pPr>
      <w:r>
        <w:t xml:space="preserve">Once the reference alpharetroviral sites have been identified (S1_run_blast_ref_seq.sh) and the pseudochromosome created and indexed (S2_make_pseudochromosome.py), these two processes do not have to be completed again. The slowest step is always the mapping of the full FASTQ files to the pseudochromosome (S3_run_bwa_alignment.sh; 12-24 hours). Read subtraction usually completes in less than two hours (S4_extract_ref_seq_mapped_reads.sh) and the mapping of the reduced dataset is often minutes (S5_run_bwa_alignment.sh). Similarly, the putative site identification (S6_extract_putative_sites.py) and reference genome processing for </w:t>
      </w:r>
      <w:r>
        <w:lastRenderedPageBreak/>
        <w:t xml:space="preserve">viewing (S7_merge_lists_and_reduce_ref_genome.sh) take only minutes. Depending on the number of identified sites, and </w:t>
      </w:r>
      <w:r w:rsidR="0027293A">
        <w:t>whether</w:t>
      </w:r>
      <w:r>
        <w:t xml:space="preserve"> sites match known ALVEs, the manual validation of putative insertion sites can take minutes or hours.  Altogether, this means that once the FASTQ files are processed and ready for analysis, a novel dataset can have its ALVE content characterised within 24 hours.   </w:t>
      </w:r>
    </w:p>
    <w:p w14:paraId="78CBE8EA" w14:textId="77777777" w:rsidR="00817924" w:rsidRDefault="00817924" w:rsidP="00391005">
      <w:pPr>
        <w:pStyle w:val="ListParagraph"/>
      </w:pPr>
    </w:p>
    <w:p w14:paraId="70529F79" w14:textId="219E1A5E" w:rsidR="006F42F5" w:rsidRDefault="006F42F5" w:rsidP="006F42F5">
      <w:pPr>
        <w:pStyle w:val="Heading3"/>
      </w:pPr>
      <w:bookmarkStart w:id="413" w:name="_Toc485721640"/>
      <w:bookmarkStart w:id="414" w:name="_Toc486787220"/>
      <w:bookmarkStart w:id="415" w:name="_Toc486787368"/>
      <w:r>
        <w:t xml:space="preserve">Unwanted issues with </w:t>
      </w:r>
      <w:r w:rsidR="006F1094">
        <w:t xml:space="preserve">sequence </w:t>
      </w:r>
      <w:r>
        <w:t>homology</w:t>
      </w:r>
      <w:bookmarkEnd w:id="413"/>
      <w:bookmarkEnd w:id="414"/>
      <w:bookmarkEnd w:id="415"/>
    </w:p>
    <w:p w14:paraId="2CBCD4FA" w14:textId="77777777" w:rsidR="006F1094" w:rsidRDefault="006F1094" w:rsidP="00B05E28">
      <w:pPr>
        <w:pStyle w:val="Heading4"/>
      </w:pPr>
      <w:r>
        <w:t>Undesirable identification of other alpharetroviral classes</w:t>
      </w:r>
    </w:p>
    <w:p w14:paraId="63434393" w14:textId="77777777" w:rsidR="00B05E28" w:rsidRDefault="00B05E28" w:rsidP="00391005">
      <w:pPr>
        <w:pStyle w:val="ListParagraph"/>
      </w:pPr>
      <w:r>
        <w:t>Preliminary mapping work showed that ALVE sequences retain enough homology to map to other alpharetroviral classes such as EAVs and ART-CH sequences. As a result, these sequences were also identified in the Gal5 reference genome and use</w:t>
      </w:r>
      <w:r w:rsidR="001A7FC2">
        <w:t>d to filter out putative sites that were due to spurious mapping.</w:t>
      </w:r>
    </w:p>
    <w:p w14:paraId="2684468E" w14:textId="4C0CB08F" w:rsidR="006F42F5" w:rsidRDefault="001A7FC2" w:rsidP="00391005">
      <w:pPr>
        <w:pStyle w:val="ListParagraph"/>
      </w:pPr>
      <w:r>
        <w:t xml:space="preserve">However, evJ and ALV-J reference sequences were initially retained in the alpharetroviral pseudochromosome used for the first mapping process, and the </w:t>
      </w:r>
      <w:r>
        <w:rPr>
          <w:i/>
        </w:rPr>
        <w:t>envelope</w:t>
      </w:r>
      <w:r w:rsidR="003D6A60">
        <w:t xml:space="preserve"> gene of these sequences i</w:t>
      </w:r>
      <w:r>
        <w:t>s derived from</w:t>
      </w:r>
      <w:r w:rsidR="00554884">
        <w:t xml:space="preserve"> EAV-HP </w:t>
      </w:r>
      <w:r w:rsidR="00554884">
        <w:fldChar w:fldCharType="begin" w:fldLock="1"/>
      </w:r>
      <w:r w:rsidR="00D81BB1">
        <w:instrText>ADDIN CSL_CITATION { "citationItems" : [ { "id" : "ITEM-1", "itemData" : { "abstract" : "A new subgroup of avian leukosis virus (ALV), designated subgroup J, was identified recently. Viruses of this subgroup do not cross-interfere with viruses of the avian A, B, C, D, and E subgroups, are not neutralized by antisera raised against the other virus subgroups, and have a broader host range than the A to E subgroups. Sequence comparisons reveal that while the subgroup J envelope gene includes some regions that are related to those found in env genes of the A to E subgroups, the majority of the subgroup J gene is composed of se- quences either that are more similar to those of a member (E51) of the ancient endogenous avian virus (EAV) family of proviruses or that appear unique to subgroup J viruses. These data led to the suggestion that the ALV-J env gene might have arisen by multiple recombination events between one or more endogenous and exogenous viruses. We initiated studies to investigate the origin of the subgroup J envelope gene and in particular to determine the identity of endogenous sequences that may have contributed to its generation. Here we report the identification of a novel family of avian endogenous viruses that include env coding sequences that are over 95% identical to both the gp85 and gp37 coding regions of subgroup J viruses. We call these viruses the ev/J family. We also report the isolation of ev/J-encoded cDNAs, indicating that at least some members of this family are expressed. These data support the hypothesis that the subgroup J envelope gene was acquired by recombination with expressed endogenous sequences and are consistent with acquisition of this gene by only one recombination event.", "author" : [ { "dropping-particle" : "", "family" : "Benson", "given" : "SJ", "non-dropping-particle" : "", "parse-names" : false, "suffix" : "" }, { "dropping-particle" : "", "family" : "Ruis", "given" : "BL", "non-dropping-particle" : "", "parse-names" : false, "suffix" : "" }, { "dropping-particle" : "", "family" : "Fadly", "given" : "AM", "non-dropping-particle" : "", "parse-names" : false, "suffix" : "" }, { "dropping-particle" : "", "family" : "Conklin", "given" : "KF", "non-dropping-particle" : "", "parse-names" : false, "suffix" : "" } ], "container-title" : "Journal of virology", "id" : "ITEM-1", "issue" : "45", "issued" : { "date-parts" : [ [ "1998" ] ] }, "note" : "The subgroup specificity of ALV is derived from the env gene. This is due mainly to the SU (surface) protein gp85. The secon dencoded protein is the transmembrane (TM) protein gp37 which anchors gp85 to the membrane. ALVJ gp85 only has 40% identity with other ALV subgroups, whereas the other five groups share ~85% similarity at the sequence level - they differ in hypervariable and variable regions that allow further classification into subgroups. \nALVJ env is much more closely related to E51 from the EAV family. E51 appears to be the only family member with an active env gene. All others have deletions of some or all of the SU protein. Therefore, even though there is good evidence for multiple EAVs being expressed, there is no real evidence that a functional envelope can be created. \nStudy showed that ALVJ env has over 95% identity with the E51 env suggesting the ALVJ envelope gene was acquired soley from these ERV sequences.", "page" : "10157-10164", "title" : "The unique envelope gene of the subgroup J avian leukosis virus derives from ev/J proviruses, a novel family of avian endogenous viruses", "type" : "article-journal", "volume" : "72" }, "uris" : [ "http://www.mendeley.com/documents/?uuid=e32d1222-3d19-4515-838b-e9425096ae46" ] }, { "id" : "ITEM-2", "itemData" : { "ISSN" : "00221317", "PMID" : "9934710", "abstract" : "HPRS-103, the prototype of avian leukosis virus (ALV) subgroup J, is a recently identified retrovirus associated with myeloid leukosis in meat-type chickens. Although this virus shows high sequence identity to other ALV subgroups within the gag and pol genes, its env gene is highly diverged (with only about 40% sequence identity) from other ALV subgroups. On the other hand, the sequence of the env gene of HPRS-103 was 75% identical to that of E51, a member of the EAV family of endogenous avian retroviruses. It is reported here that the chicken genome also contains another EAV-related element, EAV-HP, showing much greater sequence identity (over 97%) to the HPRS-103 env gene. Southern blotting analysis showed that EAV-HP-related sequences were distinct from EAV-O and were present in all lines of chicken examined and in grey jungle fowl, but were absent from several other avian species. The potential role of these endogenous sequences in the evolution of ALV subgroup J viruses is discussed.", "author" : [ { "dropping-particle" : "", "family" : "Smith", "given" : "L. M.", "non-dropping-particle" : "", "parse-names" : false, "suffix" : "" }, { "dropping-particle" : "", "family" : "Toye", "given" : "A. A.", "non-dropping-particle" : "", "parse-names" : false, "suffix" : "" }, { "dropping-particle" : "", "family" : "Howes", "given" : "K.", "non-dropping-particle" : "", "parse-names" : false, "suffix" : "" }, { "dropping-particle" : "", "family" : "Bumstead", "given" : "N.", "non-dropping-particle" : "", "parse-names" : false, "suffix" : "" }, { "dropping-particle" : "", "family" : "Payne", "given" : "L. N.", "non-dropping-particle" : "", "parse-names" : false, "suffix" : "" }, { "dropping-particle" : "", "family" : "Venugopal", "given" : "K.", "non-dropping-particle" : "", "parse-names" : false, "suffix" : "" } ], "container-title" : "Journal of General Virology", "id" : "ITEM-2", "issue" : "1", "issued" : { "date-parts" : [ [ "1999" ] ] }, "page" : "261-268", "title" : "Novel endogenous retroviral sequences in the chicken genome closely related to HPRS-103 (subgroup J) avian leukosis virus", "type" : "article-journal", "volume" : "80" }, "uris" : [ "http://www.mendeley.com/documents/?uuid=a539f094-8300-4876-9e57-a2cbe7544070" ] } ], "mendeley" : { "formattedCitation" : "(Benson et al. 1998; Smith et al. 1999)", "plainTextFormattedCitation" : "(Benson et al. 1998; Smith et al. 1999)", "previouslyFormattedCitation" : "(Benson et al. 1998; Smith et al. 1999)" }, "properties" : { "noteIndex" : 0 }, "schema" : "https://github.com/citation-style-language/schema/raw/master/csl-citation.json" }</w:instrText>
      </w:r>
      <w:r w:rsidR="00554884">
        <w:fldChar w:fldCharType="separate"/>
      </w:r>
      <w:r w:rsidR="00554884" w:rsidRPr="00554884">
        <w:rPr>
          <w:noProof/>
        </w:rPr>
        <w:t>(Benson et al. 1998; Smith et al. 1999)</w:t>
      </w:r>
      <w:r w:rsidR="00554884">
        <w:fldChar w:fldCharType="end"/>
      </w:r>
      <w:r>
        <w:t>. This enabled the mapping of EAV homologous reads to the pseudochromosome w</w:t>
      </w:r>
      <w:r w:rsidR="001107DE">
        <w:t xml:space="preserve">hich were then mapping to </w:t>
      </w:r>
      <w:r>
        <w:t>EAV si</w:t>
      </w:r>
      <w:r w:rsidR="001107DE">
        <w:t>tes in the analysed lines. EAVs</w:t>
      </w:r>
      <w:r w:rsidR="003D6A60">
        <w:t xml:space="preserve"> are more</w:t>
      </w:r>
      <w:r w:rsidR="00D57A6B">
        <w:t xml:space="preserve"> numerous</w:t>
      </w:r>
      <w:r w:rsidR="003D6A60">
        <w:t xml:space="preserve"> than ALVE insertions</w:t>
      </w:r>
      <w:r w:rsidR="00F90FF6">
        <w:t>,</w:t>
      </w:r>
      <w:r w:rsidR="003D6A60">
        <w:t xml:space="preserve"> so initially made up over 80% of putative insertion regions. These sites were identified as EAVs by BLAST</w:t>
      </w:r>
      <w:r w:rsidR="0050345D">
        <w:t>n</w:t>
      </w:r>
      <w:r w:rsidR="003D6A60">
        <w:t xml:space="preserve"> against the NCBI non</w:t>
      </w:r>
      <w:r w:rsidR="00DE1E57">
        <w:t>-</w:t>
      </w:r>
      <w:r w:rsidR="003D6A60">
        <w:t>redundant database, and the causative evJ and ALV-J sequences were removed from the pseud</w:t>
      </w:r>
      <w:r w:rsidR="001107DE">
        <w:t>ochromosome, preventing</w:t>
      </w:r>
      <w:r w:rsidR="003D6A60">
        <w:t xml:space="preserve"> unwanted mapping events.</w:t>
      </w:r>
    </w:p>
    <w:p w14:paraId="6E9A395F" w14:textId="77777777" w:rsidR="002A444A" w:rsidRDefault="002A444A" w:rsidP="00391005">
      <w:pPr>
        <w:pStyle w:val="ListParagraph"/>
      </w:pPr>
    </w:p>
    <w:p w14:paraId="3B937B7F" w14:textId="77777777" w:rsidR="006F1094" w:rsidRDefault="00864D0E" w:rsidP="00B05E28">
      <w:pPr>
        <w:pStyle w:val="Heading4"/>
      </w:pPr>
      <w:r>
        <w:t>Dubious mapping on chromosome</w:t>
      </w:r>
      <w:r w:rsidR="00967284">
        <w:t>s</w:t>
      </w:r>
      <w:r>
        <w:t xml:space="preserve"> 20</w:t>
      </w:r>
      <w:r w:rsidR="00967284">
        <w:t xml:space="preserve"> and 23</w:t>
      </w:r>
    </w:p>
    <w:p w14:paraId="23F57CAC" w14:textId="39159029" w:rsidR="00967284" w:rsidRDefault="00AE60D3" w:rsidP="00391005">
      <w:pPr>
        <w:pStyle w:val="ListParagraph"/>
      </w:pPr>
      <w:r>
        <w:t>I</w:t>
      </w:r>
      <w:r w:rsidR="00967284">
        <w:t>nitial mapping of the Hy-Line data routinely identified several putative insertion sites within a</w:t>
      </w:r>
      <w:r w:rsidR="00DE1E57">
        <w:t>n</w:t>
      </w:r>
      <w:r w:rsidR="00D6091C">
        <w:t xml:space="preserve"> 8 kb</w:t>
      </w:r>
      <w:r w:rsidR="00967284">
        <w:t xml:space="preserve"> region on chromosome 20 (20:</w:t>
      </w:r>
      <w:r w:rsidR="009F3C20">
        <w:t xml:space="preserve"> </w:t>
      </w:r>
      <w:r w:rsidR="00967284">
        <w:t>5,221,295-5,229,299) and two regions on chromosome 23 of 7.5</w:t>
      </w:r>
      <w:r w:rsidR="00D6091C">
        <w:t xml:space="preserve"> kb</w:t>
      </w:r>
      <w:r w:rsidR="00967284">
        <w:t xml:space="preserve"> (23:</w:t>
      </w:r>
      <w:r w:rsidR="009F3C20">
        <w:t xml:space="preserve"> </w:t>
      </w:r>
      <w:r w:rsidR="00967284">
        <w:t>2,053,213-2,060,796) and 4.2</w:t>
      </w:r>
      <w:r w:rsidR="00D6091C">
        <w:t xml:space="preserve"> </w:t>
      </w:r>
      <w:r w:rsidR="00967284">
        <w:t>kb respectively (23:</w:t>
      </w:r>
      <w:r w:rsidR="009F3C20">
        <w:t xml:space="preserve"> </w:t>
      </w:r>
      <w:r w:rsidR="00967284">
        <w:t xml:space="preserve">5,152,304-5,156,520). Manual inspection of these sites suggested no ALVE homology, at least to ALVE LTRs, but the </w:t>
      </w:r>
      <w:r w:rsidR="006F0EB2">
        <w:t>regions were</w:t>
      </w:r>
      <w:r w:rsidR="00967284">
        <w:t xml:space="preserve"> of real interest as all the putative sites were intronic, but very close to the gene exons.</w:t>
      </w:r>
    </w:p>
    <w:p w14:paraId="1BBC9B8B" w14:textId="1E5FEAF0" w:rsidR="006F0EB2" w:rsidRPr="006F0EB2" w:rsidRDefault="006F0EB2" w:rsidP="00391005">
      <w:pPr>
        <w:pStyle w:val="ListParagraph"/>
      </w:pPr>
      <w:r>
        <w:lastRenderedPageBreak/>
        <w:t xml:space="preserve">In each of the three cases the intronic sites were within genes from the proto-oncogene tyrosine protein kinase </w:t>
      </w:r>
      <w:r>
        <w:rPr>
          <w:i/>
        </w:rPr>
        <w:t>SRC</w:t>
      </w:r>
      <w:r>
        <w:t xml:space="preserve"> family, including the </w:t>
      </w:r>
      <w:r>
        <w:rPr>
          <w:i/>
        </w:rPr>
        <w:t>sarcoma</w:t>
      </w:r>
      <w:r>
        <w:t xml:space="preserve"> (</w:t>
      </w:r>
      <w:r>
        <w:rPr>
          <w:i/>
        </w:rPr>
        <w:t>c-SRC</w:t>
      </w:r>
      <w:r>
        <w:t>) gene</w:t>
      </w:r>
      <w:r w:rsidR="00F07C4E">
        <w:t xml:space="preserve"> itself</w:t>
      </w:r>
      <w:r>
        <w:t xml:space="preserve"> at the chromosome 20 site. </w:t>
      </w:r>
      <w:r w:rsidR="0060540F">
        <w:t>This gene was transduced</w:t>
      </w:r>
      <w:r w:rsidR="00AE60D3">
        <w:t xml:space="preserve"> </w:t>
      </w:r>
      <w:r w:rsidR="00F90FF6">
        <w:t xml:space="preserve">by, </w:t>
      </w:r>
      <w:r w:rsidR="00AE60D3">
        <w:t>and mutated in</w:t>
      </w:r>
      <w:r w:rsidR="00F90FF6">
        <w:t>, the proto-ALV, Rous Sarcoma Vi</w:t>
      </w:r>
      <w:r w:rsidR="00AE60D3">
        <w:t>r</w:t>
      </w:r>
      <w:r w:rsidR="00F90FF6">
        <w:t>u</w:t>
      </w:r>
      <w:r w:rsidR="00AE60D3">
        <w:t>s</w:t>
      </w:r>
      <w:r w:rsidR="00F90FF6">
        <w:t xml:space="preserve"> (RSV)</w:t>
      </w:r>
      <w:r w:rsidR="00AE60D3">
        <w:t xml:space="preserve">, to become </w:t>
      </w:r>
      <w:r w:rsidR="00AE60D3">
        <w:rPr>
          <w:i/>
        </w:rPr>
        <w:t>v-SRC</w:t>
      </w:r>
      <w:r w:rsidR="003C38E9">
        <w:t xml:space="preserve"> </w:t>
      </w:r>
      <w:r w:rsidR="003C38E9">
        <w:fldChar w:fldCharType="begin" w:fldLock="1"/>
      </w:r>
      <w:r w:rsidR="003C38E9">
        <w:instrText>ADDIN CSL_CITATION { "citationItems" : [ { "id" : "ITEM-1", "itemData" : { "DOI" : "10.1073/pnas.80.9.2519", "ISBN" : "0027-8424 (Print)\\n0027-8424 (Linking)", "ISSN" : "0027-8424", "PMID" : "6302692", "abstract" : "The oncogene of Rous sarcoma virus (v-src) arose by transduction of a cellular gene (c-src). In an effort to explore the mechanism of transduction, we have identified the splice acceptor site used in the genesis of mRNA for v-src, shown that an equivalent site is used in the splicing of mRNA for c-src, and determined the nucleotide sequence from the boundaries of homology between v-src and c-src. Our data indicate that (i) only a portion of c-src is represented within v-src, (ii) the leftward recombination between the genome of the transducing virus and c-src occurred in an intron of the cellular gene, (iii) v-src is in part a spliced version of the corresponding portion of c-src, and (iv) nucleotide sequences represented once in the genome of the transducing virus become duplicated to flank v-src. These findings indicate that the first step in transduction is probably recombination between DNA forms of the transducing viral genome and c-src and otherwise support the prevailing model for transduction by retroviruses. The carboxyl termini of the proteins encoded by v-src and c-src differ appreciably. An unidentified domain of 127 or 128 nucleotides is located at different positions in the genomes of two strains of RSV and gives evidence of being a foreign element that entered the viral genomes by genetic transposition independent of the transduction of src.", "author" : [ { "dropping-particle" : "", "family" : "Swanstrom", "given" : "R", "non-dropping-particle" : "", "parse-names" : false, "suffix" : "" }, { "dropping-particle" : "", "family" : "Parker", "given" : "R C", "non-dropping-particle" : "", "parse-names" : false, "suffix" : "" }, { "dropping-particle" : "", "family" : "Varmus", "given" : "H E", "non-dropping-particle" : "", "parse-names" : false, "suffix" : "" }, { "dropping-particle" : "", "family" : "Bishop", "given" : "J M", "non-dropping-particle" : "", "parse-names" : false, "suffix" : "" } ], "container-title" : "Proceedings of the National Academy of Sciences of the United States of America", "id" : "ITEM-1", "issue" : "9", "issued" : { "date-parts" : [ [ "1983" ] ] }, "page" : "2519-23", "title" : "Transduction of a cellular oncogene: the genesis of Rous sarcoma virus.", "type" : "article-journal", "volume" : "80" }, "uris" : [ "http://www.mendeley.com/documents/?uuid=ed2afb99-f6c6-42d8-a73b-cbe84a3c53a2" ] } ], "mendeley" : { "formattedCitation" : "(Swanstrom et al. 1983)", "plainTextFormattedCitation" : "(Swanstrom et al. 1983)", "previouslyFormattedCitation" : "(Swanstrom et al. 1983)" }, "properties" : { "noteIndex" : 0 }, "schema" : "https://github.com/citation-style-language/schema/raw/master/csl-citation.json" }</w:instrText>
      </w:r>
      <w:r w:rsidR="003C38E9">
        <w:fldChar w:fldCharType="separate"/>
      </w:r>
      <w:r w:rsidR="003C38E9" w:rsidRPr="003C38E9">
        <w:rPr>
          <w:noProof/>
        </w:rPr>
        <w:t>(Swanstrom et al. 1983)</w:t>
      </w:r>
      <w:r w:rsidR="003C38E9">
        <w:fldChar w:fldCharType="end"/>
      </w:r>
      <w:r w:rsidR="00AE60D3">
        <w:t xml:space="preserve">. In these first </w:t>
      </w:r>
      <w:r w:rsidR="00DE1E57">
        <w:t>mappings,</w:t>
      </w:r>
      <w:r w:rsidR="00AE60D3">
        <w:t xml:space="preserve"> the pseudochromosome included the </w:t>
      </w:r>
      <w:r>
        <w:t xml:space="preserve">RSV </w:t>
      </w:r>
      <w:r w:rsidR="00AE60D3">
        <w:t>referen</w:t>
      </w:r>
      <w:r>
        <w:t>ce</w:t>
      </w:r>
      <w:r w:rsidR="00AE60D3">
        <w:t xml:space="preserve"> </w:t>
      </w:r>
      <w:r w:rsidR="00F90FF6">
        <w:t xml:space="preserve">sequence </w:t>
      </w:r>
      <w:r w:rsidR="00AE60D3">
        <w:t xml:space="preserve">which enabled </w:t>
      </w:r>
      <w:r w:rsidR="00F90FF6">
        <w:t xml:space="preserve">read </w:t>
      </w:r>
      <w:r w:rsidR="00AE60D3">
        <w:t xml:space="preserve">mapping to </w:t>
      </w:r>
      <w:r w:rsidR="00AE60D3">
        <w:rPr>
          <w:i/>
        </w:rPr>
        <w:t>c-SRC</w:t>
      </w:r>
      <w:r w:rsidR="00AE60D3">
        <w:t xml:space="preserve"> causing the false matches. </w:t>
      </w:r>
      <w:r>
        <w:t xml:space="preserve">In a similar manner, the closely related genes of </w:t>
      </w:r>
      <w:r>
        <w:rPr>
          <w:i/>
        </w:rPr>
        <w:t>YRK</w:t>
      </w:r>
      <w:r>
        <w:t xml:space="preserve"> and </w:t>
      </w:r>
      <w:r>
        <w:rPr>
          <w:i/>
        </w:rPr>
        <w:t>LCK</w:t>
      </w:r>
      <w:r>
        <w:t>, sited at the respective chr</w:t>
      </w:r>
      <w:r w:rsidR="00D57A6B">
        <w:t>omosome 23 regions, also facilitated</w:t>
      </w:r>
      <w:r>
        <w:t xml:space="preserve"> read mapping. </w:t>
      </w:r>
    </w:p>
    <w:p w14:paraId="2DA7DACB" w14:textId="45DFF552" w:rsidR="00864D0E" w:rsidRDefault="00AE60D3" w:rsidP="00391005">
      <w:pPr>
        <w:pStyle w:val="ListParagraph"/>
      </w:pPr>
      <w:r>
        <w:t>RSV was removed from the pseudochromosome and the region</w:t>
      </w:r>
      <w:r w:rsidR="00F07C4E">
        <w:t>s</w:t>
      </w:r>
      <w:r>
        <w:t xml:space="preserve"> added to the filtering list during putative region identification. </w:t>
      </w:r>
    </w:p>
    <w:p w14:paraId="3BD31618" w14:textId="77777777" w:rsidR="002A444A" w:rsidRDefault="002A444A" w:rsidP="00391005">
      <w:pPr>
        <w:pStyle w:val="ListParagraph"/>
      </w:pPr>
    </w:p>
    <w:p w14:paraId="1B817989" w14:textId="77777777" w:rsidR="00B05E28" w:rsidRDefault="00B05E28" w:rsidP="00B05E28">
      <w:pPr>
        <w:pStyle w:val="Heading4"/>
      </w:pPr>
      <w:r>
        <w:t>Hybrid ALVE-genome reference sequences</w:t>
      </w:r>
    </w:p>
    <w:p w14:paraId="512043CD" w14:textId="32A54358" w:rsidR="008E37B7" w:rsidRDefault="008E37B7" w:rsidP="00391005">
      <w:pPr>
        <w:pStyle w:val="ListParagraph"/>
      </w:pPr>
      <w:r>
        <w:t>A final identification issue was that the reference sequences for ALVE1 and ALVE21 also included the insertion</w:t>
      </w:r>
      <w:r w:rsidR="00D57A6B">
        <w:t xml:space="preserve"> hexamer</w:t>
      </w:r>
      <w:r>
        <w:t xml:space="preserve"> sequ</w:t>
      </w:r>
      <w:r w:rsidR="00F90FF6">
        <w:t>ence and flanking genomic DNA. As a result</w:t>
      </w:r>
      <w:r>
        <w:t xml:space="preserve">, when these sequences were used to identify existing alpharetroviral sites in the reference genome they also masked flanking genomic DNA. Consequently, ALVE1, known to be in at least some of the WL HL lines, and ALVE21, known to be in the two slow feathered HL lines, were not identified at any point in initial mapping. </w:t>
      </w:r>
    </w:p>
    <w:p w14:paraId="7383E6CD" w14:textId="3A66C25B" w:rsidR="008E37B7" w:rsidRDefault="008E37B7" w:rsidP="00391005">
      <w:pPr>
        <w:pStyle w:val="ListParagraph"/>
      </w:pPr>
      <w:r>
        <w:t xml:space="preserve">The initial response was to remove these sequences from the reference sequence identification step. Whilst this enabled ALVE1 identification in the ‘correct’ lines, it also incorrectly caused ALVE21 identification in every line. This was simply because these two reference sequences had not been removed from the pseudochromosome, so non-viral genomic reads </w:t>
      </w:r>
      <w:r w:rsidR="00DE1E57">
        <w:t>could</w:t>
      </w:r>
      <w:r>
        <w:t xml:space="preserve"> map, be retained, and support a putative insertion. These two sequences were edited to remove the flanking DN</w:t>
      </w:r>
      <w:r w:rsidR="00506674">
        <w:t xml:space="preserve">A using the GenBank annotations, </w:t>
      </w:r>
      <w:r>
        <w:t xml:space="preserve">and </w:t>
      </w:r>
      <w:r w:rsidR="00F67658">
        <w:t xml:space="preserve">all other reference sequences </w:t>
      </w:r>
      <w:r w:rsidR="00506674">
        <w:t xml:space="preserve">were </w:t>
      </w:r>
      <w:r w:rsidR="00F67658">
        <w:t>checked in a similar manner.</w:t>
      </w:r>
      <w:r>
        <w:t xml:space="preserve"> </w:t>
      </w:r>
    </w:p>
    <w:p w14:paraId="133AF5DA" w14:textId="77777777" w:rsidR="00AB498E" w:rsidRDefault="00AB498E" w:rsidP="00391005">
      <w:pPr>
        <w:pStyle w:val="ListParagraph"/>
      </w:pPr>
    </w:p>
    <w:p w14:paraId="263A29C1" w14:textId="278240E5" w:rsidR="006F42F5" w:rsidRDefault="00747CDD" w:rsidP="006F42F5">
      <w:pPr>
        <w:pStyle w:val="Heading3"/>
      </w:pPr>
      <w:bookmarkStart w:id="416" w:name="_Toc485721641"/>
      <w:bookmarkStart w:id="417" w:name="_Toc486787221"/>
      <w:bookmarkStart w:id="418" w:name="_Toc486787369"/>
      <w:r>
        <w:t>Thresholds for suitable</w:t>
      </w:r>
      <w:r w:rsidR="006F42F5">
        <w:t xml:space="preserve"> insertion site support</w:t>
      </w:r>
      <w:bookmarkEnd w:id="416"/>
      <w:bookmarkEnd w:id="417"/>
      <w:bookmarkEnd w:id="418"/>
    </w:p>
    <w:p w14:paraId="2D8B7A17" w14:textId="03300331" w:rsidR="00570469" w:rsidRDefault="00747CDD" w:rsidP="00391005">
      <w:pPr>
        <w:pStyle w:val="ListParagraph"/>
      </w:pPr>
      <w:r>
        <w:t>Preliminary identification analyses required putative ALVE insertion sites to have at least 360</w:t>
      </w:r>
      <w:r w:rsidR="00B956D9">
        <w:t xml:space="preserve"> </w:t>
      </w:r>
      <w:r>
        <w:t xml:space="preserve">bp of supporting flanking sequence, as well as evidence of both 5’ and 3’ soft-clipped </w:t>
      </w:r>
      <w:r>
        <w:lastRenderedPageBreak/>
        <w:t xml:space="preserve">reads supporting the insert. However, use of these stringent thresholds meant that known ALVEs in some of the HL lines were missed during these analyses. </w:t>
      </w:r>
    </w:p>
    <w:p w14:paraId="7D263267" w14:textId="05BEF1A2" w:rsidR="00747CDD" w:rsidRDefault="00747CDD" w:rsidP="00391005">
      <w:pPr>
        <w:pStyle w:val="ListParagraph"/>
      </w:pPr>
      <w:r>
        <w:t>360</w:t>
      </w:r>
      <w:r w:rsidR="00B956D9">
        <w:t xml:space="preserve"> </w:t>
      </w:r>
      <w:r>
        <w:t xml:space="preserve">bp was chosen to ensure good read coverage supporting the site, but did not </w:t>
      </w:r>
      <w:r w:rsidR="00DE1E57">
        <w:t>consider</w:t>
      </w:r>
      <w:r w:rsidR="00570469">
        <w:t xml:space="preserve"> the reduction of </w:t>
      </w:r>
      <w:r>
        <w:t xml:space="preserve">coverage due to removal of genomic DNA reads or the heterogeneity of coverage across such sites. </w:t>
      </w:r>
      <w:r w:rsidR="00570469">
        <w:t>Putative site regions were defined by reads overlapping when mapped to the reference genome, but if two nearby reads were separated by more than 12</w:t>
      </w:r>
      <w:r w:rsidR="00B956D9">
        <w:t xml:space="preserve"> </w:t>
      </w:r>
      <w:r w:rsidR="00570469">
        <w:t>bp they would not represent one contiguous region, potentially reducing the extent of the defined region furthest from the</w:t>
      </w:r>
      <w:r w:rsidR="00D57A6B">
        <w:t xml:space="preserve"> insertion site. T</w:t>
      </w:r>
      <w:r w:rsidR="00570469">
        <w:t>his threshold was reduced to 200</w:t>
      </w:r>
      <w:r w:rsidR="00B956D9">
        <w:t xml:space="preserve"> </w:t>
      </w:r>
      <w:r w:rsidR="00570469">
        <w:t>bp to reflect a scenario where two reads were end-to-end at the insertion site. In partnership with the requirement that putative regions were supported by at least three reads, this kept mapping noise to a mi</w:t>
      </w:r>
      <w:r w:rsidR="00D57A6B">
        <w:t xml:space="preserve">nimum without reducing </w:t>
      </w:r>
      <w:r w:rsidR="00570469">
        <w:t>sensitivity. Additionally, many initially identified sit</w:t>
      </w:r>
      <w:r w:rsidR="00D57A6B">
        <w:t>es with poor support were</w:t>
      </w:r>
      <w:r w:rsidR="00570469">
        <w:t xml:space="preserve"> supported by multi</w:t>
      </w:r>
      <w:r w:rsidR="001174B0">
        <w:t>-</w:t>
      </w:r>
      <w:r w:rsidR="00570469">
        <w:t>mapped reads with mapping qualities of l</w:t>
      </w:r>
      <w:r w:rsidR="00D57A6B">
        <w:t>ess than 20. Filtering was used</w:t>
      </w:r>
      <w:r w:rsidR="00570469">
        <w:t xml:space="preserve"> to remove these low quality mappings and false positive noise was further reduced.</w:t>
      </w:r>
    </w:p>
    <w:p w14:paraId="53305966" w14:textId="6D62DC24" w:rsidR="00BD5F4E" w:rsidRDefault="007E4ED9" w:rsidP="00391005">
      <w:pPr>
        <w:pStyle w:val="ListParagraph"/>
      </w:pPr>
      <w:r>
        <w:t>T</w:t>
      </w:r>
      <w:r w:rsidR="00074843">
        <w:t>he requirement for representation of both 5’ and 3’ soft-clipped reads at an insertion site does give high confidence to a putative ALVE insertion</w:t>
      </w:r>
      <w:r>
        <w:t>. However, this requires high enough coverage of an insertion so that reads can be identified that map to the genome-ALVE junction</w:t>
      </w:r>
      <w:r w:rsidR="00074843">
        <w:t xml:space="preserve"> </w:t>
      </w:r>
      <w:r>
        <w:t>from both ends, which in turn requires significant enough mapping to both the pseudochromosome and reference genome with the read pair mappin</w:t>
      </w:r>
      <w:r w:rsidR="00D33690">
        <w:t xml:space="preserve">g in the most optimal locations. </w:t>
      </w:r>
      <w:r>
        <w:t>When read coverage is insufficiently high</w:t>
      </w:r>
      <w:r w:rsidR="00D57A6B">
        <w:t>,</w:t>
      </w:r>
      <w:r>
        <w:t xml:space="preserve"> or insertion alleles are poorly represented in the pool</w:t>
      </w:r>
      <w:r w:rsidR="00D57A6B">
        <w:t>,</w:t>
      </w:r>
      <w:r>
        <w:t xml:space="preserve"> it is unlikely that 5’ and 3’ support will be achieved. Additionally, more complicated insertions which are associated with genome deletions or translocations would not necessarily have both 5’ and 3’ soft-clipped reads for the one insertion in the same genomic location. The filtering was adjusted to require identification of either 5’ or 3’ soft-clipped support of a junction, but sites with both directions of support were highlighted during detection. </w:t>
      </w:r>
    </w:p>
    <w:p w14:paraId="313F30B5" w14:textId="5542F48D" w:rsidR="006F42F5" w:rsidRDefault="00863B07" w:rsidP="00391005">
      <w:pPr>
        <w:pStyle w:val="ListParagraph"/>
      </w:pPr>
      <w:r>
        <w:t xml:space="preserve">Automated ALVE insertion detection remains imperfect. Manual viewing and confirmation of sites is still required to confirm an ALVE insertion and to remove those sites with limited or no obvious support. Regions of apparent noise are still identified in some analyses, potentially due to reads mapping to highly conserved alpharetroviral regions such as the </w:t>
      </w:r>
      <w:r>
        <w:rPr>
          <w:i/>
        </w:rPr>
        <w:t xml:space="preserve">pol </w:t>
      </w:r>
      <w:r>
        <w:t xml:space="preserve">gene for novel EAV or ART-CH insertions. However, manual </w:t>
      </w:r>
      <w:r>
        <w:lastRenderedPageBreak/>
        <w:t xml:space="preserve">confirmation of sites is generally very quick, especially when sites are shared between lines, and </w:t>
      </w:r>
      <w:r w:rsidR="00D57A6B">
        <w:t xml:space="preserve">viewing </w:t>
      </w:r>
      <w:r w:rsidR="0060540F">
        <w:t>is</w:t>
      </w:r>
      <w:r w:rsidR="00D57A6B">
        <w:t xml:space="preserve"> still</w:t>
      </w:r>
      <w:r w:rsidR="0060540F">
        <w:t xml:space="preserve"> required for identification of </w:t>
      </w:r>
      <w:r>
        <w:t xml:space="preserve">the insertion hexamer as well as </w:t>
      </w:r>
      <w:r w:rsidR="0060540F">
        <w:t xml:space="preserve">the extraction of </w:t>
      </w:r>
      <w:r>
        <w:t xml:space="preserve">soft-clipped sequence </w:t>
      </w:r>
      <w:r w:rsidR="0060540F">
        <w:t xml:space="preserve">used </w:t>
      </w:r>
      <w:r>
        <w:t xml:space="preserve">in diagnostic assay design. </w:t>
      </w:r>
    </w:p>
    <w:p w14:paraId="16ECD42E" w14:textId="77777777" w:rsidR="00920FC5" w:rsidRDefault="00920FC5" w:rsidP="00391005">
      <w:pPr>
        <w:pStyle w:val="ListParagraph"/>
      </w:pPr>
    </w:p>
    <w:p w14:paraId="16949CB7" w14:textId="67B050EE" w:rsidR="0064667E" w:rsidRDefault="0064667E" w:rsidP="0064667E">
      <w:pPr>
        <w:pStyle w:val="Heading2"/>
      </w:pPr>
      <w:bookmarkStart w:id="419" w:name="_Ref476995004"/>
      <w:bookmarkStart w:id="420" w:name="_Toc485721642"/>
      <w:bookmarkStart w:id="421" w:name="_Toc486787222"/>
      <w:bookmarkStart w:id="422" w:name="_Toc486787370"/>
      <w:r>
        <w:t>The ALVEs of the Hy-Line elite layer lines</w:t>
      </w:r>
      <w:bookmarkEnd w:id="419"/>
      <w:bookmarkEnd w:id="420"/>
      <w:bookmarkEnd w:id="421"/>
      <w:bookmarkEnd w:id="422"/>
    </w:p>
    <w:p w14:paraId="5E4CCE34" w14:textId="4CB6A5C8" w:rsidR="00935544" w:rsidRDefault="0048111C" w:rsidP="00391005">
      <w:pPr>
        <w:pStyle w:val="ListParagraph"/>
      </w:pPr>
      <w:r>
        <w:t>Twenty ALVEs were identified across the eight Hy-Line lines (</w:t>
      </w:r>
      <w:r w:rsidR="00092995" w:rsidRPr="00D57A6B">
        <w:rPr>
          <w:highlight w:val="yellow"/>
        </w:rPr>
        <w:fldChar w:fldCharType="begin" w:fldLock="1"/>
      </w:r>
      <w:r w:rsidR="00092995" w:rsidRPr="00D57A6B">
        <w:instrText xml:space="preserve"> REF _Ref478999938 \h </w:instrText>
      </w:r>
      <w:r w:rsidR="00D57A6B" w:rsidRPr="00D57A6B">
        <w:rPr>
          <w:highlight w:val="yellow"/>
        </w:rPr>
        <w:instrText xml:space="preserve"> \* MERGEFORMAT </w:instrText>
      </w:r>
      <w:r w:rsidR="00092995" w:rsidRPr="00D57A6B">
        <w:rPr>
          <w:highlight w:val="yellow"/>
        </w:rPr>
      </w:r>
      <w:r w:rsidR="00092995" w:rsidRPr="00D57A6B">
        <w:rPr>
          <w:highlight w:val="yellow"/>
        </w:rPr>
        <w:fldChar w:fldCharType="separate"/>
      </w:r>
      <w:r w:rsidR="002C549C" w:rsidRPr="00D57A6B">
        <w:t xml:space="preserve">Table </w:t>
      </w:r>
      <w:r w:rsidR="002C549C">
        <w:rPr>
          <w:noProof/>
        </w:rPr>
        <w:t>6</w:t>
      </w:r>
      <w:r w:rsidR="002C549C" w:rsidRPr="00D57A6B">
        <w:rPr>
          <w:noProof/>
        </w:rPr>
        <w:t>.</w:t>
      </w:r>
      <w:r w:rsidR="002C549C">
        <w:rPr>
          <w:noProof/>
        </w:rPr>
        <w:t>2</w:t>
      </w:r>
      <w:r w:rsidR="00092995" w:rsidRPr="00D57A6B">
        <w:rPr>
          <w:highlight w:val="yellow"/>
        </w:rPr>
        <w:fldChar w:fldCharType="end"/>
      </w:r>
      <w:r>
        <w:t xml:space="preserve">). </w:t>
      </w:r>
      <w:r w:rsidR="00935544">
        <w:t xml:space="preserve">The WLs consistently have the fewest ALVEs (2-4), followed </w:t>
      </w:r>
      <w:r w:rsidR="00E92E8D">
        <w:t>by the two WPR sister lines (5-7</w:t>
      </w:r>
      <w:r w:rsidR="00935544">
        <w:t>) and the RIR with 10</w:t>
      </w:r>
      <w:r w:rsidR="00543288">
        <w:t xml:space="preserve"> (</w:t>
      </w:r>
      <w:r w:rsidR="00543288">
        <w:fldChar w:fldCharType="begin" w:fldLock="1"/>
      </w:r>
      <w:r w:rsidR="00543288">
        <w:instrText xml:space="preserve"> REF _Ref486840708 \h </w:instrText>
      </w:r>
      <w:r w:rsidR="00543288">
        <w:fldChar w:fldCharType="separate"/>
      </w:r>
      <w:r w:rsidR="002C549C" w:rsidRPr="00D57A6B">
        <w:t xml:space="preserve">Table </w:t>
      </w:r>
      <w:r w:rsidR="002C549C">
        <w:rPr>
          <w:noProof/>
        </w:rPr>
        <w:t>6</w:t>
      </w:r>
      <w:r w:rsidR="002C549C" w:rsidRPr="00D57A6B">
        <w:t>.</w:t>
      </w:r>
      <w:r w:rsidR="002C549C">
        <w:rPr>
          <w:noProof/>
        </w:rPr>
        <w:t>3</w:t>
      </w:r>
      <w:r w:rsidR="00543288">
        <w:fldChar w:fldCharType="end"/>
      </w:r>
      <w:r w:rsidR="007E1751">
        <w:t>)</w:t>
      </w:r>
      <w:r w:rsidR="00935544">
        <w:t xml:space="preserve">. </w:t>
      </w:r>
    </w:p>
    <w:p w14:paraId="15FDC9F8" w14:textId="77777777" w:rsidR="00177E66" w:rsidRDefault="00177E66" w:rsidP="00177E66">
      <w:pPr>
        <w:pStyle w:val="ListParagraph"/>
      </w:pPr>
      <w:r>
        <w:t xml:space="preserve">The WLs have the literature predicted ALVEs of ALVE1 (all 5 lines), ALVE3 (3 of the 5), ALVE9 (1 of the 5) and ALVE15 (3 of the 5). In addition, WL4 has ALVE21 as predicted, and ALVE_ros008, an ALVE previously identified in other lines by the Benkel group (BK-59). Furthermore, the identification pipeline identified another putative ALVE insertion site region in WL4 (1: 66,120,264 - 66,121,075), but there were only five soft-clipped reads in the region and there was no significant ALVE homology, so this site was discarded. </w:t>
      </w:r>
    </w:p>
    <w:p w14:paraId="4439F6A6" w14:textId="77777777" w:rsidR="00177E66" w:rsidRDefault="00177E66" w:rsidP="00177E66">
      <w:pPr>
        <w:pStyle w:val="ListParagraph"/>
      </w:pPr>
      <w:r>
        <w:t xml:space="preserve">The WPR sister lines share five of their ALVEs, including ALVE-TYR, the causative factor in recessive white </w:t>
      </w:r>
      <w:r>
        <w:fldChar w:fldCharType="begin" w:fldLock="1"/>
      </w:r>
      <w:r>
        <w:instrText>ADDIN CSL_CITATION { "citationItems" : [ { "id" : "ITEM-1",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"ITEM-1", "issued" : { "date-parts" : [ [ "2006", "1" ] ] }, "page" : "19", "title" : "Complete association between a retroviral insertion in the tyrosinase gene and the recessive white mutation in chickens.", "type" : "article-journal", "volume" : "7" }, "uris" : [ "http://www.mendeley.com/documents/?uuid=8077fea8-838f-4da4-b799-fb7fa0225565" ] } ], "mendeley" : { "formattedCitation" : "(Chang et al. 2006)", "plainTextFormattedCitation" : "(Chang et al. 2006)", "previouslyFormattedCitation" : "(Chang et al. 2006)" }, "properties" : { "noteIndex" : 0 }, "schema" : "https://github.com/citation-style-language/schema/raw/master/csl-citation.json" }</w:instrText>
      </w:r>
      <w:r>
        <w:fldChar w:fldCharType="separate"/>
      </w:r>
      <w:r w:rsidRPr="003C38E9">
        <w:rPr>
          <w:noProof/>
        </w:rPr>
        <w:t>(Chang et al. 2006)</w:t>
      </w:r>
      <w:r>
        <w:fldChar w:fldCharType="end"/>
      </w:r>
      <w:r>
        <w:t xml:space="preserve">, hence the white plumage of the WPR breed. Three other shared ALVEs were all originally identified within heritage breeds at the Nova Scotia Agricultural College </w:t>
      </w:r>
      <w:r>
        <w:fldChar w:fldCharType="begin" w:fldLock="1"/>
      </w:r>
      <w:r>
        <w:instrText>ADDIN CSL_CITATION { "citationItems" : [ { "id" : "ITEM-1", "itemData" : { "DOI" : "10.3382/ps.2009-00148", "ISSN" : "0032-5791", "PMID" : "19590071", "abstract" : "During the course of evolution, vertebrate genomes have been invaded and colonized by retroviruses. In humans, for example, endogenous retroviruses (long terminal repeat elements) occupy roughly twice as much sequence space as essential genes. There are numerous reports in the literature implicating endogenous proviruses in the modulation of host physiology. The fact that many of these host-virus interactions take place in a proviral locus-specific manner speaks to the need for rapid assays for element profiling. This report deals with the identification of novel elements belonging to a family of endogenous retroviruses, designated ALVE, that reside in the genome of the chicken and that are closely related to exogenous avian leukosis viruses. The study of ALVE elements in the chicken genome serves as a model system for understanding the interplay between endogenous viruses and their vertebrate hosts in general, including humans. In this report, we present locus-specific, diagnostic PCR-based assays for 2 novel ALVE elements. In addition, we characterize the proviral structures and examine the genomic environments of both novel elements along with a previously described element known as ALVE-NSAC-3.", "author" : [ { "dropping-particle" : "", "family" : "Smith", "given" : "a", "non-dropping-particle" : "", "parse-names" : false, "suffix" : "" }, { "dropping-particle" : "", "family" : "Benkel", "given" : "B F", "non-dropping-particle" : "", "parse-names" : false, "suffix" : "" } ], "container-title" : "Poultry science", "id" : "ITEM-1", "issue" : "8", "issued" : { "date-parts" : [ [ "2009", "8" ] ] }, "note" : "Development of simple, quick inexpensive diagnostic tests for ALVE elements is essential for tracking individual elements \u2013 allows study of how these impact the host. Locus-specific PCR based diagnostic assays are essential (ELISAs are much more laborious!). Authors developed tests for two Ev loci and were able to unambiguously differentiate between +/+, +/- and -/- at their particular loci. \nReport marked differences in Ev frequency dependent on breed and line. \nNo similarity between three chosen target sites \u2013 suggesting a randomness for insertion (although tentative point that the two studied are close to or within CR1 sequences) \u00e0 other evidence of insertion in repetitive areas (probably just reduced selection pressure on these areas).", "page" : "1580-5", "title" : "Novel avian leukosis virus-related endogenous proviruses from layer chickens: characterization and development of locus-specific assays.", "type" : "article-journal", "volume" : "88" }, "uris" : [ "http://www.mendeley.com/documents/?uuid=f493723e-bd36-45f2-b612-a5da427ac6a9" ] }, { "id" : "ITEM-2", "itemData" : { "author" : [ { "dropping-particle" : "", "family" : "Rutherford", "given" : "Katherine", "non-dropping-particle" : "", "parse-names" : false, "suffix" : "" }, { "dropping-particle" : "", "family" : "McLean", "given" : "N", "non-dropping-particle" : "", "parse-names" : false, "suffix" : "" }, { "dropping-particle" : "", "family" : "Benkel", "given" : "B", "non-dropping-particle" : "", "parse-names" : false, "suffix" : "" } ], "container-title" : "Avian Diseases", "id" : "ITEM-2", "issued" : { "date-parts" : [ [ "2013" ] ] }, "note" : "Propose a new rapid manner to detect proviral sequences - exploits restriction enzyme sites in flanking DNA. This can also detect novel ALVEs for which insertion sites have not yet been recognised.\n\n\nAcknowledge diversity among individuals for ERV composition - most variation in those families with recent retrotranspositional activity. \n\n\nUp to 50 ALVEs, of which half have been identified and characterised.\n\n\nThorough description of technique - may be of use later in PhD.", "title" : "A Rapid Profiling Assay for Avian Leukosis Virus Sub-group E Proviruses in Chickens.", "type" : "article-journal", "volume" : "prepress" }, "uris" : [ "http://www.mendeley.com/documents/?uuid=eb00ddd0-1888-4626-b903-0b314dcf6b56" ] } ], "mendeley" : { "formattedCitation" : "(Smith &amp; Benkel 2009a; Rutherford et al. 2013)", "plainTextFormattedCitation" : "(Smith &amp; Benkel 2009a; Rutherford et al. 2013)", "previouslyFormattedCitation" : "(Smith &amp; Benkel 2009a; Rutherford et al. 2013)" }, "properties" : { "noteIndex" : 0 }, "schema" : "https://github.com/citation-style-language/schema/raw/master/csl-citation.json" }</w:instrText>
      </w:r>
      <w:r>
        <w:fldChar w:fldCharType="separate"/>
      </w:r>
      <w:r w:rsidRPr="002953C1">
        <w:rPr>
          <w:noProof/>
        </w:rPr>
        <w:t>(Smith &amp; Benkel 2009a; Rutherford et al. 2013)</w:t>
      </w:r>
      <w:r>
        <w:fldChar w:fldCharType="end"/>
      </w:r>
      <w:r>
        <w:t xml:space="preserve">: ALVE-NSAC1, ALVE-NSAC3 and ALVE-NSAC7. Unexpectedly, WPR2 also has AVE21, even though it has the fast feathered phenotype. As well as the five ALVEs shared between the WPRs, WPR2 also had ALVEB5 and the novel ALVE_ros009. </w:t>
      </w:r>
    </w:p>
    <w:p w14:paraId="33533F8C" w14:textId="7EB82A0C" w:rsidR="00177E66" w:rsidRDefault="00177E66" w:rsidP="00177E66">
      <w:pPr>
        <w:pStyle w:val="ListParagraph"/>
      </w:pPr>
      <w:r>
        <w:t>The RIR had the most ALVEs and shared only ALVEB5 and ALVE-NSAC1 with the WPR lines. Four other sites had previously been described by the Benkel group: ALVE_ros001 (COTW55), ALVE_ros002 (COTW69), ALVE_ros005 (New11), and ALVE_ros006 (N4). The remaining four identified ALVEs were novel intergenic sites: ALVE_ros003, ALVE_ros004, ALVE_ros007 and ALVE_ros010.</w:t>
      </w:r>
    </w:p>
    <w:p w14:paraId="5FCDFFFE" w14:textId="62BF3D13" w:rsidR="00921438" w:rsidRDefault="0081699B" w:rsidP="0081699B">
      <w:pPr>
        <w:pStyle w:val="Caption"/>
      </w:pPr>
      <w:bookmarkStart w:id="423" w:name="_Ref478999938"/>
      <w:bookmarkStart w:id="424" w:name="_Toc486786325"/>
      <w:r w:rsidRPr="00D57A6B">
        <w:lastRenderedPageBreak/>
        <w:t xml:space="preserve">Table </w:t>
      </w:r>
      <w:fldSimple w:instr=" STYLEREF 1 \s " w:fldLock="1">
        <w:r w:rsidR="002C549C">
          <w:rPr>
            <w:noProof/>
          </w:rPr>
          <w:t>6</w:t>
        </w:r>
      </w:fldSimple>
      <w:r w:rsidR="001167C6" w:rsidRPr="00D57A6B">
        <w:t>.</w:t>
      </w:r>
      <w:fldSimple w:instr=" SEQ Table \* ARABIC \s 1 " w:fldLock="1">
        <w:r w:rsidR="002C549C">
          <w:rPr>
            <w:noProof/>
          </w:rPr>
          <w:t>2</w:t>
        </w:r>
      </w:fldSimple>
      <w:bookmarkEnd w:id="423"/>
      <w:r>
        <w:t xml:space="preserve"> The twenty ALVEs identified across the eight Hy-Line elite layer lines, with their Galgal5 location, insertion hexamer and overlapped feature. The six Benkel-defined ALVEs which lacked clear ALVE nomenclature are also shown.</w:t>
      </w:r>
      <w:bookmarkEnd w:id="424"/>
      <w:r>
        <w:t xml:space="preserve"> </w:t>
      </w:r>
    </w:p>
    <w:tbl>
      <w:tblPr>
        <w:tblStyle w:val="TableGrid"/>
        <w:tblW w:w="7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275"/>
        <w:gridCol w:w="1843"/>
        <w:gridCol w:w="1134"/>
        <w:gridCol w:w="1843"/>
      </w:tblGrid>
      <w:tr w:rsidR="006657FD" w14:paraId="7865281A" w14:textId="08CABFBA" w:rsidTr="0081699B">
        <w:trPr>
          <w:trHeight w:val="515"/>
          <w:jc w:val="center"/>
        </w:trPr>
        <w:tc>
          <w:tcPr>
            <w:tcW w:w="1560" w:type="dxa"/>
            <w:tcBorders>
              <w:top w:val="single" w:sz="4" w:space="0" w:color="auto"/>
              <w:bottom w:val="single" w:sz="4" w:space="0" w:color="auto"/>
            </w:tcBorders>
            <w:vAlign w:val="center"/>
          </w:tcPr>
          <w:p w14:paraId="26D5BDD7" w14:textId="7CBC53AF" w:rsidR="006657FD" w:rsidRDefault="006657FD" w:rsidP="0081699B">
            <w:pPr>
              <w:pStyle w:val="Tablecontent"/>
            </w:pPr>
            <w:r>
              <w:t>Name</w:t>
            </w:r>
          </w:p>
        </w:tc>
        <w:tc>
          <w:tcPr>
            <w:tcW w:w="1275" w:type="dxa"/>
            <w:tcBorders>
              <w:top w:val="single" w:sz="4" w:space="0" w:color="auto"/>
              <w:bottom w:val="single" w:sz="4" w:space="0" w:color="auto"/>
            </w:tcBorders>
            <w:vAlign w:val="center"/>
          </w:tcPr>
          <w:p w14:paraId="70E0BAA4" w14:textId="41D948DC" w:rsidR="006657FD" w:rsidRDefault="006657FD" w:rsidP="0081699B">
            <w:pPr>
              <w:pStyle w:val="Tablecontent"/>
            </w:pPr>
            <w:r>
              <w:t>Old name</w:t>
            </w:r>
          </w:p>
        </w:tc>
        <w:tc>
          <w:tcPr>
            <w:tcW w:w="1843" w:type="dxa"/>
            <w:tcBorders>
              <w:top w:val="single" w:sz="4" w:space="0" w:color="auto"/>
              <w:bottom w:val="single" w:sz="4" w:space="0" w:color="auto"/>
            </w:tcBorders>
            <w:vAlign w:val="center"/>
          </w:tcPr>
          <w:p w14:paraId="454B941D" w14:textId="5D2F0BE8" w:rsidR="006657FD" w:rsidRDefault="006657FD" w:rsidP="0081699B">
            <w:pPr>
              <w:pStyle w:val="Tablecontent"/>
            </w:pPr>
            <w:r>
              <w:t>Location</w:t>
            </w:r>
          </w:p>
        </w:tc>
        <w:tc>
          <w:tcPr>
            <w:tcW w:w="1134" w:type="dxa"/>
            <w:tcBorders>
              <w:top w:val="single" w:sz="4" w:space="0" w:color="auto"/>
              <w:bottom w:val="single" w:sz="4" w:space="0" w:color="auto"/>
            </w:tcBorders>
            <w:vAlign w:val="center"/>
          </w:tcPr>
          <w:p w14:paraId="152C6296" w14:textId="1C4AD0C2" w:rsidR="006657FD" w:rsidRDefault="006657FD" w:rsidP="0081699B">
            <w:pPr>
              <w:pStyle w:val="Tablecontent"/>
            </w:pPr>
            <w:r>
              <w:t>Hexamer</w:t>
            </w:r>
          </w:p>
        </w:tc>
        <w:tc>
          <w:tcPr>
            <w:tcW w:w="1843" w:type="dxa"/>
            <w:tcBorders>
              <w:top w:val="single" w:sz="4" w:space="0" w:color="auto"/>
              <w:bottom w:val="single" w:sz="4" w:space="0" w:color="auto"/>
            </w:tcBorders>
            <w:vAlign w:val="center"/>
          </w:tcPr>
          <w:p w14:paraId="6529FE70" w14:textId="1C2E6539" w:rsidR="006657FD" w:rsidRDefault="006657FD" w:rsidP="0081699B">
            <w:pPr>
              <w:pStyle w:val="Tablecontent"/>
            </w:pPr>
            <w:r>
              <w:t>Feature</w:t>
            </w:r>
          </w:p>
        </w:tc>
      </w:tr>
      <w:tr w:rsidR="006657FD" w14:paraId="7C50A271" w14:textId="1712ED8D" w:rsidTr="0081699B">
        <w:trPr>
          <w:jc w:val="center"/>
        </w:trPr>
        <w:tc>
          <w:tcPr>
            <w:tcW w:w="1560" w:type="dxa"/>
            <w:tcBorders>
              <w:top w:val="single" w:sz="4" w:space="0" w:color="auto"/>
            </w:tcBorders>
            <w:vAlign w:val="center"/>
          </w:tcPr>
          <w:p w14:paraId="5BC05778" w14:textId="7CCB8FED" w:rsidR="006657FD" w:rsidRDefault="006657FD" w:rsidP="006657FD">
            <w:pPr>
              <w:pStyle w:val="Tablecontent"/>
            </w:pPr>
            <w:r w:rsidRPr="00850E0E">
              <w:t>ALVEB5</w:t>
            </w:r>
          </w:p>
        </w:tc>
        <w:tc>
          <w:tcPr>
            <w:tcW w:w="1275" w:type="dxa"/>
            <w:tcBorders>
              <w:top w:val="single" w:sz="4" w:space="0" w:color="auto"/>
            </w:tcBorders>
            <w:vAlign w:val="center"/>
          </w:tcPr>
          <w:p w14:paraId="7CE87154" w14:textId="05D23B3F" w:rsidR="006657FD" w:rsidRDefault="006657FD" w:rsidP="006657FD">
            <w:pPr>
              <w:pStyle w:val="Tablecontent"/>
            </w:pPr>
          </w:p>
        </w:tc>
        <w:tc>
          <w:tcPr>
            <w:tcW w:w="1843" w:type="dxa"/>
            <w:tcBorders>
              <w:top w:val="single" w:sz="4" w:space="0" w:color="auto"/>
            </w:tcBorders>
            <w:vAlign w:val="center"/>
          </w:tcPr>
          <w:p w14:paraId="1DC65988" w14:textId="50C41464" w:rsidR="006657FD" w:rsidRDefault="006657FD" w:rsidP="006657FD">
            <w:pPr>
              <w:pStyle w:val="Tablecontent"/>
            </w:pPr>
            <w:r w:rsidRPr="00895CD0">
              <w:t>1:</w:t>
            </w:r>
            <w:r>
              <w:t xml:space="preserve"> </w:t>
            </w:r>
            <w:r w:rsidRPr="00895CD0">
              <w:t>10,637,460</w:t>
            </w:r>
          </w:p>
        </w:tc>
        <w:tc>
          <w:tcPr>
            <w:tcW w:w="1134" w:type="dxa"/>
            <w:tcBorders>
              <w:top w:val="single" w:sz="4" w:space="0" w:color="auto"/>
            </w:tcBorders>
            <w:vAlign w:val="center"/>
          </w:tcPr>
          <w:p w14:paraId="308CD5C5" w14:textId="2A276947" w:rsidR="006657FD" w:rsidRDefault="006657FD" w:rsidP="0081699B">
            <w:pPr>
              <w:pStyle w:val="Tablecontent"/>
            </w:pPr>
            <w:r w:rsidRPr="006E3C87">
              <w:t>GGTGGT</w:t>
            </w:r>
          </w:p>
        </w:tc>
        <w:tc>
          <w:tcPr>
            <w:tcW w:w="1843" w:type="dxa"/>
            <w:tcBorders>
              <w:top w:val="single" w:sz="4" w:space="0" w:color="auto"/>
            </w:tcBorders>
            <w:vAlign w:val="center"/>
          </w:tcPr>
          <w:p w14:paraId="4C2FEC0D" w14:textId="16FC8B6C" w:rsidR="006657FD" w:rsidRDefault="006657FD" w:rsidP="006657FD">
            <w:pPr>
              <w:pStyle w:val="Tablecontent"/>
            </w:pPr>
          </w:p>
        </w:tc>
      </w:tr>
      <w:tr w:rsidR="006657FD" w14:paraId="78CE8E65" w14:textId="657F808B" w:rsidTr="0081699B">
        <w:trPr>
          <w:jc w:val="center"/>
        </w:trPr>
        <w:tc>
          <w:tcPr>
            <w:tcW w:w="1560" w:type="dxa"/>
            <w:vAlign w:val="center"/>
          </w:tcPr>
          <w:p w14:paraId="3C74BDDD" w14:textId="285D6F36" w:rsidR="006657FD" w:rsidRDefault="006657FD" w:rsidP="006657FD">
            <w:pPr>
              <w:pStyle w:val="Tablecontent"/>
            </w:pPr>
            <w:r w:rsidRPr="00850E0E">
              <w:t>ALVE1</w:t>
            </w:r>
          </w:p>
        </w:tc>
        <w:tc>
          <w:tcPr>
            <w:tcW w:w="1275" w:type="dxa"/>
            <w:vAlign w:val="center"/>
          </w:tcPr>
          <w:p w14:paraId="65A4A804" w14:textId="090E9D99" w:rsidR="006657FD" w:rsidRPr="00A062CC" w:rsidRDefault="006657FD" w:rsidP="006657FD">
            <w:pPr>
              <w:pStyle w:val="Tablecontent"/>
            </w:pPr>
          </w:p>
        </w:tc>
        <w:tc>
          <w:tcPr>
            <w:tcW w:w="1843" w:type="dxa"/>
            <w:vAlign w:val="center"/>
          </w:tcPr>
          <w:p w14:paraId="1B252087" w14:textId="53D3366D" w:rsidR="006657FD" w:rsidRPr="00A062CC" w:rsidRDefault="006657FD" w:rsidP="006657FD">
            <w:pPr>
              <w:pStyle w:val="Tablecontent"/>
            </w:pPr>
            <w:r w:rsidRPr="00895CD0">
              <w:t>1:</w:t>
            </w:r>
            <w:r>
              <w:t xml:space="preserve"> </w:t>
            </w:r>
            <w:r w:rsidRPr="00895CD0">
              <w:t>65,993,542</w:t>
            </w:r>
          </w:p>
        </w:tc>
        <w:tc>
          <w:tcPr>
            <w:tcW w:w="1134" w:type="dxa"/>
            <w:vAlign w:val="center"/>
          </w:tcPr>
          <w:p w14:paraId="43448BEC" w14:textId="44FE96B8" w:rsidR="006657FD" w:rsidRPr="00A062CC" w:rsidRDefault="006657FD" w:rsidP="0081699B">
            <w:pPr>
              <w:pStyle w:val="Tablecontent"/>
            </w:pPr>
            <w:r w:rsidRPr="006E3C87">
              <w:t>ACGGTT</w:t>
            </w:r>
          </w:p>
        </w:tc>
        <w:tc>
          <w:tcPr>
            <w:tcW w:w="1843" w:type="dxa"/>
            <w:vAlign w:val="center"/>
          </w:tcPr>
          <w:p w14:paraId="67733BD2" w14:textId="0B04279D" w:rsidR="006657FD" w:rsidRPr="00A062CC" w:rsidRDefault="006657FD" w:rsidP="006657FD">
            <w:pPr>
              <w:pStyle w:val="Tablecontent"/>
            </w:pPr>
            <w:r w:rsidRPr="003B0997">
              <w:t>SOX5 intron 1</w:t>
            </w:r>
          </w:p>
        </w:tc>
      </w:tr>
      <w:tr w:rsidR="006657FD" w14:paraId="11670D7F" w14:textId="77777777" w:rsidTr="0081699B">
        <w:trPr>
          <w:jc w:val="center"/>
        </w:trPr>
        <w:tc>
          <w:tcPr>
            <w:tcW w:w="1560" w:type="dxa"/>
            <w:vAlign w:val="center"/>
          </w:tcPr>
          <w:p w14:paraId="0C7D10FC" w14:textId="238024B0" w:rsidR="006657FD" w:rsidRDefault="006657FD" w:rsidP="006657FD">
            <w:pPr>
              <w:pStyle w:val="Tablecontent"/>
            </w:pPr>
            <w:r w:rsidRPr="00850E0E">
              <w:t>ALVE-ros001</w:t>
            </w:r>
          </w:p>
        </w:tc>
        <w:tc>
          <w:tcPr>
            <w:tcW w:w="1275" w:type="dxa"/>
            <w:vAlign w:val="center"/>
          </w:tcPr>
          <w:p w14:paraId="35013A96" w14:textId="016EB623" w:rsidR="006657FD" w:rsidRPr="00A062CC" w:rsidRDefault="006657FD" w:rsidP="006657FD">
            <w:pPr>
              <w:pStyle w:val="Tablecontent"/>
            </w:pPr>
            <w:r>
              <w:t>COTW55</w:t>
            </w:r>
          </w:p>
        </w:tc>
        <w:tc>
          <w:tcPr>
            <w:tcW w:w="1843" w:type="dxa"/>
            <w:vAlign w:val="center"/>
          </w:tcPr>
          <w:p w14:paraId="0B315853" w14:textId="7EE177AF" w:rsidR="006657FD" w:rsidRPr="00A062CC" w:rsidRDefault="006657FD" w:rsidP="006657FD">
            <w:pPr>
              <w:pStyle w:val="Tablecontent"/>
            </w:pPr>
            <w:r w:rsidRPr="00895CD0">
              <w:t>1:</w:t>
            </w:r>
            <w:r>
              <w:t xml:space="preserve"> </w:t>
            </w:r>
            <w:r w:rsidRPr="00895CD0">
              <w:t>101,668,931</w:t>
            </w:r>
          </w:p>
        </w:tc>
        <w:tc>
          <w:tcPr>
            <w:tcW w:w="1134" w:type="dxa"/>
            <w:vAlign w:val="center"/>
          </w:tcPr>
          <w:p w14:paraId="7F1614BB" w14:textId="75E8E715" w:rsidR="006657FD" w:rsidRPr="00A062CC" w:rsidRDefault="006657FD" w:rsidP="0081699B">
            <w:pPr>
              <w:pStyle w:val="Tablecontent"/>
            </w:pPr>
            <w:r w:rsidRPr="006E3C87">
              <w:t>GTTGTG</w:t>
            </w:r>
          </w:p>
        </w:tc>
        <w:tc>
          <w:tcPr>
            <w:tcW w:w="1843" w:type="dxa"/>
            <w:vAlign w:val="center"/>
          </w:tcPr>
          <w:p w14:paraId="0D264D10" w14:textId="5A119D2A" w:rsidR="006657FD" w:rsidRPr="00A062CC" w:rsidRDefault="006657FD" w:rsidP="006657FD">
            <w:pPr>
              <w:pStyle w:val="Tablecontent"/>
            </w:pPr>
          </w:p>
        </w:tc>
      </w:tr>
      <w:tr w:rsidR="006657FD" w14:paraId="05957757" w14:textId="77777777" w:rsidTr="0081699B">
        <w:trPr>
          <w:jc w:val="center"/>
        </w:trPr>
        <w:tc>
          <w:tcPr>
            <w:tcW w:w="1560" w:type="dxa"/>
            <w:vAlign w:val="center"/>
          </w:tcPr>
          <w:p w14:paraId="296208AD" w14:textId="060C4504" w:rsidR="006657FD" w:rsidRDefault="006657FD" w:rsidP="006657FD">
            <w:pPr>
              <w:pStyle w:val="Tablecontent"/>
            </w:pPr>
            <w:r w:rsidRPr="00850E0E">
              <w:t>ALVE-ros002</w:t>
            </w:r>
          </w:p>
        </w:tc>
        <w:tc>
          <w:tcPr>
            <w:tcW w:w="1275" w:type="dxa"/>
            <w:vAlign w:val="center"/>
          </w:tcPr>
          <w:p w14:paraId="30F3AF4A" w14:textId="21CA1CAE" w:rsidR="006657FD" w:rsidRPr="00A062CC" w:rsidRDefault="006657FD" w:rsidP="006657FD">
            <w:pPr>
              <w:pStyle w:val="Tablecontent"/>
            </w:pPr>
            <w:r>
              <w:t>COTW69</w:t>
            </w:r>
          </w:p>
        </w:tc>
        <w:tc>
          <w:tcPr>
            <w:tcW w:w="1843" w:type="dxa"/>
            <w:vAlign w:val="center"/>
          </w:tcPr>
          <w:p w14:paraId="0F986694" w14:textId="750B708F" w:rsidR="006657FD" w:rsidRPr="00A062CC" w:rsidRDefault="006657FD" w:rsidP="006657FD">
            <w:pPr>
              <w:pStyle w:val="Tablecontent"/>
            </w:pPr>
            <w:r w:rsidRPr="00895CD0">
              <w:t>1:</w:t>
            </w:r>
            <w:r>
              <w:t xml:space="preserve"> </w:t>
            </w:r>
            <w:r w:rsidRPr="00895CD0">
              <w:t>158,775,708</w:t>
            </w:r>
          </w:p>
        </w:tc>
        <w:tc>
          <w:tcPr>
            <w:tcW w:w="1134" w:type="dxa"/>
            <w:vAlign w:val="center"/>
          </w:tcPr>
          <w:p w14:paraId="64A3F42F" w14:textId="02F61375" w:rsidR="006657FD" w:rsidRPr="00A062CC" w:rsidRDefault="006657FD" w:rsidP="0081699B">
            <w:pPr>
              <w:pStyle w:val="Tablecontent"/>
            </w:pPr>
            <w:r w:rsidRPr="006E3C87">
              <w:t>ATAAGT</w:t>
            </w:r>
          </w:p>
        </w:tc>
        <w:tc>
          <w:tcPr>
            <w:tcW w:w="1843" w:type="dxa"/>
            <w:vAlign w:val="center"/>
          </w:tcPr>
          <w:p w14:paraId="00DBA6AA" w14:textId="5CDFE8A1" w:rsidR="006657FD" w:rsidRPr="00A062CC" w:rsidRDefault="006657FD" w:rsidP="006657FD">
            <w:pPr>
              <w:pStyle w:val="Tablecontent"/>
            </w:pPr>
          </w:p>
        </w:tc>
      </w:tr>
      <w:tr w:rsidR="006657FD" w14:paraId="1248493B" w14:textId="77777777" w:rsidTr="0081699B">
        <w:trPr>
          <w:jc w:val="center"/>
        </w:trPr>
        <w:tc>
          <w:tcPr>
            <w:tcW w:w="1560" w:type="dxa"/>
            <w:vAlign w:val="center"/>
          </w:tcPr>
          <w:p w14:paraId="687540D6" w14:textId="1FC04C19" w:rsidR="006657FD" w:rsidRDefault="006657FD" w:rsidP="006657FD">
            <w:pPr>
              <w:pStyle w:val="Tablecontent"/>
            </w:pPr>
            <w:r w:rsidRPr="00850E0E">
              <w:t>ALVE-ros003</w:t>
            </w:r>
          </w:p>
        </w:tc>
        <w:tc>
          <w:tcPr>
            <w:tcW w:w="1275" w:type="dxa"/>
            <w:vAlign w:val="center"/>
          </w:tcPr>
          <w:p w14:paraId="754534F2" w14:textId="06F74621" w:rsidR="006657FD" w:rsidRPr="00A062CC" w:rsidRDefault="006657FD" w:rsidP="006657FD">
            <w:pPr>
              <w:pStyle w:val="Tablecontent"/>
            </w:pPr>
            <w:r>
              <w:t>SGT-24</w:t>
            </w:r>
          </w:p>
        </w:tc>
        <w:tc>
          <w:tcPr>
            <w:tcW w:w="1843" w:type="dxa"/>
            <w:vAlign w:val="center"/>
          </w:tcPr>
          <w:p w14:paraId="7B0D14A2" w14:textId="390ABC47" w:rsidR="006657FD" w:rsidRPr="00A062CC" w:rsidRDefault="006657FD" w:rsidP="006657FD">
            <w:pPr>
              <w:pStyle w:val="Tablecontent"/>
            </w:pPr>
            <w:r w:rsidRPr="00895CD0">
              <w:t>1:</w:t>
            </w:r>
            <w:r>
              <w:t xml:space="preserve"> </w:t>
            </w:r>
            <w:r w:rsidRPr="00895CD0">
              <w:t>163,248,553</w:t>
            </w:r>
          </w:p>
        </w:tc>
        <w:tc>
          <w:tcPr>
            <w:tcW w:w="1134" w:type="dxa"/>
            <w:vAlign w:val="center"/>
          </w:tcPr>
          <w:p w14:paraId="3FDD7A45" w14:textId="355528AD" w:rsidR="006657FD" w:rsidRPr="00A062CC" w:rsidRDefault="006657FD" w:rsidP="0081699B">
            <w:pPr>
              <w:pStyle w:val="Tablecontent"/>
            </w:pPr>
            <w:r w:rsidRPr="006E3C87">
              <w:t>CCTACT</w:t>
            </w:r>
          </w:p>
        </w:tc>
        <w:tc>
          <w:tcPr>
            <w:tcW w:w="1843" w:type="dxa"/>
            <w:vAlign w:val="center"/>
          </w:tcPr>
          <w:p w14:paraId="2EA886CE" w14:textId="6A6BA44F" w:rsidR="006657FD" w:rsidRPr="00A062CC" w:rsidRDefault="006657FD" w:rsidP="006657FD">
            <w:pPr>
              <w:pStyle w:val="Tablecontent"/>
            </w:pPr>
          </w:p>
        </w:tc>
      </w:tr>
      <w:tr w:rsidR="006657FD" w14:paraId="7F018D92" w14:textId="77777777" w:rsidTr="0081699B">
        <w:trPr>
          <w:jc w:val="center"/>
        </w:trPr>
        <w:tc>
          <w:tcPr>
            <w:tcW w:w="1560" w:type="dxa"/>
            <w:vAlign w:val="center"/>
          </w:tcPr>
          <w:p w14:paraId="70E8C606" w14:textId="2F3423EA" w:rsidR="006657FD" w:rsidRDefault="006657FD" w:rsidP="006657FD">
            <w:pPr>
              <w:pStyle w:val="Tablecontent"/>
            </w:pPr>
            <w:r w:rsidRPr="00850E0E">
              <w:t>ALVE-TYR</w:t>
            </w:r>
          </w:p>
        </w:tc>
        <w:tc>
          <w:tcPr>
            <w:tcW w:w="1275" w:type="dxa"/>
            <w:vAlign w:val="center"/>
          </w:tcPr>
          <w:p w14:paraId="2D01D894" w14:textId="77777777" w:rsidR="006657FD" w:rsidRPr="00A062CC" w:rsidRDefault="006657FD" w:rsidP="006657FD">
            <w:pPr>
              <w:pStyle w:val="Tablecontent"/>
            </w:pPr>
          </w:p>
        </w:tc>
        <w:tc>
          <w:tcPr>
            <w:tcW w:w="1843" w:type="dxa"/>
            <w:vAlign w:val="center"/>
          </w:tcPr>
          <w:p w14:paraId="3ADE7E1B" w14:textId="14333F5F" w:rsidR="006657FD" w:rsidRPr="00A062CC" w:rsidRDefault="006657FD" w:rsidP="006657FD">
            <w:pPr>
              <w:pStyle w:val="Tablecontent"/>
            </w:pPr>
            <w:r w:rsidRPr="00895CD0">
              <w:t>1:</w:t>
            </w:r>
            <w:r>
              <w:t xml:space="preserve"> </w:t>
            </w:r>
            <w:r w:rsidRPr="00895CD0">
              <w:t>187,921,213</w:t>
            </w:r>
          </w:p>
        </w:tc>
        <w:tc>
          <w:tcPr>
            <w:tcW w:w="1134" w:type="dxa"/>
            <w:vAlign w:val="center"/>
          </w:tcPr>
          <w:p w14:paraId="0498B192" w14:textId="1F063F08" w:rsidR="006657FD" w:rsidRPr="00A062CC" w:rsidRDefault="006657FD" w:rsidP="0081699B">
            <w:pPr>
              <w:pStyle w:val="Tablecontent"/>
            </w:pPr>
            <w:r w:rsidRPr="006E3C87">
              <w:t>ACACTG</w:t>
            </w:r>
          </w:p>
        </w:tc>
        <w:tc>
          <w:tcPr>
            <w:tcW w:w="1843" w:type="dxa"/>
            <w:vAlign w:val="center"/>
          </w:tcPr>
          <w:p w14:paraId="70E0E6C2" w14:textId="42E82926" w:rsidR="006657FD" w:rsidRPr="00A062CC" w:rsidRDefault="006657FD" w:rsidP="006657FD">
            <w:pPr>
              <w:pStyle w:val="Tablecontent"/>
            </w:pPr>
            <w:r w:rsidRPr="003B0997">
              <w:t>TYR intron 4</w:t>
            </w:r>
          </w:p>
        </w:tc>
      </w:tr>
      <w:tr w:rsidR="006657FD" w14:paraId="774D0F06" w14:textId="77777777" w:rsidTr="0081699B">
        <w:trPr>
          <w:jc w:val="center"/>
        </w:trPr>
        <w:tc>
          <w:tcPr>
            <w:tcW w:w="1560" w:type="dxa"/>
            <w:vAlign w:val="center"/>
          </w:tcPr>
          <w:p w14:paraId="50F01310" w14:textId="7E5290C2" w:rsidR="006657FD" w:rsidRDefault="006657FD" w:rsidP="006657FD">
            <w:pPr>
              <w:pStyle w:val="Tablecontent"/>
            </w:pPr>
            <w:r w:rsidRPr="00850E0E">
              <w:t>ALVE-NSAC1</w:t>
            </w:r>
          </w:p>
        </w:tc>
        <w:tc>
          <w:tcPr>
            <w:tcW w:w="1275" w:type="dxa"/>
            <w:vAlign w:val="center"/>
          </w:tcPr>
          <w:p w14:paraId="25183989" w14:textId="77777777" w:rsidR="006657FD" w:rsidRPr="00A062CC" w:rsidRDefault="006657FD" w:rsidP="006657FD">
            <w:pPr>
              <w:pStyle w:val="Tablecontent"/>
            </w:pPr>
          </w:p>
        </w:tc>
        <w:tc>
          <w:tcPr>
            <w:tcW w:w="1843" w:type="dxa"/>
            <w:vAlign w:val="center"/>
          </w:tcPr>
          <w:p w14:paraId="2D6405C0" w14:textId="23AF1D07" w:rsidR="006657FD" w:rsidRPr="00A062CC" w:rsidRDefault="006657FD" w:rsidP="006657FD">
            <w:pPr>
              <w:pStyle w:val="Tablecontent"/>
            </w:pPr>
            <w:r w:rsidRPr="00895CD0">
              <w:t>2:</w:t>
            </w:r>
            <w:r>
              <w:t xml:space="preserve"> </w:t>
            </w:r>
            <w:r w:rsidRPr="00895CD0">
              <w:t>120,868,843</w:t>
            </w:r>
          </w:p>
        </w:tc>
        <w:tc>
          <w:tcPr>
            <w:tcW w:w="1134" w:type="dxa"/>
            <w:vAlign w:val="center"/>
          </w:tcPr>
          <w:p w14:paraId="713D6D70" w14:textId="4DACD9A4" w:rsidR="006657FD" w:rsidRPr="00A062CC" w:rsidRDefault="006657FD" w:rsidP="0081699B">
            <w:pPr>
              <w:pStyle w:val="Tablecontent"/>
            </w:pPr>
            <w:r w:rsidRPr="006E3C87">
              <w:t>CCTGTT</w:t>
            </w:r>
          </w:p>
        </w:tc>
        <w:tc>
          <w:tcPr>
            <w:tcW w:w="1843" w:type="dxa"/>
            <w:vAlign w:val="center"/>
          </w:tcPr>
          <w:p w14:paraId="5C9C67F5" w14:textId="25245729" w:rsidR="006657FD" w:rsidRPr="00A062CC" w:rsidRDefault="006657FD" w:rsidP="006657FD">
            <w:pPr>
              <w:pStyle w:val="Tablecontent"/>
            </w:pPr>
          </w:p>
        </w:tc>
      </w:tr>
      <w:tr w:rsidR="006657FD" w14:paraId="3A49C3D8" w14:textId="77777777" w:rsidTr="0081699B">
        <w:trPr>
          <w:jc w:val="center"/>
        </w:trPr>
        <w:tc>
          <w:tcPr>
            <w:tcW w:w="1560" w:type="dxa"/>
            <w:vAlign w:val="center"/>
          </w:tcPr>
          <w:p w14:paraId="29DA7DF6" w14:textId="408870FE" w:rsidR="006657FD" w:rsidRDefault="006657FD" w:rsidP="006657FD">
            <w:pPr>
              <w:pStyle w:val="Tablecontent"/>
            </w:pPr>
            <w:r w:rsidRPr="00850E0E">
              <w:t>ALVE-ros004</w:t>
            </w:r>
          </w:p>
        </w:tc>
        <w:tc>
          <w:tcPr>
            <w:tcW w:w="1275" w:type="dxa"/>
            <w:vAlign w:val="center"/>
          </w:tcPr>
          <w:p w14:paraId="3E1F16D7" w14:textId="57EFE5E2" w:rsidR="006657FD" w:rsidRPr="00A062CC" w:rsidRDefault="006657FD" w:rsidP="006657FD">
            <w:pPr>
              <w:pStyle w:val="Tablecontent"/>
            </w:pPr>
          </w:p>
        </w:tc>
        <w:tc>
          <w:tcPr>
            <w:tcW w:w="1843" w:type="dxa"/>
            <w:vAlign w:val="center"/>
          </w:tcPr>
          <w:p w14:paraId="49BC1317" w14:textId="319AF82C" w:rsidR="006657FD" w:rsidRPr="00A062CC" w:rsidRDefault="006657FD" w:rsidP="006657FD">
            <w:pPr>
              <w:pStyle w:val="Tablecontent"/>
            </w:pPr>
            <w:r w:rsidRPr="00895CD0">
              <w:t>2:</w:t>
            </w:r>
            <w:r>
              <w:t xml:space="preserve"> </w:t>
            </w:r>
            <w:r w:rsidRPr="00895CD0">
              <w:t>124,432,997</w:t>
            </w:r>
          </w:p>
        </w:tc>
        <w:tc>
          <w:tcPr>
            <w:tcW w:w="1134" w:type="dxa"/>
            <w:vAlign w:val="center"/>
          </w:tcPr>
          <w:p w14:paraId="4F354327" w14:textId="7B264A35" w:rsidR="006657FD" w:rsidRPr="00A062CC" w:rsidRDefault="006657FD" w:rsidP="0081699B">
            <w:pPr>
              <w:pStyle w:val="Tablecontent"/>
            </w:pPr>
            <w:r w:rsidRPr="006E3C87">
              <w:t>CTTGAC</w:t>
            </w:r>
          </w:p>
        </w:tc>
        <w:tc>
          <w:tcPr>
            <w:tcW w:w="1843" w:type="dxa"/>
            <w:vAlign w:val="center"/>
          </w:tcPr>
          <w:p w14:paraId="495E1B4A" w14:textId="0F5120D9" w:rsidR="006657FD" w:rsidRPr="00A062CC" w:rsidRDefault="006657FD" w:rsidP="006657FD">
            <w:pPr>
              <w:pStyle w:val="Tablecontent"/>
            </w:pPr>
          </w:p>
        </w:tc>
      </w:tr>
      <w:tr w:rsidR="006657FD" w14:paraId="62BC1F88" w14:textId="77777777" w:rsidTr="0081699B">
        <w:trPr>
          <w:jc w:val="center"/>
        </w:trPr>
        <w:tc>
          <w:tcPr>
            <w:tcW w:w="1560" w:type="dxa"/>
            <w:vAlign w:val="center"/>
          </w:tcPr>
          <w:p w14:paraId="162389D7" w14:textId="4D638655" w:rsidR="006657FD" w:rsidRDefault="006657FD" w:rsidP="006657FD">
            <w:pPr>
              <w:pStyle w:val="Tablecontent"/>
            </w:pPr>
            <w:r w:rsidRPr="00850E0E">
              <w:t>ALVE-ros005</w:t>
            </w:r>
          </w:p>
        </w:tc>
        <w:tc>
          <w:tcPr>
            <w:tcW w:w="1275" w:type="dxa"/>
            <w:vAlign w:val="center"/>
          </w:tcPr>
          <w:p w14:paraId="6C6BBF7D" w14:textId="4D241BE9" w:rsidR="006657FD" w:rsidRPr="00A062CC" w:rsidRDefault="006657FD" w:rsidP="006657FD">
            <w:pPr>
              <w:pStyle w:val="Tablecontent"/>
            </w:pPr>
            <w:r>
              <w:t>New11</w:t>
            </w:r>
          </w:p>
        </w:tc>
        <w:tc>
          <w:tcPr>
            <w:tcW w:w="1843" w:type="dxa"/>
            <w:vAlign w:val="center"/>
          </w:tcPr>
          <w:p w14:paraId="7C9E1C10" w14:textId="2F1728D0" w:rsidR="006657FD" w:rsidRPr="00A062CC" w:rsidRDefault="006657FD" w:rsidP="006657FD">
            <w:pPr>
              <w:pStyle w:val="Tablecontent"/>
            </w:pPr>
            <w:r w:rsidRPr="00895CD0">
              <w:t>2:</w:t>
            </w:r>
            <w:r>
              <w:t xml:space="preserve"> </w:t>
            </w:r>
            <w:r w:rsidRPr="00895CD0">
              <w:t>142,480,536</w:t>
            </w:r>
          </w:p>
        </w:tc>
        <w:tc>
          <w:tcPr>
            <w:tcW w:w="1134" w:type="dxa"/>
            <w:vAlign w:val="center"/>
          </w:tcPr>
          <w:p w14:paraId="58A7832E" w14:textId="06F9C719" w:rsidR="006657FD" w:rsidRPr="00A062CC" w:rsidRDefault="006657FD" w:rsidP="0081699B">
            <w:pPr>
              <w:pStyle w:val="Tablecontent"/>
            </w:pPr>
            <w:r w:rsidRPr="006E3C87">
              <w:t>TTGATA</w:t>
            </w:r>
          </w:p>
        </w:tc>
        <w:tc>
          <w:tcPr>
            <w:tcW w:w="1843" w:type="dxa"/>
            <w:vAlign w:val="center"/>
          </w:tcPr>
          <w:p w14:paraId="2D604ECF" w14:textId="6BC69975" w:rsidR="006657FD" w:rsidRPr="00A062CC" w:rsidRDefault="006657FD" w:rsidP="006657FD">
            <w:pPr>
              <w:pStyle w:val="Tablecontent"/>
            </w:pPr>
          </w:p>
        </w:tc>
      </w:tr>
      <w:tr w:rsidR="006657FD" w14:paraId="12777C12" w14:textId="77777777" w:rsidTr="0081699B">
        <w:trPr>
          <w:jc w:val="center"/>
        </w:trPr>
        <w:tc>
          <w:tcPr>
            <w:tcW w:w="1560" w:type="dxa"/>
            <w:vAlign w:val="center"/>
          </w:tcPr>
          <w:p w14:paraId="624AB365" w14:textId="7E253E58" w:rsidR="006657FD" w:rsidRDefault="006657FD" w:rsidP="006657FD">
            <w:pPr>
              <w:pStyle w:val="Tablecontent"/>
            </w:pPr>
            <w:r w:rsidRPr="00850E0E">
              <w:t>ALVE-NSAC3</w:t>
            </w:r>
          </w:p>
        </w:tc>
        <w:tc>
          <w:tcPr>
            <w:tcW w:w="1275" w:type="dxa"/>
            <w:vAlign w:val="center"/>
          </w:tcPr>
          <w:p w14:paraId="66D1106B" w14:textId="77777777" w:rsidR="006657FD" w:rsidRPr="00A062CC" w:rsidRDefault="006657FD" w:rsidP="006657FD">
            <w:pPr>
              <w:pStyle w:val="Tablecontent"/>
            </w:pPr>
          </w:p>
        </w:tc>
        <w:tc>
          <w:tcPr>
            <w:tcW w:w="1843" w:type="dxa"/>
            <w:vAlign w:val="center"/>
          </w:tcPr>
          <w:p w14:paraId="7D6FB3D5" w14:textId="7DB477C2" w:rsidR="006657FD" w:rsidRPr="00A062CC" w:rsidRDefault="006657FD" w:rsidP="006657FD">
            <w:pPr>
              <w:pStyle w:val="Tablecontent"/>
            </w:pPr>
            <w:r w:rsidRPr="00895CD0">
              <w:t>3:</w:t>
            </w:r>
            <w:r>
              <w:t xml:space="preserve"> </w:t>
            </w:r>
            <w:r w:rsidRPr="00895CD0">
              <w:t>53,639,776</w:t>
            </w:r>
          </w:p>
        </w:tc>
        <w:tc>
          <w:tcPr>
            <w:tcW w:w="1134" w:type="dxa"/>
            <w:vAlign w:val="center"/>
          </w:tcPr>
          <w:p w14:paraId="4152DFD9" w14:textId="3757B6AA" w:rsidR="006657FD" w:rsidRPr="00A062CC" w:rsidRDefault="006657FD" w:rsidP="0081699B">
            <w:pPr>
              <w:pStyle w:val="Tablecontent"/>
            </w:pPr>
            <w:r w:rsidRPr="006E3C87">
              <w:t>ATAAAA</w:t>
            </w:r>
          </w:p>
        </w:tc>
        <w:tc>
          <w:tcPr>
            <w:tcW w:w="1843" w:type="dxa"/>
            <w:vAlign w:val="center"/>
          </w:tcPr>
          <w:p w14:paraId="23627036" w14:textId="7FC5F168" w:rsidR="006657FD" w:rsidRPr="00A062CC" w:rsidRDefault="006657FD" w:rsidP="006657FD">
            <w:pPr>
              <w:pStyle w:val="Tablecontent"/>
            </w:pPr>
          </w:p>
        </w:tc>
      </w:tr>
      <w:tr w:rsidR="006657FD" w14:paraId="58636BD1" w14:textId="77777777" w:rsidTr="0081699B">
        <w:trPr>
          <w:jc w:val="center"/>
        </w:trPr>
        <w:tc>
          <w:tcPr>
            <w:tcW w:w="1560" w:type="dxa"/>
            <w:vAlign w:val="center"/>
          </w:tcPr>
          <w:p w14:paraId="522CA2F4" w14:textId="75D5C381" w:rsidR="006657FD" w:rsidRDefault="006657FD" w:rsidP="006657FD">
            <w:pPr>
              <w:pStyle w:val="Tablecontent"/>
            </w:pPr>
            <w:r w:rsidRPr="00850E0E">
              <w:t>ALVE-ros006</w:t>
            </w:r>
          </w:p>
        </w:tc>
        <w:tc>
          <w:tcPr>
            <w:tcW w:w="1275" w:type="dxa"/>
            <w:vAlign w:val="center"/>
          </w:tcPr>
          <w:p w14:paraId="157454AB" w14:textId="55128872" w:rsidR="006657FD" w:rsidRPr="00A062CC" w:rsidRDefault="006657FD" w:rsidP="006657FD">
            <w:pPr>
              <w:pStyle w:val="Tablecontent"/>
            </w:pPr>
            <w:r>
              <w:t>N4</w:t>
            </w:r>
          </w:p>
        </w:tc>
        <w:tc>
          <w:tcPr>
            <w:tcW w:w="1843" w:type="dxa"/>
            <w:vAlign w:val="center"/>
          </w:tcPr>
          <w:p w14:paraId="2AE0D86C" w14:textId="58F3E7F0" w:rsidR="006657FD" w:rsidRPr="00A062CC" w:rsidRDefault="006657FD" w:rsidP="006657FD">
            <w:pPr>
              <w:pStyle w:val="Tablecontent"/>
            </w:pPr>
            <w:r w:rsidRPr="00895CD0">
              <w:t>3:</w:t>
            </w:r>
            <w:r>
              <w:t xml:space="preserve"> </w:t>
            </w:r>
            <w:r w:rsidRPr="00895CD0">
              <w:t>57,337,987</w:t>
            </w:r>
          </w:p>
        </w:tc>
        <w:tc>
          <w:tcPr>
            <w:tcW w:w="1134" w:type="dxa"/>
            <w:vAlign w:val="center"/>
          </w:tcPr>
          <w:p w14:paraId="0EDB78D6" w14:textId="3B077485" w:rsidR="006657FD" w:rsidRPr="00A062CC" w:rsidRDefault="006657FD" w:rsidP="0081699B">
            <w:pPr>
              <w:pStyle w:val="Tablecontent"/>
            </w:pPr>
            <w:r w:rsidRPr="006E3C87">
              <w:t>GGACTC</w:t>
            </w:r>
          </w:p>
        </w:tc>
        <w:tc>
          <w:tcPr>
            <w:tcW w:w="1843" w:type="dxa"/>
            <w:vAlign w:val="center"/>
          </w:tcPr>
          <w:p w14:paraId="14B755CE" w14:textId="6BE4189B" w:rsidR="006657FD" w:rsidRPr="00A062CC" w:rsidRDefault="006657FD" w:rsidP="006657FD">
            <w:pPr>
              <w:pStyle w:val="Tablecontent"/>
            </w:pPr>
          </w:p>
        </w:tc>
      </w:tr>
      <w:tr w:rsidR="006657FD" w14:paraId="081A3A80" w14:textId="77777777" w:rsidTr="0081699B">
        <w:trPr>
          <w:jc w:val="center"/>
        </w:trPr>
        <w:tc>
          <w:tcPr>
            <w:tcW w:w="1560" w:type="dxa"/>
            <w:vAlign w:val="center"/>
          </w:tcPr>
          <w:p w14:paraId="0B548D83" w14:textId="24BA30B7" w:rsidR="006657FD" w:rsidRDefault="006657FD" w:rsidP="006657FD">
            <w:pPr>
              <w:pStyle w:val="Tablecontent"/>
            </w:pPr>
            <w:r w:rsidRPr="00850E0E">
              <w:t>ALVE15</w:t>
            </w:r>
          </w:p>
        </w:tc>
        <w:tc>
          <w:tcPr>
            <w:tcW w:w="1275" w:type="dxa"/>
            <w:vAlign w:val="center"/>
          </w:tcPr>
          <w:p w14:paraId="45C59868" w14:textId="77777777" w:rsidR="006657FD" w:rsidRPr="00A062CC" w:rsidRDefault="006657FD" w:rsidP="006657FD">
            <w:pPr>
              <w:pStyle w:val="Tablecontent"/>
            </w:pPr>
          </w:p>
        </w:tc>
        <w:tc>
          <w:tcPr>
            <w:tcW w:w="1843" w:type="dxa"/>
            <w:vAlign w:val="center"/>
          </w:tcPr>
          <w:p w14:paraId="4874A200" w14:textId="0E7C2EA0" w:rsidR="006657FD" w:rsidRPr="00A062CC" w:rsidRDefault="006657FD" w:rsidP="006657FD">
            <w:pPr>
              <w:pStyle w:val="Tablecontent"/>
            </w:pPr>
            <w:r w:rsidRPr="00895CD0">
              <w:t>3:</w:t>
            </w:r>
            <w:r>
              <w:t xml:space="preserve"> </w:t>
            </w:r>
            <w:r w:rsidRPr="00895CD0">
              <w:t>70,384,294</w:t>
            </w:r>
          </w:p>
        </w:tc>
        <w:tc>
          <w:tcPr>
            <w:tcW w:w="1134" w:type="dxa"/>
            <w:vAlign w:val="center"/>
          </w:tcPr>
          <w:p w14:paraId="3D77BA22" w14:textId="280DE736" w:rsidR="006657FD" w:rsidRPr="00A062CC" w:rsidRDefault="006657FD" w:rsidP="0081699B">
            <w:pPr>
              <w:pStyle w:val="Tablecontent"/>
            </w:pPr>
            <w:r w:rsidRPr="006E3C87">
              <w:t>GTTTAT</w:t>
            </w:r>
          </w:p>
        </w:tc>
        <w:tc>
          <w:tcPr>
            <w:tcW w:w="1843" w:type="dxa"/>
            <w:vAlign w:val="center"/>
          </w:tcPr>
          <w:p w14:paraId="352C85EA" w14:textId="2FB51D9C" w:rsidR="006657FD" w:rsidRPr="00A062CC" w:rsidRDefault="006657FD" w:rsidP="006657FD">
            <w:pPr>
              <w:pStyle w:val="Tablecontent"/>
            </w:pPr>
            <w:r w:rsidRPr="003B0997">
              <w:t>GRIK2 intron 16</w:t>
            </w:r>
          </w:p>
        </w:tc>
      </w:tr>
      <w:tr w:rsidR="006657FD" w14:paraId="577ABCD8" w14:textId="77777777" w:rsidTr="0081699B">
        <w:trPr>
          <w:jc w:val="center"/>
        </w:trPr>
        <w:tc>
          <w:tcPr>
            <w:tcW w:w="1560" w:type="dxa"/>
            <w:vAlign w:val="center"/>
          </w:tcPr>
          <w:p w14:paraId="05B2773B" w14:textId="15EB91E8" w:rsidR="006657FD" w:rsidRDefault="006657FD" w:rsidP="006657FD">
            <w:pPr>
              <w:pStyle w:val="Tablecontent"/>
            </w:pPr>
            <w:r w:rsidRPr="00850E0E">
              <w:t>ALVE-ros007</w:t>
            </w:r>
          </w:p>
        </w:tc>
        <w:tc>
          <w:tcPr>
            <w:tcW w:w="1275" w:type="dxa"/>
            <w:vAlign w:val="center"/>
          </w:tcPr>
          <w:p w14:paraId="2A94BBF2" w14:textId="77777777" w:rsidR="006657FD" w:rsidRPr="00A062CC" w:rsidRDefault="006657FD" w:rsidP="006657FD">
            <w:pPr>
              <w:pStyle w:val="Tablecontent"/>
            </w:pPr>
          </w:p>
        </w:tc>
        <w:tc>
          <w:tcPr>
            <w:tcW w:w="1843" w:type="dxa"/>
            <w:vAlign w:val="center"/>
          </w:tcPr>
          <w:p w14:paraId="26FAFE85" w14:textId="20E5F91D" w:rsidR="006657FD" w:rsidRPr="00A062CC" w:rsidRDefault="006657FD" w:rsidP="006657FD">
            <w:pPr>
              <w:pStyle w:val="Tablecontent"/>
            </w:pPr>
            <w:r w:rsidRPr="00895CD0">
              <w:t>4:</w:t>
            </w:r>
            <w:r>
              <w:t xml:space="preserve"> </w:t>
            </w:r>
            <w:r w:rsidRPr="00895CD0">
              <w:t>59,843,015</w:t>
            </w:r>
          </w:p>
        </w:tc>
        <w:tc>
          <w:tcPr>
            <w:tcW w:w="1134" w:type="dxa"/>
            <w:vAlign w:val="center"/>
          </w:tcPr>
          <w:p w14:paraId="0602F25C" w14:textId="386BD4BD" w:rsidR="006657FD" w:rsidRPr="00A062CC" w:rsidRDefault="006657FD" w:rsidP="0081699B">
            <w:pPr>
              <w:pStyle w:val="Tablecontent"/>
            </w:pPr>
            <w:r w:rsidRPr="006E3C87">
              <w:t>AATAGA</w:t>
            </w:r>
          </w:p>
        </w:tc>
        <w:tc>
          <w:tcPr>
            <w:tcW w:w="1843" w:type="dxa"/>
            <w:vAlign w:val="center"/>
          </w:tcPr>
          <w:p w14:paraId="3A18762F" w14:textId="48A0342D" w:rsidR="006657FD" w:rsidRPr="00A062CC" w:rsidRDefault="006657FD" w:rsidP="006657FD">
            <w:pPr>
              <w:pStyle w:val="Tablecontent"/>
            </w:pPr>
          </w:p>
        </w:tc>
      </w:tr>
      <w:tr w:rsidR="006657FD" w14:paraId="06D37A36" w14:textId="77777777" w:rsidTr="0081699B">
        <w:trPr>
          <w:jc w:val="center"/>
        </w:trPr>
        <w:tc>
          <w:tcPr>
            <w:tcW w:w="1560" w:type="dxa"/>
            <w:vAlign w:val="center"/>
          </w:tcPr>
          <w:p w14:paraId="5AE94D11" w14:textId="09493851" w:rsidR="006657FD" w:rsidRDefault="006657FD" w:rsidP="006657FD">
            <w:pPr>
              <w:pStyle w:val="Tablecontent"/>
            </w:pPr>
            <w:r w:rsidRPr="00850E0E">
              <w:t>ALVE-ros008</w:t>
            </w:r>
          </w:p>
        </w:tc>
        <w:tc>
          <w:tcPr>
            <w:tcW w:w="1275" w:type="dxa"/>
            <w:vAlign w:val="center"/>
          </w:tcPr>
          <w:p w14:paraId="433E780A" w14:textId="6E961C52" w:rsidR="006657FD" w:rsidRPr="00A062CC" w:rsidRDefault="006657FD" w:rsidP="006657FD">
            <w:pPr>
              <w:pStyle w:val="Tablecontent"/>
            </w:pPr>
            <w:r>
              <w:t>BK-59</w:t>
            </w:r>
          </w:p>
        </w:tc>
        <w:tc>
          <w:tcPr>
            <w:tcW w:w="1843" w:type="dxa"/>
            <w:vAlign w:val="center"/>
          </w:tcPr>
          <w:p w14:paraId="4E9002EE" w14:textId="47DC14C5" w:rsidR="006657FD" w:rsidRPr="00A062CC" w:rsidRDefault="006657FD" w:rsidP="006657FD">
            <w:pPr>
              <w:pStyle w:val="Tablecontent"/>
            </w:pPr>
            <w:r w:rsidRPr="00895CD0">
              <w:t>4:</w:t>
            </w:r>
            <w:r>
              <w:t xml:space="preserve"> </w:t>
            </w:r>
            <w:r w:rsidRPr="00895CD0">
              <w:t>62,680,158</w:t>
            </w:r>
          </w:p>
        </w:tc>
        <w:tc>
          <w:tcPr>
            <w:tcW w:w="1134" w:type="dxa"/>
            <w:vAlign w:val="center"/>
          </w:tcPr>
          <w:p w14:paraId="05CD4280" w14:textId="1BCD3380" w:rsidR="006657FD" w:rsidRPr="00A062CC" w:rsidRDefault="006657FD" w:rsidP="0081699B">
            <w:pPr>
              <w:pStyle w:val="Tablecontent"/>
            </w:pPr>
            <w:r w:rsidRPr="006E3C87">
              <w:t>CTGTAG</w:t>
            </w:r>
          </w:p>
        </w:tc>
        <w:tc>
          <w:tcPr>
            <w:tcW w:w="1843" w:type="dxa"/>
            <w:vAlign w:val="center"/>
          </w:tcPr>
          <w:p w14:paraId="2E7CDA67" w14:textId="35B2FC91" w:rsidR="006657FD" w:rsidRPr="00A062CC" w:rsidRDefault="006657FD" w:rsidP="006657FD">
            <w:pPr>
              <w:pStyle w:val="Tablecontent"/>
            </w:pPr>
          </w:p>
        </w:tc>
      </w:tr>
      <w:tr w:rsidR="006657FD" w14:paraId="06E6E36D" w14:textId="77777777" w:rsidTr="0081699B">
        <w:trPr>
          <w:jc w:val="center"/>
        </w:trPr>
        <w:tc>
          <w:tcPr>
            <w:tcW w:w="1560" w:type="dxa"/>
            <w:vAlign w:val="center"/>
          </w:tcPr>
          <w:p w14:paraId="0A21EBD0" w14:textId="59023665" w:rsidR="006657FD" w:rsidRDefault="006657FD" w:rsidP="006657FD">
            <w:pPr>
              <w:pStyle w:val="Tablecontent"/>
            </w:pPr>
            <w:r w:rsidRPr="00850E0E">
              <w:t>ALVE-ros009</w:t>
            </w:r>
          </w:p>
        </w:tc>
        <w:tc>
          <w:tcPr>
            <w:tcW w:w="1275" w:type="dxa"/>
            <w:vAlign w:val="center"/>
          </w:tcPr>
          <w:p w14:paraId="52605005" w14:textId="77777777" w:rsidR="006657FD" w:rsidRPr="00A062CC" w:rsidRDefault="006657FD" w:rsidP="006657FD">
            <w:pPr>
              <w:pStyle w:val="Tablecontent"/>
            </w:pPr>
          </w:p>
        </w:tc>
        <w:tc>
          <w:tcPr>
            <w:tcW w:w="1843" w:type="dxa"/>
            <w:vAlign w:val="center"/>
          </w:tcPr>
          <w:p w14:paraId="53EAB844" w14:textId="1E09A925" w:rsidR="006657FD" w:rsidRPr="00A062CC" w:rsidRDefault="006657FD" w:rsidP="006657FD">
            <w:pPr>
              <w:pStyle w:val="Tablecontent"/>
            </w:pPr>
            <w:r w:rsidRPr="00895CD0">
              <w:t>4:</w:t>
            </w:r>
            <w:r>
              <w:t xml:space="preserve"> </w:t>
            </w:r>
            <w:r w:rsidRPr="00895CD0">
              <w:t>71,095,932</w:t>
            </w:r>
          </w:p>
        </w:tc>
        <w:tc>
          <w:tcPr>
            <w:tcW w:w="1134" w:type="dxa"/>
            <w:vAlign w:val="center"/>
          </w:tcPr>
          <w:p w14:paraId="6EABEA7B" w14:textId="2A3D6B00" w:rsidR="006657FD" w:rsidRPr="00A062CC" w:rsidRDefault="006657FD" w:rsidP="0081699B">
            <w:pPr>
              <w:pStyle w:val="Tablecontent"/>
            </w:pPr>
            <w:r w:rsidRPr="006E3C87">
              <w:t>GTCCAG</w:t>
            </w:r>
          </w:p>
        </w:tc>
        <w:tc>
          <w:tcPr>
            <w:tcW w:w="1843" w:type="dxa"/>
            <w:vAlign w:val="center"/>
          </w:tcPr>
          <w:p w14:paraId="544F7275" w14:textId="1EFE3BB0" w:rsidR="006657FD" w:rsidRPr="00A062CC" w:rsidRDefault="006657FD" w:rsidP="006657FD">
            <w:pPr>
              <w:pStyle w:val="Tablecontent"/>
            </w:pPr>
          </w:p>
        </w:tc>
      </w:tr>
      <w:tr w:rsidR="006657FD" w14:paraId="7742CEF9" w14:textId="77777777" w:rsidTr="0081699B">
        <w:trPr>
          <w:jc w:val="center"/>
        </w:trPr>
        <w:tc>
          <w:tcPr>
            <w:tcW w:w="1560" w:type="dxa"/>
            <w:vAlign w:val="center"/>
          </w:tcPr>
          <w:p w14:paraId="5312BC8D" w14:textId="44ED98A8" w:rsidR="006657FD" w:rsidRDefault="006657FD" w:rsidP="006657FD">
            <w:pPr>
              <w:pStyle w:val="Tablecontent"/>
            </w:pPr>
            <w:r w:rsidRPr="00850E0E">
              <w:t>ALVE9</w:t>
            </w:r>
          </w:p>
        </w:tc>
        <w:tc>
          <w:tcPr>
            <w:tcW w:w="1275" w:type="dxa"/>
            <w:vAlign w:val="center"/>
          </w:tcPr>
          <w:p w14:paraId="10D84784" w14:textId="77777777" w:rsidR="006657FD" w:rsidRPr="00A062CC" w:rsidRDefault="006657FD" w:rsidP="006657FD">
            <w:pPr>
              <w:pStyle w:val="Tablecontent"/>
            </w:pPr>
          </w:p>
        </w:tc>
        <w:tc>
          <w:tcPr>
            <w:tcW w:w="1843" w:type="dxa"/>
            <w:vAlign w:val="center"/>
          </w:tcPr>
          <w:p w14:paraId="543C41B5" w14:textId="07DC8876" w:rsidR="006657FD" w:rsidRPr="00A062CC" w:rsidRDefault="006657FD" w:rsidP="006657FD">
            <w:pPr>
              <w:pStyle w:val="Tablecontent"/>
            </w:pPr>
            <w:r w:rsidRPr="00895CD0">
              <w:t>6:</w:t>
            </w:r>
            <w:r>
              <w:t xml:space="preserve"> </w:t>
            </w:r>
            <w:r w:rsidRPr="00895CD0">
              <w:t>33,153,441</w:t>
            </w:r>
          </w:p>
        </w:tc>
        <w:tc>
          <w:tcPr>
            <w:tcW w:w="1134" w:type="dxa"/>
            <w:vAlign w:val="center"/>
          </w:tcPr>
          <w:p w14:paraId="26B1A3C8" w14:textId="113EAD01" w:rsidR="006657FD" w:rsidRPr="00A062CC" w:rsidRDefault="006657FD" w:rsidP="0081699B">
            <w:pPr>
              <w:pStyle w:val="Tablecontent"/>
            </w:pPr>
            <w:r w:rsidRPr="006E3C87">
              <w:t>CTCAAA</w:t>
            </w:r>
          </w:p>
        </w:tc>
        <w:tc>
          <w:tcPr>
            <w:tcW w:w="1843" w:type="dxa"/>
            <w:vAlign w:val="center"/>
          </w:tcPr>
          <w:p w14:paraId="07E50022" w14:textId="36A24179" w:rsidR="006657FD" w:rsidRPr="00A062CC" w:rsidRDefault="006657FD" w:rsidP="006657FD">
            <w:pPr>
              <w:pStyle w:val="Tablecontent"/>
            </w:pPr>
            <w:r w:rsidRPr="003B0997">
              <w:t>DOCK1 intron 35</w:t>
            </w:r>
          </w:p>
        </w:tc>
      </w:tr>
      <w:tr w:rsidR="006657FD" w14:paraId="315D20CB" w14:textId="77777777" w:rsidTr="0081699B">
        <w:trPr>
          <w:jc w:val="center"/>
        </w:trPr>
        <w:tc>
          <w:tcPr>
            <w:tcW w:w="1560" w:type="dxa"/>
            <w:vAlign w:val="center"/>
          </w:tcPr>
          <w:p w14:paraId="76EEB168" w14:textId="6A06484F" w:rsidR="006657FD" w:rsidRDefault="006657FD" w:rsidP="006657FD">
            <w:pPr>
              <w:pStyle w:val="Tablecontent"/>
            </w:pPr>
            <w:r w:rsidRPr="00850E0E">
              <w:t>ALVE-NSAC7</w:t>
            </w:r>
          </w:p>
        </w:tc>
        <w:tc>
          <w:tcPr>
            <w:tcW w:w="1275" w:type="dxa"/>
            <w:vAlign w:val="center"/>
          </w:tcPr>
          <w:p w14:paraId="3E18CE4E" w14:textId="77777777" w:rsidR="006657FD" w:rsidRPr="00A062CC" w:rsidRDefault="006657FD" w:rsidP="006657FD">
            <w:pPr>
              <w:pStyle w:val="Tablecontent"/>
            </w:pPr>
          </w:p>
        </w:tc>
        <w:tc>
          <w:tcPr>
            <w:tcW w:w="1843" w:type="dxa"/>
            <w:vAlign w:val="center"/>
          </w:tcPr>
          <w:p w14:paraId="58AF52FD" w14:textId="43E481E0" w:rsidR="006657FD" w:rsidRPr="00A062CC" w:rsidRDefault="006657FD" w:rsidP="006657FD">
            <w:pPr>
              <w:pStyle w:val="Tablecontent"/>
            </w:pPr>
            <w:r w:rsidRPr="00895CD0">
              <w:t>9:</w:t>
            </w:r>
            <w:r>
              <w:t xml:space="preserve"> </w:t>
            </w:r>
            <w:r w:rsidRPr="00895CD0">
              <w:t>11,714,130</w:t>
            </w:r>
          </w:p>
        </w:tc>
        <w:tc>
          <w:tcPr>
            <w:tcW w:w="1134" w:type="dxa"/>
            <w:vAlign w:val="center"/>
          </w:tcPr>
          <w:p w14:paraId="590F86C8" w14:textId="2C7FB636" w:rsidR="006657FD" w:rsidRPr="00A062CC" w:rsidRDefault="006657FD" w:rsidP="0081699B">
            <w:pPr>
              <w:pStyle w:val="Tablecontent"/>
            </w:pPr>
            <w:r w:rsidRPr="006E3C87">
              <w:t>CTTCTC</w:t>
            </w:r>
          </w:p>
        </w:tc>
        <w:tc>
          <w:tcPr>
            <w:tcW w:w="1843" w:type="dxa"/>
            <w:vAlign w:val="center"/>
          </w:tcPr>
          <w:p w14:paraId="43B27C73" w14:textId="7D11F652" w:rsidR="006657FD" w:rsidRPr="00A062CC" w:rsidRDefault="006657FD" w:rsidP="006657FD">
            <w:pPr>
              <w:pStyle w:val="Tablecontent"/>
            </w:pPr>
          </w:p>
        </w:tc>
      </w:tr>
      <w:tr w:rsidR="006657FD" w14:paraId="7EA6BF86" w14:textId="77777777" w:rsidTr="0081699B">
        <w:trPr>
          <w:jc w:val="center"/>
        </w:trPr>
        <w:tc>
          <w:tcPr>
            <w:tcW w:w="1560" w:type="dxa"/>
            <w:vAlign w:val="center"/>
          </w:tcPr>
          <w:p w14:paraId="72A2F39A" w14:textId="0E10F264" w:rsidR="006657FD" w:rsidRDefault="006657FD" w:rsidP="006657FD">
            <w:pPr>
              <w:pStyle w:val="Tablecontent"/>
            </w:pPr>
            <w:r w:rsidRPr="00850E0E">
              <w:t>ALVE-ros010</w:t>
            </w:r>
          </w:p>
        </w:tc>
        <w:tc>
          <w:tcPr>
            <w:tcW w:w="1275" w:type="dxa"/>
            <w:vAlign w:val="center"/>
          </w:tcPr>
          <w:p w14:paraId="70684E7B" w14:textId="77777777" w:rsidR="006657FD" w:rsidRPr="00A062CC" w:rsidRDefault="006657FD" w:rsidP="006657FD">
            <w:pPr>
              <w:pStyle w:val="Tablecontent"/>
            </w:pPr>
          </w:p>
        </w:tc>
        <w:tc>
          <w:tcPr>
            <w:tcW w:w="1843" w:type="dxa"/>
            <w:vAlign w:val="center"/>
          </w:tcPr>
          <w:p w14:paraId="6C97C87B" w14:textId="4C821FC4" w:rsidR="006657FD" w:rsidRPr="00A062CC" w:rsidRDefault="006657FD" w:rsidP="006657FD">
            <w:pPr>
              <w:pStyle w:val="Tablecontent"/>
            </w:pPr>
            <w:r w:rsidRPr="00895CD0">
              <w:t>9:</w:t>
            </w:r>
            <w:r>
              <w:t xml:space="preserve"> </w:t>
            </w:r>
            <w:r w:rsidRPr="00895CD0">
              <w:t>11,871,576</w:t>
            </w:r>
          </w:p>
        </w:tc>
        <w:tc>
          <w:tcPr>
            <w:tcW w:w="1134" w:type="dxa"/>
            <w:vAlign w:val="center"/>
          </w:tcPr>
          <w:p w14:paraId="15F30402" w14:textId="3A7E0DF5" w:rsidR="006657FD" w:rsidRPr="00A062CC" w:rsidRDefault="006657FD" w:rsidP="0081699B">
            <w:pPr>
              <w:pStyle w:val="Tablecontent"/>
            </w:pPr>
            <w:r w:rsidRPr="006E3C87">
              <w:t>TCGGAT</w:t>
            </w:r>
          </w:p>
        </w:tc>
        <w:tc>
          <w:tcPr>
            <w:tcW w:w="1843" w:type="dxa"/>
            <w:vAlign w:val="center"/>
          </w:tcPr>
          <w:p w14:paraId="26ED74CE" w14:textId="723F1353" w:rsidR="006657FD" w:rsidRPr="00A062CC" w:rsidRDefault="006657FD" w:rsidP="006657FD">
            <w:pPr>
              <w:pStyle w:val="Tablecontent"/>
            </w:pPr>
          </w:p>
        </w:tc>
      </w:tr>
      <w:tr w:rsidR="006657FD" w14:paraId="6E5FFFA3" w14:textId="4ACAD3A3" w:rsidTr="0081699B">
        <w:trPr>
          <w:jc w:val="center"/>
        </w:trPr>
        <w:tc>
          <w:tcPr>
            <w:tcW w:w="1560" w:type="dxa"/>
            <w:vAlign w:val="center"/>
          </w:tcPr>
          <w:p w14:paraId="2739BCF1" w14:textId="3B2FAB30" w:rsidR="006657FD" w:rsidRDefault="006657FD" w:rsidP="006657FD">
            <w:pPr>
              <w:pStyle w:val="Tablecontent"/>
            </w:pPr>
            <w:r w:rsidRPr="00850E0E">
              <w:t>ALVE3</w:t>
            </w:r>
          </w:p>
        </w:tc>
        <w:tc>
          <w:tcPr>
            <w:tcW w:w="1275" w:type="dxa"/>
            <w:vAlign w:val="center"/>
          </w:tcPr>
          <w:p w14:paraId="6D1233F4" w14:textId="4A1AD531" w:rsidR="006657FD" w:rsidRPr="00A062CC" w:rsidRDefault="006657FD" w:rsidP="006657FD">
            <w:pPr>
              <w:pStyle w:val="Tablecontent"/>
            </w:pPr>
          </w:p>
        </w:tc>
        <w:tc>
          <w:tcPr>
            <w:tcW w:w="1843" w:type="dxa"/>
            <w:vAlign w:val="center"/>
          </w:tcPr>
          <w:p w14:paraId="75956EEE" w14:textId="1305B834" w:rsidR="006657FD" w:rsidRPr="00A062CC" w:rsidRDefault="006657FD" w:rsidP="006657FD">
            <w:pPr>
              <w:pStyle w:val="Tablecontent"/>
            </w:pPr>
            <w:r w:rsidRPr="00895CD0">
              <w:t>20:</w:t>
            </w:r>
            <w:r>
              <w:t xml:space="preserve"> </w:t>
            </w:r>
            <w:r w:rsidRPr="00895CD0">
              <w:t>10,309,347</w:t>
            </w:r>
          </w:p>
        </w:tc>
        <w:tc>
          <w:tcPr>
            <w:tcW w:w="1134" w:type="dxa"/>
            <w:vAlign w:val="center"/>
          </w:tcPr>
          <w:p w14:paraId="45DEE474" w14:textId="10EA4FC4" w:rsidR="006657FD" w:rsidRPr="00A062CC" w:rsidRDefault="006657FD" w:rsidP="0081699B">
            <w:pPr>
              <w:pStyle w:val="Tablecontent"/>
            </w:pPr>
            <w:r w:rsidRPr="006E3C87">
              <w:t>AACCAC</w:t>
            </w:r>
          </w:p>
        </w:tc>
        <w:tc>
          <w:tcPr>
            <w:tcW w:w="1843" w:type="dxa"/>
            <w:vAlign w:val="center"/>
          </w:tcPr>
          <w:p w14:paraId="6225E0B7" w14:textId="3B8074DB" w:rsidR="006657FD" w:rsidRPr="00A062CC" w:rsidRDefault="006657FD" w:rsidP="006657FD">
            <w:pPr>
              <w:pStyle w:val="Tablecontent"/>
            </w:pPr>
            <w:r w:rsidRPr="003B0997">
              <w:t>HCK intron 6</w:t>
            </w:r>
          </w:p>
        </w:tc>
      </w:tr>
      <w:tr w:rsidR="006657FD" w14:paraId="2E702146" w14:textId="622AB7C7" w:rsidTr="0081699B">
        <w:trPr>
          <w:jc w:val="center"/>
        </w:trPr>
        <w:tc>
          <w:tcPr>
            <w:tcW w:w="1560" w:type="dxa"/>
            <w:tcBorders>
              <w:bottom w:val="single" w:sz="4" w:space="0" w:color="auto"/>
            </w:tcBorders>
            <w:vAlign w:val="center"/>
          </w:tcPr>
          <w:p w14:paraId="73DF14E9" w14:textId="2EC72781" w:rsidR="006657FD" w:rsidRDefault="006657FD" w:rsidP="006657FD">
            <w:pPr>
              <w:pStyle w:val="Tablecontent"/>
            </w:pPr>
            <w:r w:rsidRPr="00850E0E">
              <w:t>ALVE21</w:t>
            </w:r>
          </w:p>
        </w:tc>
        <w:tc>
          <w:tcPr>
            <w:tcW w:w="1275" w:type="dxa"/>
            <w:tcBorders>
              <w:bottom w:val="single" w:sz="4" w:space="0" w:color="auto"/>
            </w:tcBorders>
            <w:vAlign w:val="center"/>
          </w:tcPr>
          <w:p w14:paraId="503222DC" w14:textId="586442A6" w:rsidR="006657FD" w:rsidRPr="00A062CC" w:rsidRDefault="006657FD" w:rsidP="006657FD">
            <w:pPr>
              <w:pStyle w:val="Tablecontent"/>
            </w:pPr>
          </w:p>
        </w:tc>
        <w:tc>
          <w:tcPr>
            <w:tcW w:w="1843" w:type="dxa"/>
            <w:tcBorders>
              <w:bottom w:val="single" w:sz="4" w:space="0" w:color="auto"/>
            </w:tcBorders>
            <w:vAlign w:val="center"/>
          </w:tcPr>
          <w:p w14:paraId="68FE8982" w14:textId="5E505491" w:rsidR="006657FD" w:rsidRPr="00A062CC" w:rsidRDefault="006657FD" w:rsidP="006657FD">
            <w:pPr>
              <w:pStyle w:val="Tablecontent"/>
            </w:pPr>
            <w:r w:rsidRPr="00895CD0">
              <w:t>Z:</w:t>
            </w:r>
            <w:r>
              <w:t xml:space="preserve"> </w:t>
            </w:r>
            <w:r w:rsidRPr="00895CD0">
              <w:t>10,681,671</w:t>
            </w:r>
          </w:p>
        </w:tc>
        <w:tc>
          <w:tcPr>
            <w:tcW w:w="1134" w:type="dxa"/>
            <w:tcBorders>
              <w:bottom w:val="single" w:sz="4" w:space="0" w:color="auto"/>
            </w:tcBorders>
            <w:vAlign w:val="center"/>
          </w:tcPr>
          <w:p w14:paraId="7581C1AB" w14:textId="0802CAED" w:rsidR="006657FD" w:rsidRPr="00A062CC" w:rsidRDefault="006657FD" w:rsidP="0081699B">
            <w:pPr>
              <w:pStyle w:val="Tablecontent"/>
            </w:pPr>
            <w:r w:rsidRPr="006E3C87">
              <w:t>GGGTAG</w:t>
            </w:r>
          </w:p>
        </w:tc>
        <w:tc>
          <w:tcPr>
            <w:tcW w:w="1843" w:type="dxa"/>
            <w:tcBorders>
              <w:bottom w:val="single" w:sz="4" w:space="0" w:color="auto"/>
            </w:tcBorders>
            <w:vAlign w:val="center"/>
          </w:tcPr>
          <w:p w14:paraId="1BD92B55" w14:textId="5F901494" w:rsidR="006657FD" w:rsidRPr="00A062CC" w:rsidRDefault="006657FD" w:rsidP="006657FD">
            <w:pPr>
              <w:pStyle w:val="Tablecontent"/>
            </w:pPr>
          </w:p>
        </w:tc>
      </w:tr>
    </w:tbl>
    <w:p w14:paraId="6398C1F2" w14:textId="31686ACB" w:rsidR="00177E66" w:rsidRDefault="00177E66" w:rsidP="00177E66">
      <w:pPr>
        <w:pStyle w:val="ListParagraph"/>
      </w:pPr>
      <w:bookmarkStart w:id="425" w:name="_Ref479000419"/>
    </w:p>
    <w:p w14:paraId="0DD5CD35" w14:textId="4856CF67" w:rsidR="00177E66" w:rsidRPr="00177E66" w:rsidRDefault="00177E66" w:rsidP="00177E66">
      <w:pPr>
        <w:pStyle w:val="ListParagraph"/>
        <w:rPr>
          <w:sz w:val="2"/>
        </w:rPr>
      </w:pPr>
      <w:r>
        <w:t>The initial characterisation of ALVE_ros007 was confusing as the pipeline identified it as two independent sites 1,939 bp apart. The 5’ site (4: 59,843,021) had only 3’ soft-clipped reads, and the 3’ site (4: 59,844,960) had only 5’ soft-clipped reads. Additionally, in the filtered BAM file there were no mapped reads in the space between these two sites, but the full RIR BAM file had mapping throughout the region (</w:t>
      </w:r>
      <w:r w:rsidRPr="00D57A6B">
        <w:fldChar w:fldCharType="begin" w:fldLock="1"/>
      </w:r>
      <w:r w:rsidRPr="00D57A6B">
        <w:instrText xml:space="preserve"> REF _Ref478663059 \h  \* MERGEFORMAT </w:instrText>
      </w:r>
      <w:r w:rsidRPr="00D57A6B">
        <w:fldChar w:fldCharType="separate"/>
      </w:r>
      <w:r w:rsidR="002C549C" w:rsidRPr="005C56D2">
        <w:t xml:space="preserve">Figure </w:t>
      </w:r>
      <w:r w:rsidR="002C549C">
        <w:rPr>
          <w:noProof/>
        </w:rPr>
        <w:t>6</w:t>
      </w:r>
      <w:r w:rsidR="002C549C" w:rsidRPr="005C56D2">
        <w:rPr>
          <w:noProof/>
        </w:rPr>
        <w:t>.</w:t>
      </w:r>
      <w:r w:rsidR="002C549C">
        <w:rPr>
          <w:noProof/>
        </w:rPr>
        <w:t>2</w:t>
      </w:r>
      <w:r w:rsidRPr="00D57A6B">
        <w:fldChar w:fldCharType="end"/>
      </w:r>
      <w:r>
        <w:t xml:space="preserve">). This </w:t>
      </w:r>
      <w:r>
        <w:lastRenderedPageBreak/>
        <w:t>suggested that there had been both an ALVE insertion and a genomic deletion at the site, with the two occurrences linked in one genotype. Further evidence for this came from BLASTn searches against the NCBI non-redundant database with the soft-clipped read sequence. The 3’ soft-clipped reads at the 5’ site were homologous to the 3’ end of the ALVE LTR, suggesting an insertion in the negative orientation. The 5’ soft-clipped</w:t>
      </w:r>
      <w:r>
        <w:br/>
      </w:r>
    </w:p>
    <w:p w14:paraId="11FDA524" w14:textId="47DBD851" w:rsidR="00921438" w:rsidRDefault="00092995" w:rsidP="00092995">
      <w:pPr>
        <w:pStyle w:val="Caption"/>
      </w:pPr>
      <w:bookmarkStart w:id="426" w:name="_Ref486840708"/>
      <w:bookmarkStart w:id="427" w:name="_Toc486786326"/>
      <w:r w:rsidRPr="00D57A6B">
        <w:t xml:space="preserve">Table </w:t>
      </w:r>
      <w:fldSimple w:instr=" STYLEREF 1 \s " w:fldLock="1">
        <w:r w:rsidR="002C549C">
          <w:rPr>
            <w:noProof/>
          </w:rPr>
          <w:t>6</w:t>
        </w:r>
      </w:fldSimple>
      <w:r w:rsidR="001167C6" w:rsidRPr="00D57A6B">
        <w:t>.</w:t>
      </w:r>
      <w:fldSimple w:instr=" SEQ Table \* ARABIC \s 1 " w:fldLock="1">
        <w:r w:rsidR="002C549C">
          <w:rPr>
            <w:noProof/>
          </w:rPr>
          <w:t>3</w:t>
        </w:r>
      </w:fldSimple>
      <w:bookmarkEnd w:id="425"/>
      <w:bookmarkEnd w:id="426"/>
      <w:r>
        <w:t xml:space="preserve"> </w:t>
      </w:r>
      <w:r w:rsidR="007E1751">
        <w:t>The ALVEs identified in each of the Hy-Line elite layer lines</w:t>
      </w:r>
      <w:r w:rsidR="00625E83">
        <w:t xml:space="preserve"> using the ALVE identification pipeline</w:t>
      </w:r>
      <w:r w:rsidR="007E1751">
        <w:t>.</w:t>
      </w:r>
      <w:bookmarkEnd w:id="427"/>
    </w:p>
    <w:tbl>
      <w:tblPr>
        <w:tblStyle w:val="TableGrid"/>
        <w:tblW w:w="82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850"/>
        <w:gridCol w:w="850"/>
        <w:gridCol w:w="850"/>
        <w:gridCol w:w="850"/>
        <w:gridCol w:w="850"/>
        <w:gridCol w:w="850"/>
        <w:gridCol w:w="850"/>
        <w:gridCol w:w="850"/>
      </w:tblGrid>
      <w:tr w:rsidR="007E1751" w14:paraId="7E06AB07" w14:textId="47D175D8" w:rsidTr="007E1751">
        <w:trPr>
          <w:trHeight w:val="515"/>
        </w:trPr>
        <w:tc>
          <w:tcPr>
            <w:tcW w:w="1418" w:type="dxa"/>
            <w:tcBorders>
              <w:top w:val="single" w:sz="4" w:space="0" w:color="auto"/>
              <w:bottom w:val="single" w:sz="4" w:space="0" w:color="auto"/>
            </w:tcBorders>
            <w:vAlign w:val="center"/>
          </w:tcPr>
          <w:p w14:paraId="4B96E203" w14:textId="77777777" w:rsidR="007E1751" w:rsidRDefault="007E1751" w:rsidP="00610669">
            <w:pPr>
              <w:pStyle w:val="Tablecontent"/>
            </w:pPr>
            <w:r>
              <w:t>Name</w:t>
            </w:r>
          </w:p>
        </w:tc>
        <w:tc>
          <w:tcPr>
            <w:tcW w:w="850" w:type="dxa"/>
            <w:tcBorders>
              <w:top w:val="single" w:sz="4" w:space="0" w:color="auto"/>
              <w:bottom w:val="single" w:sz="4" w:space="0" w:color="auto"/>
            </w:tcBorders>
            <w:vAlign w:val="center"/>
          </w:tcPr>
          <w:p w14:paraId="76695D69" w14:textId="29EA4C9A" w:rsidR="007E1751" w:rsidRDefault="007E1751" w:rsidP="007E1751">
            <w:pPr>
              <w:pStyle w:val="Tablecontent"/>
              <w:jc w:val="center"/>
            </w:pPr>
            <w:r>
              <w:t>WL1</w:t>
            </w:r>
          </w:p>
        </w:tc>
        <w:tc>
          <w:tcPr>
            <w:tcW w:w="850" w:type="dxa"/>
            <w:tcBorders>
              <w:top w:val="single" w:sz="4" w:space="0" w:color="auto"/>
              <w:bottom w:val="single" w:sz="4" w:space="0" w:color="auto"/>
            </w:tcBorders>
            <w:vAlign w:val="center"/>
          </w:tcPr>
          <w:p w14:paraId="43317A8F" w14:textId="618ACE90" w:rsidR="007E1751" w:rsidRDefault="007E1751" w:rsidP="007E1751">
            <w:pPr>
              <w:pStyle w:val="Tablecontent"/>
              <w:jc w:val="center"/>
            </w:pPr>
            <w:r>
              <w:t>WL2</w:t>
            </w:r>
          </w:p>
        </w:tc>
        <w:tc>
          <w:tcPr>
            <w:tcW w:w="850" w:type="dxa"/>
            <w:tcBorders>
              <w:top w:val="single" w:sz="4" w:space="0" w:color="auto"/>
              <w:bottom w:val="single" w:sz="4" w:space="0" w:color="auto"/>
            </w:tcBorders>
            <w:vAlign w:val="center"/>
          </w:tcPr>
          <w:p w14:paraId="5C378BB3" w14:textId="1997167D" w:rsidR="007E1751" w:rsidRDefault="007E1751" w:rsidP="007E1751">
            <w:pPr>
              <w:pStyle w:val="Tablecontent"/>
              <w:jc w:val="center"/>
            </w:pPr>
            <w:r>
              <w:t>WL3</w:t>
            </w:r>
          </w:p>
        </w:tc>
        <w:tc>
          <w:tcPr>
            <w:tcW w:w="850" w:type="dxa"/>
            <w:tcBorders>
              <w:top w:val="single" w:sz="4" w:space="0" w:color="auto"/>
              <w:bottom w:val="single" w:sz="4" w:space="0" w:color="auto"/>
            </w:tcBorders>
            <w:vAlign w:val="center"/>
          </w:tcPr>
          <w:p w14:paraId="59F7445E" w14:textId="1CA1AE0A" w:rsidR="007E1751" w:rsidRDefault="007E1751" w:rsidP="007E1751">
            <w:pPr>
              <w:pStyle w:val="Tablecontent"/>
              <w:jc w:val="center"/>
            </w:pPr>
            <w:r>
              <w:t>WL4</w:t>
            </w:r>
          </w:p>
        </w:tc>
        <w:tc>
          <w:tcPr>
            <w:tcW w:w="850" w:type="dxa"/>
            <w:tcBorders>
              <w:top w:val="single" w:sz="4" w:space="0" w:color="auto"/>
              <w:bottom w:val="single" w:sz="4" w:space="0" w:color="auto"/>
            </w:tcBorders>
            <w:vAlign w:val="center"/>
          </w:tcPr>
          <w:p w14:paraId="6CCE073F" w14:textId="13280500" w:rsidR="007E1751" w:rsidRDefault="007E1751" w:rsidP="007E1751">
            <w:pPr>
              <w:pStyle w:val="Tablecontent"/>
              <w:jc w:val="center"/>
            </w:pPr>
            <w:r>
              <w:t>WL5</w:t>
            </w:r>
          </w:p>
        </w:tc>
        <w:tc>
          <w:tcPr>
            <w:tcW w:w="850" w:type="dxa"/>
            <w:tcBorders>
              <w:top w:val="single" w:sz="4" w:space="0" w:color="auto"/>
              <w:bottom w:val="single" w:sz="4" w:space="0" w:color="auto"/>
            </w:tcBorders>
            <w:vAlign w:val="center"/>
          </w:tcPr>
          <w:p w14:paraId="798BA064" w14:textId="2F75920E" w:rsidR="007E1751" w:rsidRDefault="007E1751" w:rsidP="007E1751">
            <w:pPr>
              <w:pStyle w:val="Tablecontent"/>
              <w:jc w:val="center"/>
            </w:pPr>
            <w:r>
              <w:t>WPR1</w:t>
            </w:r>
          </w:p>
        </w:tc>
        <w:tc>
          <w:tcPr>
            <w:tcW w:w="850" w:type="dxa"/>
            <w:tcBorders>
              <w:top w:val="single" w:sz="4" w:space="0" w:color="auto"/>
              <w:bottom w:val="single" w:sz="4" w:space="0" w:color="auto"/>
            </w:tcBorders>
            <w:vAlign w:val="center"/>
          </w:tcPr>
          <w:p w14:paraId="40013C94" w14:textId="1BE1734E" w:rsidR="007E1751" w:rsidRDefault="007E1751" w:rsidP="007E1751">
            <w:pPr>
              <w:pStyle w:val="Tablecontent"/>
              <w:jc w:val="center"/>
            </w:pPr>
            <w:r>
              <w:t>WPR2</w:t>
            </w:r>
          </w:p>
        </w:tc>
        <w:tc>
          <w:tcPr>
            <w:tcW w:w="850" w:type="dxa"/>
            <w:tcBorders>
              <w:top w:val="single" w:sz="4" w:space="0" w:color="auto"/>
              <w:bottom w:val="single" w:sz="4" w:space="0" w:color="auto"/>
            </w:tcBorders>
            <w:vAlign w:val="center"/>
          </w:tcPr>
          <w:p w14:paraId="49A2BA0F" w14:textId="00954AAD" w:rsidR="007E1751" w:rsidRDefault="007E1751" w:rsidP="007E1751">
            <w:pPr>
              <w:pStyle w:val="Tablecontent"/>
              <w:jc w:val="center"/>
            </w:pPr>
            <w:r>
              <w:t>RIR</w:t>
            </w:r>
          </w:p>
        </w:tc>
      </w:tr>
      <w:tr w:rsidR="007E1751" w14:paraId="3C52FE41" w14:textId="02C89C15" w:rsidTr="007E1751">
        <w:tc>
          <w:tcPr>
            <w:tcW w:w="1418" w:type="dxa"/>
            <w:tcBorders>
              <w:top w:val="single" w:sz="4" w:space="0" w:color="auto"/>
            </w:tcBorders>
            <w:vAlign w:val="center"/>
          </w:tcPr>
          <w:p w14:paraId="60DC266C" w14:textId="77777777" w:rsidR="007E1751" w:rsidRDefault="007E1751" w:rsidP="00610669">
            <w:pPr>
              <w:pStyle w:val="Tablecontent"/>
            </w:pPr>
            <w:r w:rsidRPr="00850E0E">
              <w:t>ALVEB5</w:t>
            </w:r>
          </w:p>
        </w:tc>
        <w:tc>
          <w:tcPr>
            <w:tcW w:w="850" w:type="dxa"/>
            <w:tcBorders>
              <w:top w:val="single" w:sz="4" w:space="0" w:color="auto"/>
            </w:tcBorders>
            <w:vAlign w:val="center"/>
          </w:tcPr>
          <w:p w14:paraId="78BAF93D" w14:textId="77777777" w:rsidR="007E1751" w:rsidRDefault="007E1751" w:rsidP="007E1751">
            <w:pPr>
              <w:pStyle w:val="Tablecontent"/>
              <w:jc w:val="center"/>
            </w:pPr>
          </w:p>
        </w:tc>
        <w:tc>
          <w:tcPr>
            <w:tcW w:w="850" w:type="dxa"/>
            <w:tcBorders>
              <w:top w:val="single" w:sz="4" w:space="0" w:color="auto"/>
            </w:tcBorders>
            <w:vAlign w:val="center"/>
          </w:tcPr>
          <w:p w14:paraId="37F88A9A" w14:textId="1D986580" w:rsidR="007E1751" w:rsidRDefault="007E1751" w:rsidP="007E1751">
            <w:pPr>
              <w:pStyle w:val="Tablecontent"/>
              <w:jc w:val="center"/>
            </w:pPr>
          </w:p>
        </w:tc>
        <w:tc>
          <w:tcPr>
            <w:tcW w:w="850" w:type="dxa"/>
            <w:tcBorders>
              <w:top w:val="single" w:sz="4" w:space="0" w:color="auto"/>
            </w:tcBorders>
            <w:vAlign w:val="center"/>
          </w:tcPr>
          <w:p w14:paraId="54EA1015" w14:textId="1BDD8DDF" w:rsidR="007E1751" w:rsidRDefault="007E1751" w:rsidP="007E1751">
            <w:pPr>
              <w:pStyle w:val="Tablecontent"/>
              <w:jc w:val="center"/>
            </w:pPr>
          </w:p>
        </w:tc>
        <w:tc>
          <w:tcPr>
            <w:tcW w:w="850" w:type="dxa"/>
            <w:tcBorders>
              <w:top w:val="single" w:sz="4" w:space="0" w:color="auto"/>
            </w:tcBorders>
            <w:vAlign w:val="center"/>
          </w:tcPr>
          <w:p w14:paraId="3277E32D" w14:textId="77777777" w:rsidR="007E1751" w:rsidRDefault="007E1751" w:rsidP="007E1751">
            <w:pPr>
              <w:pStyle w:val="Tablecontent"/>
              <w:jc w:val="center"/>
            </w:pPr>
          </w:p>
        </w:tc>
        <w:tc>
          <w:tcPr>
            <w:tcW w:w="850" w:type="dxa"/>
            <w:tcBorders>
              <w:top w:val="single" w:sz="4" w:space="0" w:color="auto"/>
            </w:tcBorders>
            <w:vAlign w:val="center"/>
          </w:tcPr>
          <w:p w14:paraId="06E9472E" w14:textId="73A2C732" w:rsidR="007E1751" w:rsidRDefault="007E1751" w:rsidP="007E1751">
            <w:pPr>
              <w:pStyle w:val="Tablecontent"/>
              <w:jc w:val="center"/>
            </w:pPr>
          </w:p>
        </w:tc>
        <w:tc>
          <w:tcPr>
            <w:tcW w:w="850" w:type="dxa"/>
            <w:tcBorders>
              <w:top w:val="single" w:sz="4" w:space="0" w:color="auto"/>
            </w:tcBorders>
            <w:vAlign w:val="center"/>
          </w:tcPr>
          <w:p w14:paraId="7B9A6B6F" w14:textId="77777777" w:rsidR="007E1751" w:rsidRDefault="007E1751" w:rsidP="007E1751">
            <w:pPr>
              <w:pStyle w:val="Tablecontent"/>
              <w:jc w:val="center"/>
            </w:pPr>
          </w:p>
        </w:tc>
        <w:tc>
          <w:tcPr>
            <w:tcW w:w="850" w:type="dxa"/>
            <w:tcBorders>
              <w:top w:val="single" w:sz="4" w:space="0" w:color="auto"/>
            </w:tcBorders>
            <w:vAlign w:val="center"/>
          </w:tcPr>
          <w:p w14:paraId="189BCDF1" w14:textId="36A43D77" w:rsidR="007E1751" w:rsidRDefault="00DD57D2" w:rsidP="007E1751">
            <w:pPr>
              <w:pStyle w:val="Tablecontent"/>
              <w:jc w:val="center"/>
            </w:pPr>
            <w:r w:rsidRPr="007E1751">
              <w:rPr>
                <w:sz w:val="24"/>
              </w:rPr>
              <w:sym w:font="Wingdings" w:char="F0FC"/>
            </w:r>
          </w:p>
        </w:tc>
        <w:tc>
          <w:tcPr>
            <w:tcW w:w="850" w:type="dxa"/>
            <w:tcBorders>
              <w:top w:val="single" w:sz="4" w:space="0" w:color="auto"/>
            </w:tcBorders>
            <w:vAlign w:val="center"/>
          </w:tcPr>
          <w:p w14:paraId="651881CE" w14:textId="29E76378" w:rsidR="007E1751" w:rsidRDefault="00DD57D2" w:rsidP="007E1751">
            <w:pPr>
              <w:pStyle w:val="Tablecontent"/>
              <w:jc w:val="center"/>
            </w:pPr>
            <w:r w:rsidRPr="007E1751">
              <w:rPr>
                <w:sz w:val="24"/>
              </w:rPr>
              <w:sym w:font="Wingdings" w:char="F0FC"/>
            </w:r>
          </w:p>
        </w:tc>
      </w:tr>
      <w:tr w:rsidR="007E1751" w14:paraId="6471B4F4" w14:textId="7838B42C" w:rsidTr="007E1751">
        <w:tc>
          <w:tcPr>
            <w:tcW w:w="1418" w:type="dxa"/>
            <w:vAlign w:val="center"/>
          </w:tcPr>
          <w:p w14:paraId="56F0D356" w14:textId="77777777" w:rsidR="007E1751" w:rsidRDefault="007E1751" w:rsidP="00610669">
            <w:pPr>
              <w:pStyle w:val="Tablecontent"/>
            </w:pPr>
            <w:r w:rsidRPr="00850E0E">
              <w:t>ALVE1</w:t>
            </w:r>
          </w:p>
        </w:tc>
        <w:tc>
          <w:tcPr>
            <w:tcW w:w="850" w:type="dxa"/>
            <w:vAlign w:val="center"/>
          </w:tcPr>
          <w:p w14:paraId="6FE86E45" w14:textId="0B6AAC04" w:rsidR="007E1751" w:rsidRPr="00A062CC" w:rsidRDefault="007E1751" w:rsidP="007E1751">
            <w:pPr>
              <w:pStyle w:val="Tablecontent"/>
              <w:jc w:val="center"/>
            </w:pPr>
            <w:r w:rsidRPr="007E1751">
              <w:rPr>
                <w:sz w:val="24"/>
              </w:rPr>
              <w:sym w:font="Wingdings" w:char="F0FC"/>
            </w:r>
          </w:p>
        </w:tc>
        <w:tc>
          <w:tcPr>
            <w:tcW w:w="850" w:type="dxa"/>
            <w:vAlign w:val="center"/>
          </w:tcPr>
          <w:p w14:paraId="42DB39B6" w14:textId="76DFE2CA" w:rsidR="007E1751" w:rsidRPr="00A062CC" w:rsidRDefault="00DD57D2" w:rsidP="007E1751">
            <w:pPr>
              <w:pStyle w:val="Tablecontent"/>
              <w:jc w:val="center"/>
            </w:pPr>
            <w:r w:rsidRPr="007E1751">
              <w:rPr>
                <w:sz w:val="24"/>
              </w:rPr>
              <w:sym w:font="Wingdings" w:char="F0FC"/>
            </w:r>
          </w:p>
        </w:tc>
        <w:tc>
          <w:tcPr>
            <w:tcW w:w="850" w:type="dxa"/>
            <w:vAlign w:val="center"/>
          </w:tcPr>
          <w:p w14:paraId="6F41E3A4" w14:textId="2E977278" w:rsidR="007E1751" w:rsidRPr="00A062CC" w:rsidRDefault="00DD57D2" w:rsidP="007E1751">
            <w:pPr>
              <w:pStyle w:val="Tablecontent"/>
              <w:jc w:val="center"/>
            </w:pPr>
            <w:r w:rsidRPr="007E1751">
              <w:rPr>
                <w:sz w:val="24"/>
              </w:rPr>
              <w:sym w:font="Wingdings" w:char="F0FC"/>
            </w:r>
          </w:p>
        </w:tc>
        <w:tc>
          <w:tcPr>
            <w:tcW w:w="850" w:type="dxa"/>
            <w:vAlign w:val="center"/>
          </w:tcPr>
          <w:p w14:paraId="4DC6F354" w14:textId="6849471C" w:rsidR="007E1751" w:rsidRPr="00A062CC" w:rsidRDefault="00DD57D2" w:rsidP="007E1751">
            <w:pPr>
              <w:pStyle w:val="Tablecontent"/>
              <w:jc w:val="center"/>
            </w:pPr>
            <w:r w:rsidRPr="007E1751">
              <w:rPr>
                <w:sz w:val="24"/>
              </w:rPr>
              <w:sym w:font="Wingdings" w:char="F0FC"/>
            </w:r>
          </w:p>
        </w:tc>
        <w:tc>
          <w:tcPr>
            <w:tcW w:w="850" w:type="dxa"/>
            <w:vAlign w:val="center"/>
          </w:tcPr>
          <w:p w14:paraId="7A950BC0" w14:textId="35B0AA16" w:rsidR="007E1751" w:rsidRPr="00A062CC" w:rsidRDefault="00DD57D2" w:rsidP="007E1751">
            <w:pPr>
              <w:pStyle w:val="Tablecontent"/>
              <w:jc w:val="center"/>
            </w:pPr>
            <w:r w:rsidRPr="007E1751">
              <w:rPr>
                <w:sz w:val="24"/>
              </w:rPr>
              <w:sym w:font="Wingdings" w:char="F0FC"/>
            </w:r>
          </w:p>
        </w:tc>
        <w:tc>
          <w:tcPr>
            <w:tcW w:w="850" w:type="dxa"/>
            <w:vAlign w:val="center"/>
          </w:tcPr>
          <w:p w14:paraId="3C3C74A7" w14:textId="77777777" w:rsidR="007E1751" w:rsidRPr="00A062CC" w:rsidRDefault="007E1751" w:rsidP="007E1751">
            <w:pPr>
              <w:pStyle w:val="Tablecontent"/>
              <w:jc w:val="center"/>
            </w:pPr>
          </w:p>
        </w:tc>
        <w:tc>
          <w:tcPr>
            <w:tcW w:w="850" w:type="dxa"/>
            <w:vAlign w:val="center"/>
          </w:tcPr>
          <w:p w14:paraId="0554AD8A" w14:textId="77777777" w:rsidR="007E1751" w:rsidRPr="00A062CC" w:rsidRDefault="007E1751" w:rsidP="007E1751">
            <w:pPr>
              <w:pStyle w:val="Tablecontent"/>
              <w:jc w:val="center"/>
            </w:pPr>
          </w:p>
        </w:tc>
        <w:tc>
          <w:tcPr>
            <w:tcW w:w="850" w:type="dxa"/>
            <w:vAlign w:val="center"/>
          </w:tcPr>
          <w:p w14:paraId="3264E1E3" w14:textId="77777777" w:rsidR="007E1751" w:rsidRPr="00A062CC" w:rsidRDefault="007E1751" w:rsidP="007E1751">
            <w:pPr>
              <w:pStyle w:val="Tablecontent"/>
              <w:jc w:val="center"/>
            </w:pPr>
          </w:p>
        </w:tc>
      </w:tr>
      <w:tr w:rsidR="007E1751" w14:paraId="35299549" w14:textId="633A9C80" w:rsidTr="007E1751">
        <w:tc>
          <w:tcPr>
            <w:tcW w:w="1418" w:type="dxa"/>
            <w:vAlign w:val="center"/>
          </w:tcPr>
          <w:p w14:paraId="7937F3DE" w14:textId="77777777" w:rsidR="007E1751" w:rsidRDefault="007E1751" w:rsidP="00610669">
            <w:pPr>
              <w:pStyle w:val="Tablecontent"/>
            </w:pPr>
            <w:r w:rsidRPr="00850E0E">
              <w:t>ALVE-ros001</w:t>
            </w:r>
          </w:p>
        </w:tc>
        <w:tc>
          <w:tcPr>
            <w:tcW w:w="850" w:type="dxa"/>
            <w:vAlign w:val="center"/>
          </w:tcPr>
          <w:p w14:paraId="729375D2" w14:textId="4EE28056" w:rsidR="007E1751" w:rsidRPr="00A062CC" w:rsidRDefault="007E1751" w:rsidP="007E1751">
            <w:pPr>
              <w:pStyle w:val="Tablecontent"/>
              <w:jc w:val="center"/>
            </w:pPr>
          </w:p>
        </w:tc>
        <w:tc>
          <w:tcPr>
            <w:tcW w:w="850" w:type="dxa"/>
            <w:vAlign w:val="center"/>
          </w:tcPr>
          <w:p w14:paraId="1E1BE1F7" w14:textId="3A4D9F3B" w:rsidR="007E1751" w:rsidRPr="00A062CC" w:rsidRDefault="007E1751" w:rsidP="007E1751">
            <w:pPr>
              <w:pStyle w:val="Tablecontent"/>
              <w:jc w:val="center"/>
            </w:pPr>
          </w:p>
        </w:tc>
        <w:tc>
          <w:tcPr>
            <w:tcW w:w="850" w:type="dxa"/>
            <w:vAlign w:val="center"/>
          </w:tcPr>
          <w:p w14:paraId="2EB89121" w14:textId="528458C0" w:rsidR="007E1751" w:rsidRPr="00A062CC" w:rsidRDefault="007E1751" w:rsidP="007E1751">
            <w:pPr>
              <w:pStyle w:val="Tablecontent"/>
              <w:jc w:val="center"/>
            </w:pPr>
          </w:p>
        </w:tc>
        <w:tc>
          <w:tcPr>
            <w:tcW w:w="850" w:type="dxa"/>
            <w:vAlign w:val="center"/>
          </w:tcPr>
          <w:p w14:paraId="79A47501" w14:textId="77777777" w:rsidR="007E1751" w:rsidRPr="00A062CC" w:rsidRDefault="007E1751" w:rsidP="007E1751">
            <w:pPr>
              <w:pStyle w:val="Tablecontent"/>
              <w:jc w:val="center"/>
            </w:pPr>
          </w:p>
        </w:tc>
        <w:tc>
          <w:tcPr>
            <w:tcW w:w="850" w:type="dxa"/>
            <w:vAlign w:val="center"/>
          </w:tcPr>
          <w:p w14:paraId="2A1F720C" w14:textId="77777777" w:rsidR="007E1751" w:rsidRPr="00A062CC" w:rsidRDefault="007E1751" w:rsidP="007E1751">
            <w:pPr>
              <w:pStyle w:val="Tablecontent"/>
              <w:jc w:val="center"/>
            </w:pPr>
          </w:p>
        </w:tc>
        <w:tc>
          <w:tcPr>
            <w:tcW w:w="850" w:type="dxa"/>
            <w:vAlign w:val="center"/>
          </w:tcPr>
          <w:p w14:paraId="115D33F8" w14:textId="77777777" w:rsidR="007E1751" w:rsidRPr="00A062CC" w:rsidRDefault="007E1751" w:rsidP="007E1751">
            <w:pPr>
              <w:pStyle w:val="Tablecontent"/>
              <w:jc w:val="center"/>
            </w:pPr>
          </w:p>
        </w:tc>
        <w:tc>
          <w:tcPr>
            <w:tcW w:w="850" w:type="dxa"/>
            <w:vAlign w:val="center"/>
          </w:tcPr>
          <w:p w14:paraId="312CE0DA" w14:textId="77777777" w:rsidR="007E1751" w:rsidRPr="00A062CC" w:rsidRDefault="007E1751" w:rsidP="007E1751">
            <w:pPr>
              <w:pStyle w:val="Tablecontent"/>
              <w:jc w:val="center"/>
            </w:pPr>
          </w:p>
        </w:tc>
        <w:tc>
          <w:tcPr>
            <w:tcW w:w="850" w:type="dxa"/>
            <w:vAlign w:val="center"/>
          </w:tcPr>
          <w:p w14:paraId="5A92CEF0" w14:textId="197FF650" w:rsidR="007E1751" w:rsidRPr="00A062CC" w:rsidRDefault="00DD57D2" w:rsidP="007E1751">
            <w:pPr>
              <w:pStyle w:val="Tablecontent"/>
              <w:jc w:val="center"/>
            </w:pPr>
            <w:r w:rsidRPr="007E1751">
              <w:rPr>
                <w:sz w:val="24"/>
              </w:rPr>
              <w:sym w:font="Wingdings" w:char="F0FC"/>
            </w:r>
          </w:p>
        </w:tc>
      </w:tr>
      <w:tr w:rsidR="007E1751" w14:paraId="47FE52A0" w14:textId="4D19B15E" w:rsidTr="007E1751">
        <w:tc>
          <w:tcPr>
            <w:tcW w:w="1418" w:type="dxa"/>
            <w:vAlign w:val="center"/>
          </w:tcPr>
          <w:p w14:paraId="1750D6FB" w14:textId="77777777" w:rsidR="007E1751" w:rsidRDefault="007E1751" w:rsidP="00610669">
            <w:pPr>
              <w:pStyle w:val="Tablecontent"/>
            </w:pPr>
            <w:r w:rsidRPr="00850E0E">
              <w:t>ALVE-ros002</w:t>
            </w:r>
          </w:p>
        </w:tc>
        <w:tc>
          <w:tcPr>
            <w:tcW w:w="850" w:type="dxa"/>
            <w:vAlign w:val="center"/>
          </w:tcPr>
          <w:p w14:paraId="13541D46" w14:textId="7C20A19C" w:rsidR="007E1751" w:rsidRPr="00A062CC" w:rsidRDefault="007E1751" w:rsidP="007E1751">
            <w:pPr>
              <w:pStyle w:val="Tablecontent"/>
              <w:jc w:val="center"/>
            </w:pPr>
          </w:p>
        </w:tc>
        <w:tc>
          <w:tcPr>
            <w:tcW w:w="850" w:type="dxa"/>
            <w:vAlign w:val="center"/>
          </w:tcPr>
          <w:p w14:paraId="1CF3C1DA" w14:textId="6DFC1E3B" w:rsidR="007E1751" w:rsidRPr="00A062CC" w:rsidRDefault="007E1751" w:rsidP="007E1751">
            <w:pPr>
              <w:pStyle w:val="Tablecontent"/>
              <w:jc w:val="center"/>
            </w:pPr>
          </w:p>
        </w:tc>
        <w:tc>
          <w:tcPr>
            <w:tcW w:w="850" w:type="dxa"/>
            <w:vAlign w:val="center"/>
          </w:tcPr>
          <w:p w14:paraId="4E607D3E" w14:textId="62623E47" w:rsidR="007E1751" w:rsidRPr="00A062CC" w:rsidRDefault="007E1751" w:rsidP="007E1751">
            <w:pPr>
              <w:pStyle w:val="Tablecontent"/>
              <w:jc w:val="center"/>
            </w:pPr>
          </w:p>
        </w:tc>
        <w:tc>
          <w:tcPr>
            <w:tcW w:w="850" w:type="dxa"/>
            <w:vAlign w:val="center"/>
          </w:tcPr>
          <w:p w14:paraId="66B1A470" w14:textId="77777777" w:rsidR="007E1751" w:rsidRPr="00A062CC" w:rsidRDefault="007E1751" w:rsidP="007E1751">
            <w:pPr>
              <w:pStyle w:val="Tablecontent"/>
              <w:jc w:val="center"/>
            </w:pPr>
          </w:p>
        </w:tc>
        <w:tc>
          <w:tcPr>
            <w:tcW w:w="850" w:type="dxa"/>
            <w:vAlign w:val="center"/>
          </w:tcPr>
          <w:p w14:paraId="70B20B0E" w14:textId="77777777" w:rsidR="007E1751" w:rsidRPr="00A062CC" w:rsidRDefault="007E1751" w:rsidP="007E1751">
            <w:pPr>
              <w:pStyle w:val="Tablecontent"/>
              <w:jc w:val="center"/>
            </w:pPr>
          </w:p>
        </w:tc>
        <w:tc>
          <w:tcPr>
            <w:tcW w:w="850" w:type="dxa"/>
            <w:vAlign w:val="center"/>
          </w:tcPr>
          <w:p w14:paraId="6251F628" w14:textId="77777777" w:rsidR="007E1751" w:rsidRPr="00A062CC" w:rsidRDefault="007E1751" w:rsidP="007E1751">
            <w:pPr>
              <w:pStyle w:val="Tablecontent"/>
              <w:jc w:val="center"/>
            </w:pPr>
          </w:p>
        </w:tc>
        <w:tc>
          <w:tcPr>
            <w:tcW w:w="850" w:type="dxa"/>
            <w:vAlign w:val="center"/>
          </w:tcPr>
          <w:p w14:paraId="1A72B620" w14:textId="77777777" w:rsidR="007E1751" w:rsidRPr="00A062CC" w:rsidRDefault="007E1751" w:rsidP="007E1751">
            <w:pPr>
              <w:pStyle w:val="Tablecontent"/>
              <w:jc w:val="center"/>
            </w:pPr>
          </w:p>
        </w:tc>
        <w:tc>
          <w:tcPr>
            <w:tcW w:w="850" w:type="dxa"/>
            <w:vAlign w:val="center"/>
          </w:tcPr>
          <w:p w14:paraId="6DB6375E" w14:textId="47441B34" w:rsidR="007E1751" w:rsidRPr="00A062CC" w:rsidRDefault="00DD57D2" w:rsidP="007E1751">
            <w:pPr>
              <w:pStyle w:val="Tablecontent"/>
              <w:jc w:val="center"/>
            </w:pPr>
            <w:r w:rsidRPr="007E1751">
              <w:rPr>
                <w:sz w:val="24"/>
              </w:rPr>
              <w:sym w:font="Wingdings" w:char="F0FC"/>
            </w:r>
          </w:p>
        </w:tc>
      </w:tr>
      <w:tr w:rsidR="007E1751" w14:paraId="31F061A8" w14:textId="0276F149" w:rsidTr="007E1751">
        <w:tc>
          <w:tcPr>
            <w:tcW w:w="1418" w:type="dxa"/>
            <w:vAlign w:val="center"/>
          </w:tcPr>
          <w:p w14:paraId="02B49A39" w14:textId="77777777" w:rsidR="007E1751" w:rsidRDefault="007E1751" w:rsidP="00610669">
            <w:pPr>
              <w:pStyle w:val="Tablecontent"/>
            </w:pPr>
            <w:r w:rsidRPr="00850E0E">
              <w:t>ALVE-ros003</w:t>
            </w:r>
          </w:p>
        </w:tc>
        <w:tc>
          <w:tcPr>
            <w:tcW w:w="850" w:type="dxa"/>
            <w:vAlign w:val="center"/>
          </w:tcPr>
          <w:p w14:paraId="658D24DE" w14:textId="651D65B5" w:rsidR="007E1751" w:rsidRPr="00A062CC" w:rsidRDefault="007E1751" w:rsidP="007E1751">
            <w:pPr>
              <w:pStyle w:val="Tablecontent"/>
              <w:jc w:val="center"/>
            </w:pPr>
          </w:p>
        </w:tc>
        <w:tc>
          <w:tcPr>
            <w:tcW w:w="850" w:type="dxa"/>
            <w:vAlign w:val="center"/>
          </w:tcPr>
          <w:p w14:paraId="72CC4046" w14:textId="084BF5B2" w:rsidR="007E1751" w:rsidRPr="00A062CC" w:rsidRDefault="007E1751" w:rsidP="007E1751">
            <w:pPr>
              <w:pStyle w:val="Tablecontent"/>
              <w:jc w:val="center"/>
            </w:pPr>
          </w:p>
        </w:tc>
        <w:tc>
          <w:tcPr>
            <w:tcW w:w="850" w:type="dxa"/>
            <w:vAlign w:val="center"/>
          </w:tcPr>
          <w:p w14:paraId="20CAB64B" w14:textId="0AE4D855" w:rsidR="007E1751" w:rsidRPr="00A062CC" w:rsidRDefault="007E1751" w:rsidP="007E1751">
            <w:pPr>
              <w:pStyle w:val="Tablecontent"/>
              <w:jc w:val="center"/>
            </w:pPr>
          </w:p>
        </w:tc>
        <w:tc>
          <w:tcPr>
            <w:tcW w:w="850" w:type="dxa"/>
            <w:vAlign w:val="center"/>
          </w:tcPr>
          <w:p w14:paraId="1BC00E46" w14:textId="77777777" w:rsidR="007E1751" w:rsidRPr="00A062CC" w:rsidRDefault="007E1751" w:rsidP="007E1751">
            <w:pPr>
              <w:pStyle w:val="Tablecontent"/>
              <w:jc w:val="center"/>
            </w:pPr>
          </w:p>
        </w:tc>
        <w:tc>
          <w:tcPr>
            <w:tcW w:w="850" w:type="dxa"/>
            <w:vAlign w:val="center"/>
          </w:tcPr>
          <w:p w14:paraId="4DEC1ACF" w14:textId="77777777" w:rsidR="007E1751" w:rsidRPr="00A062CC" w:rsidRDefault="007E1751" w:rsidP="007E1751">
            <w:pPr>
              <w:pStyle w:val="Tablecontent"/>
              <w:jc w:val="center"/>
            </w:pPr>
          </w:p>
        </w:tc>
        <w:tc>
          <w:tcPr>
            <w:tcW w:w="850" w:type="dxa"/>
            <w:vAlign w:val="center"/>
          </w:tcPr>
          <w:p w14:paraId="7D5A5C67" w14:textId="77777777" w:rsidR="007E1751" w:rsidRPr="00A062CC" w:rsidRDefault="007E1751" w:rsidP="007E1751">
            <w:pPr>
              <w:pStyle w:val="Tablecontent"/>
              <w:jc w:val="center"/>
            </w:pPr>
          </w:p>
        </w:tc>
        <w:tc>
          <w:tcPr>
            <w:tcW w:w="850" w:type="dxa"/>
            <w:vAlign w:val="center"/>
          </w:tcPr>
          <w:p w14:paraId="4897D5E6" w14:textId="77777777" w:rsidR="007E1751" w:rsidRPr="00A062CC" w:rsidRDefault="007E1751" w:rsidP="007E1751">
            <w:pPr>
              <w:pStyle w:val="Tablecontent"/>
              <w:jc w:val="center"/>
            </w:pPr>
          </w:p>
        </w:tc>
        <w:tc>
          <w:tcPr>
            <w:tcW w:w="850" w:type="dxa"/>
            <w:vAlign w:val="center"/>
          </w:tcPr>
          <w:p w14:paraId="281332CC" w14:textId="77C069EE" w:rsidR="007E1751" w:rsidRPr="00A062CC" w:rsidRDefault="00DD57D2" w:rsidP="007E1751">
            <w:pPr>
              <w:pStyle w:val="Tablecontent"/>
              <w:jc w:val="center"/>
            </w:pPr>
            <w:r w:rsidRPr="007E1751">
              <w:rPr>
                <w:sz w:val="24"/>
              </w:rPr>
              <w:sym w:font="Wingdings" w:char="F0FC"/>
            </w:r>
          </w:p>
        </w:tc>
      </w:tr>
      <w:tr w:rsidR="007E1751" w14:paraId="26FCCC31" w14:textId="03907536" w:rsidTr="007E1751">
        <w:tc>
          <w:tcPr>
            <w:tcW w:w="1418" w:type="dxa"/>
            <w:vAlign w:val="center"/>
          </w:tcPr>
          <w:p w14:paraId="6DDF35C8" w14:textId="77777777" w:rsidR="007E1751" w:rsidRDefault="007E1751" w:rsidP="00610669">
            <w:pPr>
              <w:pStyle w:val="Tablecontent"/>
            </w:pPr>
            <w:r w:rsidRPr="00850E0E">
              <w:t>ALVE-TYR</w:t>
            </w:r>
          </w:p>
        </w:tc>
        <w:tc>
          <w:tcPr>
            <w:tcW w:w="850" w:type="dxa"/>
            <w:vAlign w:val="center"/>
          </w:tcPr>
          <w:p w14:paraId="271F2C00" w14:textId="77777777" w:rsidR="007E1751" w:rsidRPr="00A062CC" w:rsidRDefault="007E1751" w:rsidP="007E1751">
            <w:pPr>
              <w:pStyle w:val="Tablecontent"/>
              <w:jc w:val="center"/>
            </w:pPr>
          </w:p>
        </w:tc>
        <w:tc>
          <w:tcPr>
            <w:tcW w:w="850" w:type="dxa"/>
            <w:vAlign w:val="center"/>
          </w:tcPr>
          <w:p w14:paraId="71E7B6AB" w14:textId="4D7F5DAC" w:rsidR="007E1751" w:rsidRPr="00A062CC" w:rsidRDefault="007E1751" w:rsidP="007E1751">
            <w:pPr>
              <w:pStyle w:val="Tablecontent"/>
              <w:jc w:val="center"/>
            </w:pPr>
          </w:p>
        </w:tc>
        <w:tc>
          <w:tcPr>
            <w:tcW w:w="850" w:type="dxa"/>
            <w:vAlign w:val="center"/>
          </w:tcPr>
          <w:p w14:paraId="6157A093" w14:textId="5F40A178" w:rsidR="007E1751" w:rsidRPr="00A062CC" w:rsidRDefault="007E1751" w:rsidP="007E1751">
            <w:pPr>
              <w:pStyle w:val="Tablecontent"/>
              <w:jc w:val="center"/>
            </w:pPr>
          </w:p>
        </w:tc>
        <w:tc>
          <w:tcPr>
            <w:tcW w:w="850" w:type="dxa"/>
            <w:vAlign w:val="center"/>
          </w:tcPr>
          <w:p w14:paraId="79B81B50" w14:textId="33D3CBDD" w:rsidR="007E1751" w:rsidRPr="00A062CC" w:rsidRDefault="007E1751" w:rsidP="007E1751">
            <w:pPr>
              <w:pStyle w:val="Tablecontent"/>
              <w:jc w:val="center"/>
            </w:pPr>
          </w:p>
        </w:tc>
        <w:tc>
          <w:tcPr>
            <w:tcW w:w="850" w:type="dxa"/>
            <w:vAlign w:val="center"/>
          </w:tcPr>
          <w:p w14:paraId="5F7FCBC1" w14:textId="77777777" w:rsidR="007E1751" w:rsidRPr="00A062CC" w:rsidRDefault="007E1751" w:rsidP="007E1751">
            <w:pPr>
              <w:pStyle w:val="Tablecontent"/>
              <w:jc w:val="center"/>
            </w:pPr>
          </w:p>
        </w:tc>
        <w:tc>
          <w:tcPr>
            <w:tcW w:w="850" w:type="dxa"/>
            <w:vAlign w:val="center"/>
          </w:tcPr>
          <w:p w14:paraId="7224BC44" w14:textId="40EE3658" w:rsidR="007E1751" w:rsidRPr="00A062CC" w:rsidRDefault="00DD57D2" w:rsidP="007E1751">
            <w:pPr>
              <w:pStyle w:val="Tablecontent"/>
              <w:jc w:val="center"/>
            </w:pPr>
            <w:r w:rsidRPr="007E1751">
              <w:rPr>
                <w:sz w:val="24"/>
              </w:rPr>
              <w:sym w:font="Wingdings" w:char="F0FC"/>
            </w:r>
          </w:p>
        </w:tc>
        <w:tc>
          <w:tcPr>
            <w:tcW w:w="850" w:type="dxa"/>
            <w:vAlign w:val="center"/>
          </w:tcPr>
          <w:p w14:paraId="06AC5D21" w14:textId="5C469951" w:rsidR="007E1751" w:rsidRPr="00A062CC" w:rsidRDefault="00DD57D2" w:rsidP="007E1751">
            <w:pPr>
              <w:pStyle w:val="Tablecontent"/>
              <w:jc w:val="center"/>
            </w:pPr>
            <w:r w:rsidRPr="007E1751">
              <w:rPr>
                <w:sz w:val="24"/>
              </w:rPr>
              <w:sym w:font="Wingdings" w:char="F0FC"/>
            </w:r>
          </w:p>
        </w:tc>
        <w:tc>
          <w:tcPr>
            <w:tcW w:w="850" w:type="dxa"/>
            <w:vAlign w:val="center"/>
          </w:tcPr>
          <w:p w14:paraId="57ED4C77" w14:textId="77777777" w:rsidR="007E1751" w:rsidRPr="00A062CC" w:rsidRDefault="007E1751" w:rsidP="007E1751">
            <w:pPr>
              <w:pStyle w:val="Tablecontent"/>
              <w:jc w:val="center"/>
            </w:pPr>
          </w:p>
        </w:tc>
      </w:tr>
      <w:tr w:rsidR="007E1751" w14:paraId="4586008B" w14:textId="459B65BE" w:rsidTr="007E1751">
        <w:tc>
          <w:tcPr>
            <w:tcW w:w="1418" w:type="dxa"/>
            <w:vAlign w:val="center"/>
          </w:tcPr>
          <w:p w14:paraId="4B323EA7" w14:textId="77777777" w:rsidR="007E1751" w:rsidRDefault="007E1751" w:rsidP="00610669">
            <w:pPr>
              <w:pStyle w:val="Tablecontent"/>
            </w:pPr>
            <w:r w:rsidRPr="00850E0E">
              <w:t>ALVE-NSAC1</w:t>
            </w:r>
          </w:p>
        </w:tc>
        <w:tc>
          <w:tcPr>
            <w:tcW w:w="850" w:type="dxa"/>
            <w:vAlign w:val="center"/>
          </w:tcPr>
          <w:p w14:paraId="619A781D" w14:textId="77777777" w:rsidR="007E1751" w:rsidRPr="00A062CC" w:rsidRDefault="007E1751" w:rsidP="007E1751">
            <w:pPr>
              <w:pStyle w:val="Tablecontent"/>
              <w:jc w:val="center"/>
            </w:pPr>
          </w:p>
        </w:tc>
        <w:tc>
          <w:tcPr>
            <w:tcW w:w="850" w:type="dxa"/>
            <w:vAlign w:val="center"/>
          </w:tcPr>
          <w:p w14:paraId="7DFEDC81" w14:textId="77BB449F" w:rsidR="007E1751" w:rsidRPr="00A062CC" w:rsidRDefault="007E1751" w:rsidP="007E1751">
            <w:pPr>
              <w:pStyle w:val="Tablecontent"/>
              <w:jc w:val="center"/>
            </w:pPr>
          </w:p>
        </w:tc>
        <w:tc>
          <w:tcPr>
            <w:tcW w:w="850" w:type="dxa"/>
            <w:vAlign w:val="center"/>
          </w:tcPr>
          <w:p w14:paraId="355E3740" w14:textId="2A396A99" w:rsidR="007E1751" w:rsidRPr="00A062CC" w:rsidRDefault="007E1751" w:rsidP="007E1751">
            <w:pPr>
              <w:pStyle w:val="Tablecontent"/>
              <w:jc w:val="center"/>
            </w:pPr>
          </w:p>
        </w:tc>
        <w:tc>
          <w:tcPr>
            <w:tcW w:w="850" w:type="dxa"/>
            <w:vAlign w:val="center"/>
          </w:tcPr>
          <w:p w14:paraId="7A7A6BC9" w14:textId="77777777" w:rsidR="007E1751" w:rsidRPr="00A062CC" w:rsidRDefault="007E1751" w:rsidP="007E1751">
            <w:pPr>
              <w:pStyle w:val="Tablecontent"/>
              <w:jc w:val="center"/>
            </w:pPr>
          </w:p>
        </w:tc>
        <w:tc>
          <w:tcPr>
            <w:tcW w:w="850" w:type="dxa"/>
            <w:vAlign w:val="center"/>
          </w:tcPr>
          <w:p w14:paraId="76C2CB72" w14:textId="77777777" w:rsidR="007E1751" w:rsidRPr="00A062CC" w:rsidRDefault="007E1751" w:rsidP="007E1751">
            <w:pPr>
              <w:pStyle w:val="Tablecontent"/>
              <w:jc w:val="center"/>
            </w:pPr>
          </w:p>
        </w:tc>
        <w:tc>
          <w:tcPr>
            <w:tcW w:w="850" w:type="dxa"/>
            <w:vAlign w:val="center"/>
          </w:tcPr>
          <w:p w14:paraId="63295B94" w14:textId="4A36C462" w:rsidR="007E1751" w:rsidRPr="00A062CC" w:rsidRDefault="00DD57D2" w:rsidP="007E1751">
            <w:pPr>
              <w:pStyle w:val="Tablecontent"/>
              <w:jc w:val="center"/>
            </w:pPr>
            <w:r w:rsidRPr="007E1751">
              <w:rPr>
                <w:sz w:val="24"/>
              </w:rPr>
              <w:sym w:font="Wingdings" w:char="F0FC"/>
            </w:r>
          </w:p>
        </w:tc>
        <w:tc>
          <w:tcPr>
            <w:tcW w:w="850" w:type="dxa"/>
            <w:vAlign w:val="center"/>
          </w:tcPr>
          <w:p w14:paraId="723423AE" w14:textId="758017E0" w:rsidR="007E1751" w:rsidRPr="00A062CC" w:rsidRDefault="00DD57D2" w:rsidP="007E1751">
            <w:pPr>
              <w:pStyle w:val="Tablecontent"/>
              <w:jc w:val="center"/>
            </w:pPr>
            <w:r w:rsidRPr="007E1751">
              <w:rPr>
                <w:sz w:val="24"/>
              </w:rPr>
              <w:sym w:font="Wingdings" w:char="F0FC"/>
            </w:r>
          </w:p>
        </w:tc>
        <w:tc>
          <w:tcPr>
            <w:tcW w:w="850" w:type="dxa"/>
            <w:vAlign w:val="center"/>
          </w:tcPr>
          <w:p w14:paraId="759B152B" w14:textId="1EB8F30D" w:rsidR="007E1751" w:rsidRPr="00A062CC" w:rsidRDefault="00DD57D2" w:rsidP="007E1751">
            <w:pPr>
              <w:pStyle w:val="Tablecontent"/>
              <w:jc w:val="center"/>
            </w:pPr>
            <w:r w:rsidRPr="007E1751">
              <w:rPr>
                <w:sz w:val="24"/>
              </w:rPr>
              <w:sym w:font="Wingdings" w:char="F0FC"/>
            </w:r>
          </w:p>
        </w:tc>
      </w:tr>
      <w:tr w:rsidR="007E1751" w14:paraId="3AAA604E" w14:textId="59880915" w:rsidTr="007E1751">
        <w:tc>
          <w:tcPr>
            <w:tcW w:w="1418" w:type="dxa"/>
            <w:vAlign w:val="center"/>
          </w:tcPr>
          <w:p w14:paraId="40CFBE85" w14:textId="77777777" w:rsidR="007E1751" w:rsidRDefault="007E1751" w:rsidP="00610669">
            <w:pPr>
              <w:pStyle w:val="Tablecontent"/>
            </w:pPr>
            <w:r w:rsidRPr="00850E0E">
              <w:t>ALVE-ros004</w:t>
            </w:r>
          </w:p>
        </w:tc>
        <w:tc>
          <w:tcPr>
            <w:tcW w:w="850" w:type="dxa"/>
            <w:vAlign w:val="center"/>
          </w:tcPr>
          <w:p w14:paraId="7CCCCEFA" w14:textId="77777777" w:rsidR="007E1751" w:rsidRPr="00A062CC" w:rsidRDefault="007E1751" w:rsidP="007E1751">
            <w:pPr>
              <w:pStyle w:val="Tablecontent"/>
              <w:jc w:val="center"/>
            </w:pPr>
          </w:p>
        </w:tc>
        <w:tc>
          <w:tcPr>
            <w:tcW w:w="850" w:type="dxa"/>
            <w:vAlign w:val="center"/>
          </w:tcPr>
          <w:p w14:paraId="582D44C8" w14:textId="6F0F75D1" w:rsidR="007E1751" w:rsidRPr="00A062CC" w:rsidRDefault="007E1751" w:rsidP="007E1751">
            <w:pPr>
              <w:pStyle w:val="Tablecontent"/>
              <w:jc w:val="center"/>
            </w:pPr>
          </w:p>
        </w:tc>
        <w:tc>
          <w:tcPr>
            <w:tcW w:w="850" w:type="dxa"/>
            <w:vAlign w:val="center"/>
          </w:tcPr>
          <w:p w14:paraId="5BB47F27" w14:textId="66448E2E" w:rsidR="007E1751" w:rsidRPr="00A062CC" w:rsidRDefault="007E1751" w:rsidP="007E1751">
            <w:pPr>
              <w:pStyle w:val="Tablecontent"/>
              <w:jc w:val="center"/>
            </w:pPr>
          </w:p>
        </w:tc>
        <w:tc>
          <w:tcPr>
            <w:tcW w:w="850" w:type="dxa"/>
            <w:vAlign w:val="center"/>
          </w:tcPr>
          <w:p w14:paraId="367ED47C" w14:textId="77777777" w:rsidR="007E1751" w:rsidRPr="00A062CC" w:rsidRDefault="007E1751" w:rsidP="007E1751">
            <w:pPr>
              <w:pStyle w:val="Tablecontent"/>
              <w:jc w:val="center"/>
            </w:pPr>
          </w:p>
        </w:tc>
        <w:tc>
          <w:tcPr>
            <w:tcW w:w="850" w:type="dxa"/>
            <w:vAlign w:val="center"/>
          </w:tcPr>
          <w:p w14:paraId="6FCCC578" w14:textId="77777777" w:rsidR="007E1751" w:rsidRPr="00A062CC" w:rsidRDefault="007E1751" w:rsidP="007E1751">
            <w:pPr>
              <w:pStyle w:val="Tablecontent"/>
              <w:jc w:val="center"/>
            </w:pPr>
          </w:p>
        </w:tc>
        <w:tc>
          <w:tcPr>
            <w:tcW w:w="850" w:type="dxa"/>
            <w:vAlign w:val="center"/>
          </w:tcPr>
          <w:p w14:paraId="758307F7" w14:textId="77777777" w:rsidR="007E1751" w:rsidRPr="00A062CC" w:rsidRDefault="007E1751" w:rsidP="007E1751">
            <w:pPr>
              <w:pStyle w:val="Tablecontent"/>
              <w:jc w:val="center"/>
            </w:pPr>
          </w:p>
        </w:tc>
        <w:tc>
          <w:tcPr>
            <w:tcW w:w="850" w:type="dxa"/>
            <w:vAlign w:val="center"/>
          </w:tcPr>
          <w:p w14:paraId="0B237378" w14:textId="77777777" w:rsidR="007E1751" w:rsidRPr="00A062CC" w:rsidRDefault="007E1751" w:rsidP="007E1751">
            <w:pPr>
              <w:pStyle w:val="Tablecontent"/>
              <w:jc w:val="center"/>
            </w:pPr>
          </w:p>
        </w:tc>
        <w:tc>
          <w:tcPr>
            <w:tcW w:w="850" w:type="dxa"/>
            <w:vAlign w:val="center"/>
          </w:tcPr>
          <w:p w14:paraId="52D14B36" w14:textId="4AFA8808" w:rsidR="007E1751" w:rsidRPr="00A062CC" w:rsidRDefault="00DD57D2" w:rsidP="007E1751">
            <w:pPr>
              <w:pStyle w:val="Tablecontent"/>
              <w:jc w:val="center"/>
            </w:pPr>
            <w:r w:rsidRPr="007E1751">
              <w:rPr>
                <w:sz w:val="24"/>
              </w:rPr>
              <w:sym w:font="Wingdings" w:char="F0FC"/>
            </w:r>
          </w:p>
        </w:tc>
      </w:tr>
      <w:tr w:rsidR="007E1751" w14:paraId="3BA58A1C" w14:textId="423F35A0" w:rsidTr="007E1751">
        <w:tc>
          <w:tcPr>
            <w:tcW w:w="1418" w:type="dxa"/>
            <w:vAlign w:val="center"/>
          </w:tcPr>
          <w:p w14:paraId="353D6036" w14:textId="77777777" w:rsidR="007E1751" w:rsidRDefault="007E1751" w:rsidP="00610669">
            <w:pPr>
              <w:pStyle w:val="Tablecontent"/>
            </w:pPr>
            <w:r w:rsidRPr="00850E0E">
              <w:t>ALVE-ros005</w:t>
            </w:r>
          </w:p>
        </w:tc>
        <w:tc>
          <w:tcPr>
            <w:tcW w:w="850" w:type="dxa"/>
            <w:vAlign w:val="center"/>
          </w:tcPr>
          <w:p w14:paraId="0EA0C339" w14:textId="001FE421" w:rsidR="007E1751" w:rsidRPr="00A062CC" w:rsidRDefault="007E1751" w:rsidP="007E1751">
            <w:pPr>
              <w:pStyle w:val="Tablecontent"/>
              <w:jc w:val="center"/>
            </w:pPr>
          </w:p>
        </w:tc>
        <w:tc>
          <w:tcPr>
            <w:tcW w:w="850" w:type="dxa"/>
            <w:vAlign w:val="center"/>
          </w:tcPr>
          <w:p w14:paraId="486E1FBF" w14:textId="729CB02F" w:rsidR="007E1751" w:rsidRPr="00A062CC" w:rsidRDefault="007E1751" w:rsidP="007E1751">
            <w:pPr>
              <w:pStyle w:val="Tablecontent"/>
              <w:jc w:val="center"/>
            </w:pPr>
          </w:p>
        </w:tc>
        <w:tc>
          <w:tcPr>
            <w:tcW w:w="850" w:type="dxa"/>
            <w:vAlign w:val="center"/>
          </w:tcPr>
          <w:p w14:paraId="43C4CB83" w14:textId="3F27BD79" w:rsidR="007E1751" w:rsidRPr="00A062CC" w:rsidRDefault="007E1751" w:rsidP="007E1751">
            <w:pPr>
              <w:pStyle w:val="Tablecontent"/>
              <w:jc w:val="center"/>
            </w:pPr>
          </w:p>
        </w:tc>
        <w:tc>
          <w:tcPr>
            <w:tcW w:w="850" w:type="dxa"/>
            <w:vAlign w:val="center"/>
          </w:tcPr>
          <w:p w14:paraId="6FC0345B" w14:textId="77777777" w:rsidR="007E1751" w:rsidRPr="00A062CC" w:rsidRDefault="007E1751" w:rsidP="007E1751">
            <w:pPr>
              <w:pStyle w:val="Tablecontent"/>
              <w:jc w:val="center"/>
            </w:pPr>
          </w:p>
        </w:tc>
        <w:tc>
          <w:tcPr>
            <w:tcW w:w="850" w:type="dxa"/>
            <w:vAlign w:val="center"/>
          </w:tcPr>
          <w:p w14:paraId="7F7E98EC" w14:textId="77777777" w:rsidR="007E1751" w:rsidRPr="00A062CC" w:rsidRDefault="007E1751" w:rsidP="007E1751">
            <w:pPr>
              <w:pStyle w:val="Tablecontent"/>
              <w:jc w:val="center"/>
            </w:pPr>
          </w:p>
        </w:tc>
        <w:tc>
          <w:tcPr>
            <w:tcW w:w="850" w:type="dxa"/>
            <w:vAlign w:val="center"/>
          </w:tcPr>
          <w:p w14:paraId="205529F5" w14:textId="77777777" w:rsidR="007E1751" w:rsidRPr="00A062CC" w:rsidRDefault="007E1751" w:rsidP="007E1751">
            <w:pPr>
              <w:pStyle w:val="Tablecontent"/>
              <w:jc w:val="center"/>
            </w:pPr>
          </w:p>
        </w:tc>
        <w:tc>
          <w:tcPr>
            <w:tcW w:w="850" w:type="dxa"/>
            <w:vAlign w:val="center"/>
          </w:tcPr>
          <w:p w14:paraId="396193EE" w14:textId="77777777" w:rsidR="007E1751" w:rsidRPr="00A062CC" w:rsidRDefault="007E1751" w:rsidP="007E1751">
            <w:pPr>
              <w:pStyle w:val="Tablecontent"/>
              <w:jc w:val="center"/>
            </w:pPr>
          </w:p>
        </w:tc>
        <w:tc>
          <w:tcPr>
            <w:tcW w:w="850" w:type="dxa"/>
            <w:vAlign w:val="center"/>
          </w:tcPr>
          <w:p w14:paraId="0DF92141" w14:textId="4F1595BC" w:rsidR="007E1751" w:rsidRPr="00A062CC" w:rsidRDefault="00DD57D2" w:rsidP="007E1751">
            <w:pPr>
              <w:pStyle w:val="Tablecontent"/>
              <w:jc w:val="center"/>
            </w:pPr>
            <w:r w:rsidRPr="007E1751">
              <w:rPr>
                <w:sz w:val="24"/>
              </w:rPr>
              <w:sym w:font="Wingdings" w:char="F0FC"/>
            </w:r>
          </w:p>
        </w:tc>
      </w:tr>
      <w:tr w:rsidR="007E1751" w14:paraId="2273E075" w14:textId="297D8432" w:rsidTr="007E1751">
        <w:tc>
          <w:tcPr>
            <w:tcW w:w="1418" w:type="dxa"/>
            <w:vAlign w:val="center"/>
          </w:tcPr>
          <w:p w14:paraId="58B0222C" w14:textId="77777777" w:rsidR="007E1751" w:rsidRDefault="007E1751" w:rsidP="00610669">
            <w:pPr>
              <w:pStyle w:val="Tablecontent"/>
            </w:pPr>
            <w:r w:rsidRPr="00850E0E">
              <w:t>ALVE-NSAC3</w:t>
            </w:r>
          </w:p>
        </w:tc>
        <w:tc>
          <w:tcPr>
            <w:tcW w:w="850" w:type="dxa"/>
            <w:vAlign w:val="center"/>
          </w:tcPr>
          <w:p w14:paraId="781BCF31" w14:textId="77777777" w:rsidR="007E1751" w:rsidRPr="00A062CC" w:rsidRDefault="007E1751" w:rsidP="007E1751">
            <w:pPr>
              <w:pStyle w:val="Tablecontent"/>
              <w:jc w:val="center"/>
            </w:pPr>
          </w:p>
        </w:tc>
        <w:tc>
          <w:tcPr>
            <w:tcW w:w="850" w:type="dxa"/>
            <w:vAlign w:val="center"/>
          </w:tcPr>
          <w:p w14:paraId="5DE88981" w14:textId="4D753226" w:rsidR="007E1751" w:rsidRPr="00A062CC" w:rsidRDefault="007E1751" w:rsidP="007E1751">
            <w:pPr>
              <w:pStyle w:val="Tablecontent"/>
              <w:jc w:val="center"/>
            </w:pPr>
          </w:p>
        </w:tc>
        <w:tc>
          <w:tcPr>
            <w:tcW w:w="850" w:type="dxa"/>
            <w:vAlign w:val="center"/>
          </w:tcPr>
          <w:p w14:paraId="3CEFF9B2" w14:textId="627F6C93" w:rsidR="007E1751" w:rsidRPr="00A062CC" w:rsidRDefault="007E1751" w:rsidP="007E1751">
            <w:pPr>
              <w:pStyle w:val="Tablecontent"/>
              <w:jc w:val="center"/>
            </w:pPr>
          </w:p>
        </w:tc>
        <w:tc>
          <w:tcPr>
            <w:tcW w:w="850" w:type="dxa"/>
            <w:vAlign w:val="center"/>
          </w:tcPr>
          <w:p w14:paraId="5D4B07B7" w14:textId="77777777" w:rsidR="007E1751" w:rsidRPr="00A062CC" w:rsidRDefault="007E1751" w:rsidP="007E1751">
            <w:pPr>
              <w:pStyle w:val="Tablecontent"/>
              <w:jc w:val="center"/>
            </w:pPr>
          </w:p>
        </w:tc>
        <w:tc>
          <w:tcPr>
            <w:tcW w:w="850" w:type="dxa"/>
            <w:vAlign w:val="center"/>
          </w:tcPr>
          <w:p w14:paraId="23DFF67C" w14:textId="77777777" w:rsidR="007E1751" w:rsidRPr="00A062CC" w:rsidRDefault="007E1751" w:rsidP="007E1751">
            <w:pPr>
              <w:pStyle w:val="Tablecontent"/>
              <w:jc w:val="center"/>
            </w:pPr>
          </w:p>
        </w:tc>
        <w:tc>
          <w:tcPr>
            <w:tcW w:w="850" w:type="dxa"/>
            <w:vAlign w:val="center"/>
          </w:tcPr>
          <w:p w14:paraId="2DC272E5" w14:textId="4022C2FF" w:rsidR="007E1751" w:rsidRPr="00A062CC" w:rsidRDefault="00DD57D2" w:rsidP="007E1751">
            <w:pPr>
              <w:pStyle w:val="Tablecontent"/>
              <w:jc w:val="center"/>
            </w:pPr>
            <w:r w:rsidRPr="007E1751">
              <w:rPr>
                <w:sz w:val="24"/>
              </w:rPr>
              <w:sym w:font="Wingdings" w:char="F0FC"/>
            </w:r>
          </w:p>
        </w:tc>
        <w:tc>
          <w:tcPr>
            <w:tcW w:w="850" w:type="dxa"/>
            <w:vAlign w:val="center"/>
          </w:tcPr>
          <w:p w14:paraId="71C1AE2C" w14:textId="70F4C0E5" w:rsidR="007E1751" w:rsidRPr="00A062CC" w:rsidRDefault="00DD57D2" w:rsidP="007E1751">
            <w:pPr>
              <w:pStyle w:val="Tablecontent"/>
              <w:jc w:val="center"/>
            </w:pPr>
            <w:r w:rsidRPr="007E1751">
              <w:rPr>
                <w:sz w:val="24"/>
              </w:rPr>
              <w:sym w:font="Wingdings" w:char="F0FC"/>
            </w:r>
          </w:p>
        </w:tc>
        <w:tc>
          <w:tcPr>
            <w:tcW w:w="850" w:type="dxa"/>
            <w:vAlign w:val="center"/>
          </w:tcPr>
          <w:p w14:paraId="4F4533E0" w14:textId="77777777" w:rsidR="007E1751" w:rsidRPr="00A062CC" w:rsidRDefault="007E1751" w:rsidP="007E1751">
            <w:pPr>
              <w:pStyle w:val="Tablecontent"/>
              <w:jc w:val="center"/>
            </w:pPr>
          </w:p>
        </w:tc>
      </w:tr>
      <w:tr w:rsidR="007E1751" w14:paraId="59319853" w14:textId="2CE3FDAE" w:rsidTr="007E1751">
        <w:tc>
          <w:tcPr>
            <w:tcW w:w="1418" w:type="dxa"/>
            <w:vAlign w:val="center"/>
          </w:tcPr>
          <w:p w14:paraId="5276AE56" w14:textId="77777777" w:rsidR="007E1751" w:rsidRDefault="007E1751" w:rsidP="00610669">
            <w:pPr>
              <w:pStyle w:val="Tablecontent"/>
            </w:pPr>
            <w:r w:rsidRPr="00850E0E">
              <w:t>ALVE-ros006</w:t>
            </w:r>
          </w:p>
        </w:tc>
        <w:tc>
          <w:tcPr>
            <w:tcW w:w="850" w:type="dxa"/>
            <w:vAlign w:val="center"/>
          </w:tcPr>
          <w:p w14:paraId="2E0AFE2C" w14:textId="27641164" w:rsidR="007E1751" w:rsidRPr="00A062CC" w:rsidRDefault="007E1751" w:rsidP="007E1751">
            <w:pPr>
              <w:pStyle w:val="Tablecontent"/>
              <w:jc w:val="center"/>
            </w:pPr>
          </w:p>
        </w:tc>
        <w:tc>
          <w:tcPr>
            <w:tcW w:w="850" w:type="dxa"/>
            <w:vAlign w:val="center"/>
          </w:tcPr>
          <w:p w14:paraId="76C5AB28" w14:textId="55869738" w:rsidR="007E1751" w:rsidRPr="00A062CC" w:rsidRDefault="007E1751" w:rsidP="007E1751">
            <w:pPr>
              <w:pStyle w:val="Tablecontent"/>
              <w:jc w:val="center"/>
            </w:pPr>
          </w:p>
        </w:tc>
        <w:tc>
          <w:tcPr>
            <w:tcW w:w="850" w:type="dxa"/>
            <w:vAlign w:val="center"/>
          </w:tcPr>
          <w:p w14:paraId="1844212F" w14:textId="2411AF80" w:rsidR="007E1751" w:rsidRPr="00A062CC" w:rsidRDefault="007E1751" w:rsidP="007E1751">
            <w:pPr>
              <w:pStyle w:val="Tablecontent"/>
              <w:jc w:val="center"/>
            </w:pPr>
          </w:p>
        </w:tc>
        <w:tc>
          <w:tcPr>
            <w:tcW w:w="850" w:type="dxa"/>
            <w:vAlign w:val="center"/>
          </w:tcPr>
          <w:p w14:paraId="08B9C119" w14:textId="77777777" w:rsidR="007E1751" w:rsidRPr="00A062CC" w:rsidRDefault="007E1751" w:rsidP="007E1751">
            <w:pPr>
              <w:pStyle w:val="Tablecontent"/>
              <w:jc w:val="center"/>
            </w:pPr>
          </w:p>
        </w:tc>
        <w:tc>
          <w:tcPr>
            <w:tcW w:w="850" w:type="dxa"/>
            <w:vAlign w:val="center"/>
          </w:tcPr>
          <w:p w14:paraId="2864CBB0" w14:textId="77777777" w:rsidR="007E1751" w:rsidRPr="00A062CC" w:rsidRDefault="007E1751" w:rsidP="007E1751">
            <w:pPr>
              <w:pStyle w:val="Tablecontent"/>
              <w:jc w:val="center"/>
            </w:pPr>
          </w:p>
        </w:tc>
        <w:tc>
          <w:tcPr>
            <w:tcW w:w="850" w:type="dxa"/>
            <w:vAlign w:val="center"/>
          </w:tcPr>
          <w:p w14:paraId="059063C5" w14:textId="77777777" w:rsidR="007E1751" w:rsidRPr="00A062CC" w:rsidRDefault="007E1751" w:rsidP="007E1751">
            <w:pPr>
              <w:pStyle w:val="Tablecontent"/>
              <w:jc w:val="center"/>
            </w:pPr>
          </w:p>
        </w:tc>
        <w:tc>
          <w:tcPr>
            <w:tcW w:w="850" w:type="dxa"/>
            <w:vAlign w:val="center"/>
          </w:tcPr>
          <w:p w14:paraId="75C08D6E" w14:textId="77777777" w:rsidR="007E1751" w:rsidRPr="00A062CC" w:rsidRDefault="007E1751" w:rsidP="007E1751">
            <w:pPr>
              <w:pStyle w:val="Tablecontent"/>
              <w:jc w:val="center"/>
            </w:pPr>
          </w:p>
        </w:tc>
        <w:tc>
          <w:tcPr>
            <w:tcW w:w="850" w:type="dxa"/>
            <w:vAlign w:val="center"/>
          </w:tcPr>
          <w:p w14:paraId="4187C5DE" w14:textId="7D1BDE22" w:rsidR="007E1751" w:rsidRPr="00A062CC" w:rsidRDefault="00DD57D2" w:rsidP="007E1751">
            <w:pPr>
              <w:pStyle w:val="Tablecontent"/>
              <w:jc w:val="center"/>
            </w:pPr>
            <w:r w:rsidRPr="007E1751">
              <w:rPr>
                <w:sz w:val="24"/>
              </w:rPr>
              <w:sym w:font="Wingdings" w:char="F0FC"/>
            </w:r>
          </w:p>
        </w:tc>
      </w:tr>
      <w:tr w:rsidR="007E1751" w14:paraId="70150F47" w14:textId="10BE9E55" w:rsidTr="007E1751">
        <w:tc>
          <w:tcPr>
            <w:tcW w:w="1418" w:type="dxa"/>
            <w:vAlign w:val="center"/>
          </w:tcPr>
          <w:p w14:paraId="5EAD837D" w14:textId="77777777" w:rsidR="007E1751" w:rsidRDefault="007E1751" w:rsidP="00610669">
            <w:pPr>
              <w:pStyle w:val="Tablecontent"/>
            </w:pPr>
            <w:r w:rsidRPr="00850E0E">
              <w:t>ALVE15</w:t>
            </w:r>
          </w:p>
        </w:tc>
        <w:tc>
          <w:tcPr>
            <w:tcW w:w="850" w:type="dxa"/>
            <w:vAlign w:val="center"/>
          </w:tcPr>
          <w:p w14:paraId="419A3C5C" w14:textId="36A720F7" w:rsidR="007E1751" w:rsidRPr="00A062CC" w:rsidRDefault="00DD57D2" w:rsidP="007E1751">
            <w:pPr>
              <w:pStyle w:val="Tablecontent"/>
              <w:jc w:val="center"/>
            </w:pPr>
            <w:r w:rsidRPr="007E1751">
              <w:rPr>
                <w:sz w:val="24"/>
              </w:rPr>
              <w:sym w:font="Wingdings" w:char="F0FC"/>
            </w:r>
          </w:p>
        </w:tc>
        <w:tc>
          <w:tcPr>
            <w:tcW w:w="850" w:type="dxa"/>
            <w:vAlign w:val="center"/>
          </w:tcPr>
          <w:p w14:paraId="550A691E" w14:textId="6A571524" w:rsidR="007E1751" w:rsidRPr="00A062CC" w:rsidRDefault="00DD57D2" w:rsidP="007E1751">
            <w:pPr>
              <w:pStyle w:val="Tablecontent"/>
              <w:jc w:val="center"/>
            </w:pPr>
            <w:r w:rsidRPr="007E1751">
              <w:rPr>
                <w:sz w:val="24"/>
              </w:rPr>
              <w:sym w:font="Wingdings" w:char="F0FC"/>
            </w:r>
          </w:p>
        </w:tc>
        <w:tc>
          <w:tcPr>
            <w:tcW w:w="850" w:type="dxa"/>
            <w:vAlign w:val="center"/>
          </w:tcPr>
          <w:p w14:paraId="0B6F799F" w14:textId="127A0126" w:rsidR="007E1751" w:rsidRPr="00A062CC" w:rsidRDefault="007E1751" w:rsidP="007E1751">
            <w:pPr>
              <w:pStyle w:val="Tablecontent"/>
              <w:jc w:val="center"/>
            </w:pPr>
          </w:p>
        </w:tc>
        <w:tc>
          <w:tcPr>
            <w:tcW w:w="850" w:type="dxa"/>
            <w:vAlign w:val="center"/>
          </w:tcPr>
          <w:p w14:paraId="4E997472" w14:textId="44FBFF32" w:rsidR="007E1751" w:rsidRPr="00A062CC" w:rsidRDefault="007E1751" w:rsidP="007E1751">
            <w:pPr>
              <w:pStyle w:val="Tablecontent"/>
              <w:jc w:val="center"/>
            </w:pPr>
          </w:p>
        </w:tc>
        <w:tc>
          <w:tcPr>
            <w:tcW w:w="850" w:type="dxa"/>
            <w:vAlign w:val="center"/>
          </w:tcPr>
          <w:p w14:paraId="5FAF29CD" w14:textId="636831C8" w:rsidR="007E1751" w:rsidRPr="00A062CC" w:rsidRDefault="00DD57D2" w:rsidP="007E1751">
            <w:pPr>
              <w:pStyle w:val="Tablecontent"/>
              <w:jc w:val="center"/>
            </w:pPr>
            <w:r w:rsidRPr="007E1751">
              <w:rPr>
                <w:sz w:val="24"/>
              </w:rPr>
              <w:sym w:font="Wingdings" w:char="F0FC"/>
            </w:r>
          </w:p>
        </w:tc>
        <w:tc>
          <w:tcPr>
            <w:tcW w:w="850" w:type="dxa"/>
            <w:vAlign w:val="center"/>
          </w:tcPr>
          <w:p w14:paraId="1518C799" w14:textId="77777777" w:rsidR="007E1751" w:rsidRPr="00A062CC" w:rsidRDefault="007E1751" w:rsidP="007E1751">
            <w:pPr>
              <w:pStyle w:val="Tablecontent"/>
              <w:jc w:val="center"/>
            </w:pPr>
          </w:p>
        </w:tc>
        <w:tc>
          <w:tcPr>
            <w:tcW w:w="850" w:type="dxa"/>
            <w:vAlign w:val="center"/>
          </w:tcPr>
          <w:p w14:paraId="21FD9AAA" w14:textId="77777777" w:rsidR="007E1751" w:rsidRPr="00A062CC" w:rsidRDefault="007E1751" w:rsidP="007E1751">
            <w:pPr>
              <w:pStyle w:val="Tablecontent"/>
              <w:jc w:val="center"/>
            </w:pPr>
          </w:p>
        </w:tc>
        <w:tc>
          <w:tcPr>
            <w:tcW w:w="850" w:type="dxa"/>
            <w:vAlign w:val="center"/>
          </w:tcPr>
          <w:p w14:paraId="7BCCDDB2" w14:textId="77777777" w:rsidR="007E1751" w:rsidRPr="00A062CC" w:rsidRDefault="007E1751" w:rsidP="007E1751">
            <w:pPr>
              <w:pStyle w:val="Tablecontent"/>
              <w:jc w:val="center"/>
            </w:pPr>
          </w:p>
        </w:tc>
      </w:tr>
      <w:tr w:rsidR="007E1751" w14:paraId="18ED18FB" w14:textId="7D61E60E" w:rsidTr="007E1751">
        <w:tc>
          <w:tcPr>
            <w:tcW w:w="1418" w:type="dxa"/>
            <w:vAlign w:val="center"/>
          </w:tcPr>
          <w:p w14:paraId="72F81D23" w14:textId="77777777" w:rsidR="007E1751" w:rsidRDefault="007E1751" w:rsidP="00610669">
            <w:pPr>
              <w:pStyle w:val="Tablecontent"/>
            </w:pPr>
            <w:r w:rsidRPr="00850E0E">
              <w:t>ALVE-ros007</w:t>
            </w:r>
          </w:p>
        </w:tc>
        <w:tc>
          <w:tcPr>
            <w:tcW w:w="850" w:type="dxa"/>
            <w:vAlign w:val="center"/>
          </w:tcPr>
          <w:p w14:paraId="3382BBC8" w14:textId="77777777" w:rsidR="007E1751" w:rsidRPr="00A062CC" w:rsidRDefault="007E1751" w:rsidP="007E1751">
            <w:pPr>
              <w:pStyle w:val="Tablecontent"/>
              <w:jc w:val="center"/>
            </w:pPr>
          </w:p>
        </w:tc>
        <w:tc>
          <w:tcPr>
            <w:tcW w:w="850" w:type="dxa"/>
            <w:vAlign w:val="center"/>
          </w:tcPr>
          <w:p w14:paraId="396AA912" w14:textId="7AEC9B51" w:rsidR="007E1751" w:rsidRPr="00A062CC" w:rsidRDefault="007E1751" w:rsidP="007E1751">
            <w:pPr>
              <w:pStyle w:val="Tablecontent"/>
              <w:jc w:val="center"/>
            </w:pPr>
          </w:p>
        </w:tc>
        <w:tc>
          <w:tcPr>
            <w:tcW w:w="850" w:type="dxa"/>
            <w:vAlign w:val="center"/>
          </w:tcPr>
          <w:p w14:paraId="4BE4E0F8" w14:textId="033748B3" w:rsidR="007E1751" w:rsidRPr="00A062CC" w:rsidRDefault="007E1751" w:rsidP="007E1751">
            <w:pPr>
              <w:pStyle w:val="Tablecontent"/>
              <w:jc w:val="center"/>
            </w:pPr>
          </w:p>
        </w:tc>
        <w:tc>
          <w:tcPr>
            <w:tcW w:w="850" w:type="dxa"/>
            <w:vAlign w:val="center"/>
          </w:tcPr>
          <w:p w14:paraId="2697643C" w14:textId="77777777" w:rsidR="007E1751" w:rsidRPr="00A062CC" w:rsidRDefault="007E1751" w:rsidP="007E1751">
            <w:pPr>
              <w:pStyle w:val="Tablecontent"/>
              <w:jc w:val="center"/>
            </w:pPr>
          </w:p>
        </w:tc>
        <w:tc>
          <w:tcPr>
            <w:tcW w:w="850" w:type="dxa"/>
            <w:vAlign w:val="center"/>
          </w:tcPr>
          <w:p w14:paraId="7D2B09CA" w14:textId="77777777" w:rsidR="007E1751" w:rsidRPr="00A062CC" w:rsidRDefault="007E1751" w:rsidP="007E1751">
            <w:pPr>
              <w:pStyle w:val="Tablecontent"/>
              <w:jc w:val="center"/>
            </w:pPr>
          </w:p>
        </w:tc>
        <w:tc>
          <w:tcPr>
            <w:tcW w:w="850" w:type="dxa"/>
            <w:vAlign w:val="center"/>
          </w:tcPr>
          <w:p w14:paraId="1745761B" w14:textId="77777777" w:rsidR="007E1751" w:rsidRPr="00A062CC" w:rsidRDefault="007E1751" w:rsidP="007E1751">
            <w:pPr>
              <w:pStyle w:val="Tablecontent"/>
              <w:jc w:val="center"/>
            </w:pPr>
          </w:p>
        </w:tc>
        <w:tc>
          <w:tcPr>
            <w:tcW w:w="850" w:type="dxa"/>
            <w:vAlign w:val="center"/>
          </w:tcPr>
          <w:p w14:paraId="73FC0C42" w14:textId="77777777" w:rsidR="007E1751" w:rsidRPr="00A062CC" w:rsidRDefault="007E1751" w:rsidP="007E1751">
            <w:pPr>
              <w:pStyle w:val="Tablecontent"/>
              <w:jc w:val="center"/>
            </w:pPr>
          </w:p>
        </w:tc>
        <w:tc>
          <w:tcPr>
            <w:tcW w:w="850" w:type="dxa"/>
            <w:vAlign w:val="center"/>
          </w:tcPr>
          <w:p w14:paraId="2FC3929C" w14:textId="28349F7A" w:rsidR="007E1751" w:rsidRPr="00A062CC" w:rsidRDefault="00DD57D2" w:rsidP="007E1751">
            <w:pPr>
              <w:pStyle w:val="Tablecontent"/>
              <w:jc w:val="center"/>
            </w:pPr>
            <w:r w:rsidRPr="007E1751">
              <w:rPr>
                <w:sz w:val="24"/>
              </w:rPr>
              <w:sym w:font="Wingdings" w:char="F0FC"/>
            </w:r>
          </w:p>
        </w:tc>
      </w:tr>
      <w:tr w:rsidR="007E1751" w14:paraId="15375598" w14:textId="7CDC3752" w:rsidTr="007E1751">
        <w:tc>
          <w:tcPr>
            <w:tcW w:w="1418" w:type="dxa"/>
            <w:vAlign w:val="center"/>
          </w:tcPr>
          <w:p w14:paraId="5AE41E16" w14:textId="77777777" w:rsidR="007E1751" w:rsidRDefault="007E1751" w:rsidP="00610669">
            <w:pPr>
              <w:pStyle w:val="Tablecontent"/>
            </w:pPr>
            <w:r w:rsidRPr="00850E0E">
              <w:t>ALVE-ros008</w:t>
            </w:r>
          </w:p>
        </w:tc>
        <w:tc>
          <w:tcPr>
            <w:tcW w:w="850" w:type="dxa"/>
            <w:vAlign w:val="center"/>
          </w:tcPr>
          <w:p w14:paraId="7C632813" w14:textId="3C999061" w:rsidR="007E1751" w:rsidRPr="00A062CC" w:rsidRDefault="007E1751" w:rsidP="007E1751">
            <w:pPr>
              <w:pStyle w:val="Tablecontent"/>
              <w:jc w:val="center"/>
            </w:pPr>
          </w:p>
        </w:tc>
        <w:tc>
          <w:tcPr>
            <w:tcW w:w="850" w:type="dxa"/>
            <w:vAlign w:val="center"/>
          </w:tcPr>
          <w:p w14:paraId="03056B4D" w14:textId="0754003B" w:rsidR="007E1751" w:rsidRPr="00A062CC" w:rsidRDefault="007E1751" w:rsidP="007E1751">
            <w:pPr>
              <w:pStyle w:val="Tablecontent"/>
              <w:jc w:val="center"/>
            </w:pPr>
          </w:p>
        </w:tc>
        <w:tc>
          <w:tcPr>
            <w:tcW w:w="850" w:type="dxa"/>
            <w:vAlign w:val="center"/>
          </w:tcPr>
          <w:p w14:paraId="01F208F9" w14:textId="620F7DA5" w:rsidR="007E1751" w:rsidRPr="00A062CC" w:rsidRDefault="007E1751" w:rsidP="007E1751">
            <w:pPr>
              <w:pStyle w:val="Tablecontent"/>
              <w:jc w:val="center"/>
            </w:pPr>
          </w:p>
        </w:tc>
        <w:tc>
          <w:tcPr>
            <w:tcW w:w="850" w:type="dxa"/>
            <w:vAlign w:val="center"/>
          </w:tcPr>
          <w:p w14:paraId="3D4EDB14" w14:textId="136A38A2" w:rsidR="007E1751" w:rsidRPr="00A062CC" w:rsidRDefault="00DD57D2" w:rsidP="007E1751">
            <w:pPr>
              <w:pStyle w:val="Tablecontent"/>
              <w:jc w:val="center"/>
            </w:pPr>
            <w:r w:rsidRPr="007E1751">
              <w:rPr>
                <w:sz w:val="24"/>
              </w:rPr>
              <w:sym w:font="Wingdings" w:char="F0FC"/>
            </w:r>
          </w:p>
        </w:tc>
        <w:tc>
          <w:tcPr>
            <w:tcW w:w="850" w:type="dxa"/>
            <w:vAlign w:val="center"/>
          </w:tcPr>
          <w:p w14:paraId="2666723F" w14:textId="77777777" w:rsidR="007E1751" w:rsidRPr="00A062CC" w:rsidRDefault="007E1751" w:rsidP="007E1751">
            <w:pPr>
              <w:pStyle w:val="Tablecontent"/>
              <w:jc w:val="center"/>
            </w:pPr>
          </w:p>
        </w:tc>
        <w:tc>
          <w:tcPr>
            <w:tcW w:w="850" w:type="dxa"/>
            <w:vAlign w:val="center"/>
          </w:tcPr>
          <w:p w14:paraId="036B53FD" w14:textId="77777777" w:rsidR="007E1751" w:rsidRPr="00A062CC" w:rsidRDefault="007E1751" w:rsidP="007E1751">
            <w:pPr>
              <w:pStyle w:val="Tablecontent"/>
              <w:jc w:val="center"/>
            </w:pPr>
          </w:p>
        </w:tc>
        <w:tc>
          <w:tcPr>
            <w:tcW w:w="850" w:type="dxa"/>
            <w:vAlign w:val="center"/>
          </w:tcPr>
          <w:p w14:paraId="7106C194" w14:textId="77777777" w:rsidR="007E1751" w:rsidRPr="00A062CC" w:rsidRDefault="007E1751" w:rsidP="007E1751">
            <w:pPr>
              <w:pStyle w:val="Tablecontent"/>
              <w:jc w:val="center"/>
            </w:pPr>
          </w:p>
        </w:tc>
        <w:tc>
          <w:tcPr>
            <w:tcW w:w="850" w:type="dxa"/>
            <w:vAlign w:val="center"/>
          </w:tcPr>
          <w:p w14:paraId="27433E06" w14:textId="77777777" w:rsidR="007E1751" w:rsidRPr="00A062CC" w:rsidRDefault="007E1751" w:rsidP="007E1751">
            <w:pPr>
              <w:pStyle w:val="Tablecontent"/>
              <w:jc w:val="center"/>
            </w:pPr>
          </w:p>
        </w:tc>
      </w:tr>
      <w:tr w:rsidR="007E1751" w14:paraId="769503EA" w14:textId="59AF421F" w:rsidTr="007E1751">
        <w:tc>
          <w:tcPr>
            <w:tcW w:w="1418" w:type="dxa"/>
            <w:vAlign w:val="center"/>
          </w:tcPr>
          <w:p w14:paraId="06DB776C" w14:textId="77777777" w:rsidR="007E1751" w:rsidRDefault="007E1751" w:rsidP="00610669">
            <w:pPr>
              <w:pStyle w:val="Tablecontent"/>
            </w:pPr>
            <w:r w:rsidRPr="00850E0E">
              <w:t>ALVE-ros009</w:t>
            </w:r>
          </w:p>
        </w:tc>
        <w:tc>
          <w:tcPr>
            <w:tcW w:w="850" w:type="dxa"/>
            <w:vAlign w:val="center"/>
          </w:tcPr>
          <w:p w14:paraId="2C811D7D" w14:textId="77777777" w:rsidR="007E1751" w:rsidRPr="00A062CC" w:rsidRDefault="007E1751" w:rsidP="007E1751">
            <w:pPr>
              <w:pStyle w:val="Tablecontent"/>
              <w:jc w:val="center"/>
            </w:pPr>
          </w:p>
        </w:tc>
        <w:tc>
          <w:tcPr>
            <w:tcW w:w="850" w:type="dxa"/>
            <w:vAlign w:val="center"/>
          </w:tcPr>
          <w:p w14:paraId="7055012D" w14:textId="68DBD4D5" w:rsidR="007E1751" w:rsidRPr="00A062CC" w:rsidRDefault="007E1751" w:rsidP="007E1751">
            <w:pPr>
              <w:pStyle w:val="Tablecontent"/>
              <w:jc w:val="center"/>
            </w:pPr>
          </w:p>
        </w:tc>
        <w:tc>
          <w:tcPr>
            <w:tcW w:w="850" w:type="dxa"/>
            <w:vAlign w:val="center"/>
          </w:tcPr>
          <w:p w14:paraId="081B011B" w14:textId="6A44B4E0" w:rsidR="007E1751" w:rsidRPr="00A062CC" w:rsidRDefault="007E1751" w:rsidP="007E1751">
            <w:pPr>
              <w:pStyle w:val="Tablecontent"/>
              <w:jc w:val="center"/>
            </w:pPr>
          </w:p>
        </w:tc>
        <w:tc>
          <w:tcPr>
            <w:tcW w:w="850" w:type="dxa"/>
            <w:vAlign w:val="center"/>
          </w:tcPr>
          <w:p w14:paraId="0F060FB3" w14:textId="77777777" w:rsidR="007E1751" w:rsidRPr="00A062CC" w:rsidRDefault="007E1751" w:rsidP="007E1751">
            <w:pPr>
              <w:pStyle w:val="Tablecontent"/>
              <w:jc w:val="center"/>
            </w:pPr>
          </w:p>
        </w:tc>
        <w:tc>
          <w:tcPr>
            <w:tcW w:w="850" w:type="dxa"/>
            <w:vAlign w:val="center"/>
          </w:tcPr>
          <w:p w14:paraId="179D97D5" w14:textId="77777777" w:rsidR="007E1751" w:rsidRPr="00A062CC" w:rsidRDefault="007E1751" w:rsidP="007E1751">
            <w:pPr>
              <w:pStyle w:val="Tablecontent"/>
              <w:jc w:val="center"/>
            </w:pPr>
          </w:p>
        </w:tc>
        <w:tc>
          <w:tcPr>
            <w:tcW w:w="850" w:type="dxa"/>
            <w:vAlign w:val="center"/>
          </w:tcPr>
          <w:p w14:paraId="5A07083D" w14:textId="77777777" w:rsidR="007E1751" w:rsidRPr="00A062CC" w:rsidRDefault="007E1751" w:rsidP="007E1751">
            <w:pPr>
              <w:pStyle w:val="Tablecontent"/>
              <w:jc w:val="center"/>
            </w:pPr>
          </w:p>
        </w:tc>
        <w:tc>
          <w:tcPr>
            <w:tcW w:w="850" w:type="dxa"/>
            <w:vAlign w:val="center"/>
          </w:tcPr>
          <w:p w14:paraId="660AE4F3" w14:textId="5311E321" w:rsidR="007E1751" w:rsidRPr="00A062CC" w:rsidRDefault="00DD57D2" w:rsidP="007E1751">
            <w:pPr>
              <w:pStyle w:val="Tablecontent"/>
              <w:jc w:val="center"/>
            </w:pPr>
            <w:r w:rsidRPr="007E1751">
              <w:rPr>
                <w:sz w:val="24"/>
              </w:rPr>
              <w:sym w:font="Wingdings" w:char="F0FC"/>
            </w:r>
          </w:p>
        </w:tc>
        <w:tc>
          <w:tcPr>
            <w:tcW w:w="850" w:type="dxa"/>
            <w:vAlign w:val="center"/>
          </w:tcPr>
          <w:p w14:paraId="33888637" w14:textId="77777777" w:rsidR="007E1751" w:rsidRPr="00A062CC" w:rsidRDefault="007E1751" w:rsidP="007E1751">
            <w:pPr>
              <w:pStyle w:val="Tablecontent"/>
              <w:jc w:val="center"/>
            </w:pPr>
          </w:p>
        </w:tc>
      </w:tr>
      <w:tr w:rsidR="007E1751" w14:paraId="120262D6" w14:textId="1791B57D" w:rsidTr="007E1751">
        <w:tc>
          <w:tcPr>
            <w:tcW w:w="1418" w:type="dxa"/>
            <w:vAlign w:val="center"/>
          </w:tcPr>
          <w:p w14:paraId="4DC4298F" w14:textId="77777777" w:rsidR="007E1751" w:rsidRDefault="007E1751" w:rsidP="00610669">
            <w:pPr>
              <w:pStyle w:val="Tablecontent"/>
            </w:pPr>
            <w:r w:rsidRPr="00850E0E">
              <w:t>ALVE9</w:t>
            </w:r>
          </w:p>
        </w:tc>
        <w:tc>
          <w:tcPr>
            <w:tcW w:w="850" w:type="dxa"/>
            <w:vAlign w:val="center"/>
          </w:tcPr>
          <w:p w14:paraId="797B2F08" w14:textId="77777777" w:rsidR="007E1751" w:rsidRPr="00A062CC" w:rsidRDefault="007E1751" w:rsidP="007E1751">
            <w:pPr>
              <w:pStyle w:val="Tablecontent"/>
              <w:jc w:val="center"/>
            </w:pPr>
          </w:p>
        </w:tc>
        <w:tc>
          <w:tcPr>
            <w:tcW w:w="850" w:type="dxa"/>
            <w:vAlign w:val="center"/>
          </w:tcPr>
          <w:p w14:paraId="05C84F2E" w14:textId="720BBEE1" w:rsidR="007E1751" w:rsidRPr="00A062CC" w:rsidRDefault="007E1751" w:rsidP="007E1751">
            <w:pPr>
              <w:pStyle w:val="Tablecontent"/>
              <w:jc w:val="center"/>
            </w:pPr>
          </w:p>
        </w:tc>
        <w:tc>
          <w:tcPr>
            <w:tcW w:w="850" w:type="dxa"/>
            <w:vAlign w:val="center"/>
          </w:tcPr>
          <w:p w14:paraId="70924231" w14:textId="73158451" w:rsidR="007E1751" w:rsidRPr="00A062CC" w:rsidRDefault="00DD57D2" w:rsidP="007E1751">
            <w:pPr>
              <w:pStyle w:val="Tablecontent"/>
              <w:jc w:val="center"/>
            </w:pPr>
            <w:r w:rsidRPr="007E1751">
              <w:rPr>
                <w:sz w:val="24"/>
              </w:rPr>
              <w:sym w:font="Wingdings" w:char="F0FC"/>
            </w:r>
          </w:p>
        </w:tc>
        <w:tc>
          <w:tcPr>
            <w:tcW w:w="850" w:type="dxa"/>
            <w:vAlign w:val="center"/>
          </w:tcPr>
          <w:p w14:paraId="360251A1" w14:textId="5480D8F4" w:rsidR="007E1751" w:rsidRPr="00A062CC" w:rsidRDefault="007E1751" w:rsidP="007E1751">
            <w:pPr>
              <w:pStyle w:val="Tablecontent"/>
              <w:jc w:val="center"/>
            </w:pPr>
          </w:p>
        </w:tc>
        <w:tc>
          <w:tcPr>
            <w:tcW w:w="850" w:type="dxa"/>
            <w:vAlign w:val="center"/>
          </w:tcPr>
          <w:p w14:paraId="26D6CF2E" w14:textId="77777777" w:rsidR="007E1751" w:rsidRPr="00A062CC" w:rsidRDefault="007E1751" w:rsidP="007E1751">
            <w:pPr>
              <w:pStyle w:val="Tablecontent"/>
              <w:jc w:val="center"/>
            </w:pPr>
          </w:p>
        </w:tc>
        <w:tc>
          <w:tcPr>
            <w:tcW w:w="850" w:type="dxa"/>
            <w:vAlign w:val="center"/>
          </w:tcPr>
          <w:p w14:paraId="0D7367F4" w14:textId="77777777" w:rsidR="007E1751" w:rsidRPr="00A062CC" w:rsidRDefault="007E1751" w:rsidP="007E1751">
            <w:pPr>
              <w:pStyle w:val="Tablecontent"/>
              <w:jc w:val="center"/>
            </w:pPr>
          </w:p>
        </w:tc>
        <w:tc>
          <w:tcPr>
            <w:tcW w:w="850" w:type="dxa"/>
            <w:vAlign w:val="center"/>
          </w:tcPr>
          <w:p w14:paraId="14068502" w14:textId="77777777" w:rsidR="007E1751" w:rsidRPr="00A062CC" w:rsidRDefault="007E1751" w:rsidP="007E1751">
            <w:pPr>
              <w:pStyle w:val="Tablecontent"/>
              <w:jc w:val="center"/>
            </w:pPr>
          </w:p>
        </w:tc>
        <w:tc>
          <w:tcPr>
            <w:tcW w:w="850" w:type="dxa"/>
            <w:vAlign w:val="center"/>
          </w:tcPr>
          <w:p w14:paraId="4BEC3727" w14:textId="77777777" w:rsidR="007E1751" w:rsidRPr="00A062CC" w:rsidRDefault="007E1751" w:rsidP="007E1751">
            <w:pPr>
              <w:pStyle w:val="Tablecontent"/>
              <w:jc w:val="center"/>
            </w:pPr>
          </w:p>
        </w:tc>
      </w:tr>
      <w:tr w:rsidR="007E1751" w14:paraId="47044455" w14:textId="400CBC98" w:rsidTr="007E1751">
        <w:tc>
          <w:tcPr>
            <w:tcW w:w="1418" w:type="dxa"/>
            <w:vAlign w:val="center"/>
          </w:tcPr>
          <w:p w14:paraId="00965AF4" w14:textId="77777777" w:rsidR="007E1751" w:rsidRDefault="007E1751" w:rsidP="00610669">
            <w:pPr>
              <w:pStyle w:val="Tablecontent"/>
            </w:pPr>
            <w:r w:rsidRPr="00850E0E">
              <w:t>ALVE-NSAC7</w:t>
            </w:r>
          </w:p>
        </w:tc>
        <w:tc>
          <w:tcPr>
            <w:tcW w:w="850" w:type="dxa"/>
            <w:vAlign w:val="center"/>
          </w:tcPr>
          <w:p w14:paraId="232BE064" w14:textId="77777777" w:rsidR="007E1751" w:rsidRPr="00A062CC" w:rsidRDefault="007E1751" w:rsidP="007E1751">
            <w:pPr>
              <w:pStyle w:val="Tablecontent"/>
              <w:jc w:val="center"/>
            </w:pPr>
          </w:p>
        </w:tc>
        <w:tc>
          <w:tcPr>
            <w:tcW w:w="850" w:type="dxa"/>
            <w:vAlign w:val="center"/>
          </w:tcPr>
          <w:p w14:paraId="654C1413" w14:textId="6161A8D9" w:rsidR="007E1751" w:rsidRPr="00A062CC" w:rsidRDefault="007E1751" w:rsidP="007E1751">
            <w:pPr>
              <w:pStyle w:val="Tablecontent"/>
              <w:jc w:val="center"/>
            </w:pPr>
          </w:p>
        </w:tc>
        <w:tc>
          <w:tcPr>
            <w:tcW w:w="850" w:type="dxa"/>
            <w:vAlign w:val="center"/>
          </w:tcPr>
          <w:p w14:paraId="32AB07A4" w14:textId="47A6B45A" w:rsidR="007E1751" w:rsidRPr="00A062CC" w:rsidRDefault="007E1751" w:rsidP="007E1751">
            <w:pPr>
              <w:pStyle w:val="Tablecontent"/>
              <w:jc w:val="center"/>
            </w:pPr>
          </w:p>
        </w:tc>
        <w:tc>
          <w:tcPr>
            <w:tcW w:w="850" w:type="dxa"/>
            <w:vAlign w:val="center"/>
          </w:tcPr>
          <w:p w14:paraId="6650DB91" w14:textId="77777777" w:rsidR="007E1751" w:rsidRPr="00A062CC" w:rsidRDefault="007E1751" w:rsidP="007E1751">
            <w:pPr>
              <w:pStyle w:val="Tablecontent"/>
              <w:jc w:val="center"/>
            </w:pPr>
          </w:p>
        </w:tc>
        <w:tc>
          <w:tcPr>
            <w:tcW w:w="850" w:type="dxa"/>
            <w:vAlign w:val="center"/>
          </w:tcPr>
          <w:p w14:paraId="62EFA312" w14:textId="77777777" w:rsidR="007E1751" w:rsidRPr="00A062CC" w:rsidRDefault="007E1751" w:rsidP="007E1751">
            <w:pPr>
              <w:pStyle w:val="Tablecontent"/>
              <w:jc w:val="center"/>
            </w:pPr>
          </w:p>
        </w:tc>
        <w:tc>
          <w:tcPr>
            <w:tcW w:w="850" w:type="dxa"/>
            <w:vAlign w:val="center"/>
          </w:tcPr>
          <w:p w14:paraId="66ECAC9F" w14:textId="2599E349" w:rsidR="007E1751" w:rsidRPr="00A062CC" w:rsidRDefault="00DD57D2" w:rsidP="007E1751">
            <w:pPr>
              <w:pStyle w:val="Tablecontent"/>
              <w:jc w:val="center"/>
            </w:pPr>
            <w:r w:rsidRPr="007E1751">
              <w:rPr>
                <w:sz w:val="24"/>
              </w:rPr>
              <w:sym w:font="Wingdings" w:char="F0FC"/>
            </w:r>
          </w:p>
        </w:tc>
        <w:tc>
          <w:tcPr>
            <w:tcW w:w="850" w:type="dxa"/>
            <w:vAlign w:val="center"/>
          </w:tcPr>
          <w:p w14:paraId="23AF4BF3" w14:textId="54C8B6CE" w:rsidR="007E1751" w:rsidRPr="00A062CC" w:rsidRDefault="00DD57D2" w:rsidP="007E1751">
            <w:pPr>
              <w:pStyle w:val="Tablecontent"/>
              <w:jc w:val="center"/>
            </w:pPr>
            <w:r w:rsidRPr="007E1751">
              <w:rPr>
                <w:sz w:val="24"/>
              </w:rPr>
              <w:sym w:font="Wingdings" w:char="F0FC"/>
            </w:r>
          </w:p>
        </w:tc>
        <w:tc>
          <w:tcPr>
            <w:tcW w:w="850" w:type="dxa"/>
            <w:vAlign w:val="center"/>
          </w:tcPr>
          <w:p w14:paraId="43ABDC80" w14:textId="77777777" w:rsidR="007E1751" w:rsidRPr="00A062CC" w:rsidRDefault="007E1751" w:rsidP="007E1751">
            <w:pPr>
              <w:pStyle w:val="Tablecontent"/>
              <w:jc w:val="center"/>
            </w:pPr>
          </w:p>
        </w:tc>
      </w:tr>
      <w:tr w:rsidR="007E1751" w14:paraId="312A83CA" w14:textId="3336E6B4" w:rsidTr="007E1751">
        <w:tc>
          <w:tcPr>
            <w:tcW w:w="1418" w:type="dxa"/>
            <w:vAlign w:val="center"/>
          </w:tcPr>
          <w:p w14:paraId="09BE57FC" w14:textId="77777777" w:rsidR="007E1751" w:rsidRDefault="007E1751" w:rsidP="00610669">
            <w:pPr>
              <w:pStyle w:val="Tablecontent"/>
            </w:pPr>
            <w:r w:rsidRPr="00850E0E">
              <w:t>ALVE-ros010</w:t>
            </w:r>
          </w:p>
        </w:tc>
        <w:tc>
          <w:tcPr>
            <w:tcW w:w="850" w:type="dxa"/>
            <w:vAlign w:val="center"/>
          </w:tcPr>
          <w:p w14:paraId="66420F9F" w14:textId="77777777" w:rsidR="007E1751" w:rsidRPr="00A062CC" w:rsidRDefault="007E1751" w:rsidP="007E1751">
            <w:pPr>
              <w:pStyle w:val="Tablecontent"/>
              <w:jc w:val="center"/>
            </w:pPr>
          </w:p>
        </w:tc>
        <w:tc>
          <w:tcPr>
            <w:tcW w:w="850" w:type="dxa"/>
            <w:vAlign w:val="center"/>
          </w:tcPr>
          <w:p w14:paraId="0F5E45FE" w14:textId="2294893F" w:rsidR="007E1751" w:rsidRPr="00A062CC" w:rsidRDefault="007E1751" w:rsidP="007E1751">
            <w:pPr>
              <w:pStyle w:val="Tablecontent"/>
              <w:jc w:val="center"/>
            </w:pPr>
          </w:p>
        </w:tc>
        <w:tc>
          <w:tcPr>
            <w:tcW w:w="850" w:type="dxa"/>
            <w:vAlign w:val="center"/>
          </w:tcPr>
          <w:p w14:paraId="2EAFE516" w14:textId="7A9789F6" w:rsidR="007E1751" w:rsidRPr="00A062CC" w:rsidRDefault="007E1751" w:rsidP="007E1751">
            <w:pPr>
              <w:pStyle w:val="Tablecontent"/>
              <w:jc w:val="center"/>
            </w:pPr>
          </w:p>
        </w:tc>
        <w:tc>
          <w:tcPr>
            <w:tcW w:w="850" w:type="dxa"/>
            <w:vAlign w:val="center"/>
          </w:tcPr>
          <w:p w14:paraId="2CF43F3B" w14:textId="77777777" w:rsidR="007E1751" w:rsidRPr="00A062CC" w:rsidRDefault="007E1751" w:rsidP="007E1751">
            <w:pPr>
              <w:pStyle w:val="Tablecontent"/>
              <w:jc w:val="center"/>
            </w:pPr>
          </w:p>
        </w:tc>
        <w:tc>
          <w:tcPr>
            <w:tcW w:w="850" w:type="dxa"/>
            <w:vAlign w:val="center"/>
          </w:tcPr>
          <w:p w14:paraId="7637E433" w14:textId="77777777" w:rsidR="007E1751" w:rsidRPr="00A062CC" w:rsidRDefault="007E1751" w:rsidP="007E1751">
            <w:pPr>
              <w:pStyle w:val="Tablecontent"/>
              <w:jc w:val="center"/>
            </w:pPr>
          </w:p>
        </w:tc>
        <w:tc>
          <w:tcPr>
            <w:tcW w:w="850" w:type="dxa"/>
            <w:vAlign w:val="center"/>
          </w:tcPr>
          <w:p w14:paraId="4ADF28FE" w14:textId="77777777" w:rsidR="007E1751" w:rsidRPr="00A062CC" w:rsidRDefault="007E1751" w:rsidP="007E1751">
            <w:pPr>
              <w:pStyle w:val="Tablecontent"/>
              <w:jc w:val="center"/>
            </w:pPr>
          </w:p>
        </w:tc>
        <w:tc>
          <w:tcPr>
            <w:tcW w:w="850" w:type="dxa"/>
            <w:vAlign w:val="center"/>
          </w:tcPr>
          <w:p w14:paraId="2C8C300D" w14:textId="77777777" w:rsidR="007E1751" w:rsidRPr="00A062CC" w:rsidRDefault="007E1751" w:rsidP="007E1751">
            <w:pPr>
              <w:pStyle w:val="Tablecontent"/>
              <w:jc w:val="center"/>
            </w:pPr>
          </w:p>
        </w:tc>
        <w:tc>
          <w:tcPr>
            <w:tcW w:w="850" w:type="dxa"/>
            <w:vAlign w:val="center"/>
          </w:tcPr>
          <w:p w14:paraId="5C3D56D0" w14:textId="734DB80F" w:rsidR="007E1751" w:rsidRPr="00A062CC" w:rsidRDefault="00DD57D2" w:rsidP="007E1751">
            <w:pPr>
              <w:pStyle w:val="Tablecontent"/>
              <w:jc w:val="center"/>
            </w:pPr>
            <w:r w:rsidRPr="007E1751">
              <w:rPr>
                <w:sz w:val="24"/>
              </w:rPr>
              <w:sym w:font="Wingdings" w:char="F0FC"/>
            </w:r>
          </w:p>
        </w:tc>
      </w:tr>
      <w:tr w:rsidR="007E1751" w14:paraId="1BFD4141" w14:textId="38385815" w:rsidTr="007E1751">
        <w:tc>
          <w:tcPr>
            <w:tcW w:w="1418" w:type="dxa"/>
            <w:vAlign w:val="center"/>
          </w:tcPr>
          <w:p w14:paraId="470EAF8E" w14:textId="77777777" w:rsidR="007E1751" w:rsidRDefault="007E1751" w:rsidP="00610669">
            <w:pPr>
              <w:pStyle w:val="Tablecontent"/>
            </w:pPr>
            <w:r w:rsidRPr="00850E0E">
              <w:t>ALVE3</w:t>
            </w:r>
          </w:p>
        </w:tc>
        <w:tc>
          <w:tcPr>
            <w:tcW w:w="850" w:type="dxa"/>
            <w:vAlign w:val="center"/>
          </w:tcPr>
          <w:p w14:paraId="1971A5E4" w14:textId="77777777" w:rsidR="007E1751" w:rsidRPr="00A062CC" w:rsidRDefault="007E1751" w:rsidP="007E1751">
            <w:pPr>
              <w:pStyle w:val="Tablecontent"/>
              <w:jc w:val="center"/>
            </w:pPr>
          </w:p>
        </w:tc>
        <w:tc>
          <w:tcPr>
            <w:tcW w:w="850" w:type="dxa"/>
            <w:vAlign w:val="center"/>
          </w:tcPr>
          <w:p w14:paraId="37F5E45C" w14:textId="4F9E5698" w:rsidR="007E1751" w:rsidRPr="00A062CC" w:rsidRDefault="00DD57D2" w:rsidP="007E1751">
            <w:pPr>
              <w:pStyle w:val="Tablecontent"/>
              <w:jc w:val="center"/>
            </w:pPr>
            <w:r w:rsidRPr="007E1751">
              <w:rPr>
                <w:sz w:val="24"/>
              </w:rPr>
              <w:sym w:font="Wingdings" w:char="F0FC"/>
            </w:r>
          </w:p>
        </w:tc>
        <w:tc>
          <w:tcPr>
            <w:tcW w:w="850" w:type="dxa"/>
            <w:vAlign w:val="center"/>
          </w:tcPr>
          <w:p w14:paraId="6F4670AA" w14:textId="0C1D1A9C" w:rsidR="007E1751" w:rsidRPr="00A062CC" w:rsidRDefault="00DD57D2" w:rsidP="007E1751">
            <w:pPr>
              <w:pStyle w:val="Tablecontent"/>
              <w:jc w:val="center"/>
            </w:pPr>
            <w:r w:rsidRPr="007E1751">
              <w:rPr>
                <w:sz w:val="24"/>
              </w:rPr>
              <w:sym w:font="Wingdings" w:char="F0FC"/>
            </w:r>
          </w:p>
        </w:tc>
        <w:tc>
          <w:tcPr>
            <w:tcW w:w="850" w:type="dxa"/>
            <w:vAlign w:val="center"/>
          </w:tcPr>
          <w:p w14:paraId="7C5D2264" w14:textId="5B8707F9" w:rsidR="007E1751" w:rsidRPr="00A062CC" w:rsidRDefault="00DD57D2" w:rsidP="007E1751">
            <w:pPr>
              <w:pStyle w:val="Tablecontent"/>
              <w:jc w:val="center"/>
            </w:pPr>
            <w:r w:rsidRPr="007E1751">
              <w:rPr>
                <w:sz w:val="24"/>
              </w:rPr>
              <w:sym w:font="Wingdings" w:char="F0FC"/>
            </w:r>
          </w:p>
        </w:tc>
        <w:tc>
          <w:tcPr>
            <w:tcW w:w="850" w:type="dxa"/>
            <w:vAlign w:val="center"/>
          </w:tcPr>
          <w:p w14:paraId="30EC0A10" w14:textId="77777777" w:rsidR="007E1751" w:rsidRPr="00A062CC" w:rsidRDefault="007E1751" w:rsidP="007E1751">
            <w:pPr>
              <w:pStyle w:val="Tablecontent"/>
              <w:jc w:val="center"/>
            </w:pPr>
          </w:p>
        </w:tc>
        <w:tc>
          <w:tcPr>
            <w:tcW w:w="850" w:type="dxa"/>
            <w:vAlign w:val="center"/>
          </w:tcPr>
          <w:p w14:paraId="6D60D053" w14:textId="77777777" w:rsidR="007E1751" w:rsidRPr="00A062CC" w:rsidRDefault="007E1751" w:rsidP="007E1751">
            <w:pPr>
              <w:pStyle w:val="Tablecontent"/>
              <w:jc w:val="center"/>
            </w:pPr>
          </w:p>
        </w:tc>
        <w:tc>
          <w:tcPr>
            <w:tcW w:w="850" w:type="dxa"/>
            <w:vAlign w:val="center"/>
          </w:tcPr>
          <w:p w14:paraId="69102BB8" w14:textId="77777777" w:rsidR="007E1751" w:rsidRPr="00A062CC" w:rsidRDefault="007E1751" w:rsidP="007E1751">
            <w:pPr>
              <w:pStyle w:val="Tablecontent"/>
              <w:jc w:val="center"/>
            </w:pPr>
          </w:p>
        </w:tc>
        <w:tc>
          <w:tcPr>
            <w:tcW w:w="850" w:type="dxa"/>
            <w:vAlign w:val="center"/>
          </w:tcPr>
          <w:p w14:paraId="6497F465" w14:textId="77777777" w:rsidR="007E1751" w:rsidRPr="00A062CC" w:rsidRDefault="007E1751" w:rsidP="007E1751">
            <w:pPr>
              <w:pStyle w:val="Tablecontent"/>
              <w:jc w:val="center"/>
            </w:pPr>
          </w:p>
        </w:tc>
      </w:tr>
      <w:tr w:rsidR="007E1751" w14:paraId="4FE81291" w14:textId="3487AD92" w:rsidTr="007E1751">
        <w:tc>
          <w:tcPr>
            <w:tcW w:w="1418" w:type="dxa"/>
            <w:tcBorders>
              <w:bottom w:val="single" w:sz="4" w:space="0" w:color="auto"/>
            </w:tcBorders>
            <w:vAlign w:val="center"/>
          </w:tcPr>
          <w:p w14:paraId="5DBD15E1" w14:textId="77777777" w:rsidR="007E1751" w:rsidRDefault="007E1751" w:rsidP="00610669">
            <w:pPr>
              <w:pStyle w:val="Tablecontent"/>
            </w:pPr>
            <w:r w:rsidRPr="00850E0E">
              <w:t>ALVE21</w:t>
            </w:r>
          </w:p>
        </w:tc>
        <w:tc>
          <w:tcPr>
            <w:tcW w:w="850" w:type="dxa"/>
            <w:tcBorders>
              <w:bottom w:val="single" w:sz="4" w:space="0" w:color="auto"/>
            </w:tcBorders>
            <w:vAlign w:val="center"/>
          </w:tcPr>
          <w:p w14:paraId="39FD4C94" w14:textId="77777777" w:rsidR="007E1751" w:rsidRPr="00A062CC" w:rsidRDefault="007E1751" w:rsidP="007E1751">
            <w:pPr>
              <w:pStyle w:val="Tablecontent"/>
              <w:jc w:val="center"/>
            </w:pPr>
          </w:p>
        </w:tc>
        <w:tc>
          <w:tcPr>
            <w:tcW w:w="850" w:type="dxa"/>
            <w:tcBorders>
              <w:bottom w:val="single" w:sz="4" w:space="0" w:color="auto"/>
            </w:tcBorders>
            <w:vAlign w:val="center"/>
          </w:tcPr>
          <w:p w14:paraId="456F9C90" w14:textId="09322F2A" w:rsidR="007E1751" w:rsidRPr="00A062CC" w:rsidRDefault="007E1751" w:rsidP="007E1751">
            <w:pPr>
              <w:pStyle w:val="Tablecontent"/>
              <w:jc w:val="center"/>
            </w:pPr>
          </w:p>
        </w:tc>
        <w:tc>
          <w:tcPr>
            <w:tcW w:w="850" w:type="dxa"/>
            <w:tcBorders>
              <w:bottom w:val="single" w:sz="4" w:space="0" w:color="auto"/>
            </w:tcBorders>
            <w:vAlign w:val="center"/>
          </w:tcPr>
          <w:p w14:paraId="65D60F23" w14:textId="3745BB60" w:rsidR="007E1751" w:rsidRPr="00A062CC" w:rsidRDefault="007E1751" w:rsidP="007E1751">
            <w:pPr>
              <w:pStyle w:val="Tablecontent"/>
              <w:jc w:val="center"/>
            </w:pPr>
          </w:p>
        </w:tc>
        <w:tc>
          <w:tcPr>
            <w:tcW w:w="850" w:type="dxa"/>
            <w:tcBorders>
              <w:bottom w:val="single" w:sz="4" w:space="0" w:color="auto"/>
            </w:tcBorders>
            <w:vAlign w:val="center"/>
          </w:tcPr>
          <w:p w14:paraId="600F8ED9" w14:textId="4CB1249F" w:rsidR="007E1751" w:rsidRPr="00A062CC" w:rsidRDefault="00DD57D2" w:rsidP="007E1751">
            <w:pPr>
              <w:pStyle w:val="Tablecontent"/>
              <w:jc w:val="center"/>
            </w:pPr>
            <w:r w:rsidRPr="007E1751">
              <w:rPr>
                <w:sz w:val="24"/>
              </w:rPr>
              <w:sym w:font="Wingdings" w:char="F0FC"/>
            </w:r>
          </w:p>
        </w:tc>
        <w:tc>
          <w:tcPr>
            <w:tcW w:w="850" w:type="dxa"/>
            <w:tcBorders>
              <w:bottom w:val="single" w:sz="4" w:space="0" w:color="auto"/>
            </w:tcBorders>
            <w:vAlign w:val="center"/>
          </w:tcPr>
          <w:p w14:paraId="563B2FC7" w14:textId="77777777" w:rsidR="007E1751" w:rsidRPr="00A062CC" w:rsidRDefault="007E1751" w:rsidP="007E1751">
            <w:pPr>
              <w:pStyle w:val="Tablecontent"/>
              <w:jc w:val="center"/>
            </w:pPr>
          </w:p>
        </w:tc>
        <w:tc>
          <w:tcPr>
            <w:tcW w:w="850" w:type="dxa"/>
            <w:tcBorders>
              <w:bottom w:val="single" w:sz="4" w:space="0" w:color="auto"/>
            </w:tcBorders>
            <w:vAlign w:val="center"/>
          </w:tcPr>
          <w:p w14:paraId="43328453" w14:textId="04345E3F" w:rsidR="007E1751" w:rsidRPr="00A062CC" w:rsidRDefault="00DD57D2" w:rsidP="007E1751">
            <w:pPr>
              <w:pStyle w:val="Tablecontent"/>
              <w:jc w:val="center"/>
            </w:pPr>
            <w:r w:rsidRPr="007E1751">
              <w:rPr>
                <w:sz w:val="24"/>
              </w:rPr>
              <w:sym w:font="Wingdings" w:char="F0FC"/>
            </w:r>
          </w:p>
        </w:tc>
        <w:tc>
          <w:tcPr>
            <w:tcW w:w="850" w:type="dxa"/>
            <w:tcBorders>
              <w:bottom w:val="single" w:sz="4" w:space="0" w:color="auto"/>
            </w:tcBorders>
            <w:vAlign w:val="center"/>
          </w:tcPr>
          <w:p w14:paraId="7D68920F" w14:textId="153D108B" w:rsidR="007E1751" w:rsidRPr="00A062CC" w:rsidRDefault="00DD57D2" w:rsidP="007E1751">
            <w:pPr>
              <w:pStyle w:val="Tablecontent"/>
              <w:jc w:val="center"/>
            </w:pPr>
            <w:r w:rsidRPr="007E1751">
              <w:rPr>
                <w:sz w:val="24"/>
              </w:rPr>
              <w:sym w:font="Wingdings" w:char="F0FC"/>
            </w:r>
          </w:p>
        </w:tc>
        <w:tc>
          <w:tcPr>
            <w:tcW w:w="850" w:type="dxa"/>
            <w:tcBorders>
              <w:bottom w:val="single" w:sz="4" w:space="0" w:color="auto"/>
            </w:tcBorders>
            <w:vAlign w:val="center"/>
          </w:tcPr>
          <w:p w14:paraId="541A7C93" w14:textId="77777777" w:rsidR="007E1751" w:rsidRPr="00A062CC" w:rsidRDefault="007E1751" w:rsidP="007E1751">
            <w:pPr>
              <w:pStyle w:val="Tablecontent"/>
              <w:jc w:val="center"/>
            </w:pPr>
          </w:p>
        </w:tc>
      </w:tr>
    </w:tbl>
    <w:p w14:paraId="36DA679F" w14:textId="7B23422A" w:rsidR="00B4528A" w:rsidRDefault="00177E66" w:rsidP="00391005">
      <w:pPr>
        <w:pStyle w:val="ListParagraph"/>
      </w:pPr>
      <w:r>
        <w:lastRenderedPageBreak/>
        <w:t>reads at the 3’ site, however, were homologous to the ALVE</w:t>
      </w:r>
      <w:r>
        <w:rPr>
          <w:i/>
        </w:rPr>
        <w:t xml:space="preserve"> envelope</w:t>
      </w:r>
      <w:r>
        <w:t xml:space="preserve"> domain, suggesting a deletion of over 6 kb of the ALVE insertion as well as almost 2 kb of the genomic DNA (section </w:t>
      </w:r>
      <w:r>
        <w:fldChar w:fldCharType="begin" w:fldLock="1"/>
      </w:r>
      <w:r>
        <w:instrText xml:space="preserve"> REF _Ref479752367 \r \h </w:instrText>
      </w:r>
      <w:r>
        <w:fldChar w:fldCharType="separate"/>
      </w:r>
      <w:r w:rsidR="002C549C">
        <w:t>6.6.1</w:t>
      </w:r>
      <w:r>
        <w:fldChar w:fldCharType="end"/>
      </w:r>
      <w:r>
        <w:t>).</w:t>
      </w:r>
      <w:r w:rsidR="0047487D">
        <w:t xml:space="preserve"> </w:t>
      </w:r>
    </w:p>
    <w:p w14:paraId="74386456" w14:textId="127B5AE4" w:rsidR="00ED6F30" w:rsidRPr="00177E66" w:rsidRDefault="00ED6F30" w:rsidP="00391005">
      <w:pPr>
        <w:pStyle w:val="ListParagraph"/>
        <w:rPr>
          <w:sz w:val="2"/>
        </w:rPr>
      </w:pPr>
    </w:p>
    <w:p w14:paraId="215A8A3D" w14:textId="7C667E11" w:rsidR="004D06EE" w:rsidRDefault="004D06EE" w:rsidP="00391005">
      <w:pPr>
        <w:pStyle w:val="ListParagraph"/>
      </w:pPr>
      <w:r>
        <w:rPr>
          <w:noProof/>
          <w:lang w:eastAsia="en-GB"/>
        </w:rPr>
        <w:drawing>
          <wp:inline distT="0" distB="0" distL="0" distR="0" wp14:anchorId="17B81167" wp14:editId="19ABEB06">
            <wp:extent cx="5236545" cy="1526651"/>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6399" cy="1535355"/>
                    </a:xfrm>
                    <a:prstGeom prst="rect">
                      <a:avLst/>
                    </a:prstGeom>
                    <a:noFill/>
                  </pic:spPr>
                </pic:pic>
              </a:graphicData>
            </a:graphic>
          </wp:inline>
        </w:drawing>
      </w:r>
    </w:p>
    <w:p w14:paraId="294D91A7" w14:textId="74C18F99" w:rsidR="004D06EE" w:rsidRPr="004D06EE" w:rsidRDefault="004D06EE" w:rsidP="003A3EAD">
      <w:pPr>
        <w:pStyle w:val="Figure"/>
      </w:pPr>
      <w:bookmarkStart w:id="428" w:name="_Ref478663059"/>
      <w:bookmarkStart w:id="429" w:name="_Toc486785447"/>
      <w:r w:rsidRPr="005C56D2">
        <w:t xml:space="preserve">Figure </w:t>
      </w:r>
      <w:fldSimple w:instr=" STYLEREF 1 \s " w:fldLock="1">
        <w:r w:rsidR="002C549C">
          <w:rPr>
            <w:noProof/>
          </w:rPr>
          <w:t>6</w:t>
        </w:r>
      </w:fldSimple>
      <w:r w:rsidR="001167C6" w:rsidRPr="005C56D2">
        <w:t>.</w:t>
      </w:r>
      <w:fldSimple w:instr=" SEQ Figure \* ARABIC \s 1 " w:fldLock="1">
        <w:r w:rsidR="002C549C">
          <w:rPr>
            <w:noProof/>
          </w:rPr>
          <w:t>2</w:t>
        </w:r>
      </w:fldSimple>
      <w:bookmarkEnd w:id="428"/>
      <w:r>
        <w:t xml:space="preserve"> The </w:t>
      </w:r>
      <w:r w:rsidR="003D07C3">
        <w:t>ALVE_ros007</w:t>
      </w:r>
      <w:r>
        <w:t xml:space="preserve"> genomic region showing the ALVE homologous reads and the full RIR BAM file. Above the chromosome 4 scale bar are the ALVE filtered reads. No reads mapped between the two clipped sites when filtered, but the full region (below the scale, collapsed showing lines between </w:t>
      </w:r>
      <w:r w:rsidR="003A3EAD">
        <w:t>pairs) has mapping throughout.</w:t>
      </w:r>
      <w:bookmarkEnd w:id="429"/>
      <w:r w:rsidR="003A3EAD">
        <w:t xml:space="preserve"> </w:t>
      </w:r>
    </w:p>
    <w:p w14:paraId="7EA5164D" w14:textId="1D9DF9BA" w:rsidR="00B77441" w:rsidRDefault="00B77441" w:rsidP="00B77441">
      <w:pPr>
        <w:pStyle w:val="Heading4"/>
      </w:pPr>
      <w:r>
        <w:t>Genomic distribution of the identified ALVEs</w:t>
      </w:r>
    </w:p>
    <w:p w14:paraId="572176E6" w14:textId="291887C1" w:rsidR="006B6BA3" w:rsidRDefault="00950994" w:rsidP="00391005">
      <w:pPr>
        <w:pStyle w:val="ListParagraph"/>
      </w:pPr>
      <w:r>
        <w:t>Five o</w:t>
      </w:r>
      <w:r w:rsidR="006352DE">
        <w:t>f th</w:t>
      </w:r>
      <w:r>
        <w:t>e twenty identified ALVEs</w:t>
      </w:r>
      <w:r w:rsidR="001174B0">
        <w:t xml:space="preserve"> a</w:t>
      </w:r>
      <w:r w:rsidR="006352DE">
        <w:t>re intronic</w:t>
      </w:r>
      <w:r w:rsidR="0081699B">
        <w:t xml:space="preserve"> (</w:t>
      </w:r>
      <w:r w:rsidR="00092995" w:rsidRPr="005C56D2">
        <w:fldChar w:fldCharType="begin" w:fldLock="1"/>
      </w:r>
      <w:r w:rsidR="00092995" w:rsidRPr="005C56D2">
        <w:instrText xml:space="preserve"> REF _Ref478999938 \h </w:instrText>
      </w:r>
      <w:r w:rsidR="005C56D2" w:rsidRPr="005C56D2">
        <w:instrText xml:space="preserve"> \* MERGEFORMAT </w:instrText>
      </w:r>
      <w:r w:rsidR="00092995" w:rsidRPr="005C56D2">
        <w:fldChar w:fldCharType="separate"/>
      </w:r>
      <w:r w:rsidR="002C549C" w:rsidRPr="00D57A6B">
        <w:t xml:space="preserve">Table </w:t>
      </w:r>
      <w:r w:rsidR="002C549C">
        <w:rPr>
          <w:noProof/>
        </w:rPr>
        <w:t>6</w:t>
      </w:r>
      <w:r w:rsidR="002C549C" w:rsidRPr="00D57A6B">
        <w:rPr>
          <w:noProof/>
        </w:rPr>
        <w:t>.</w:t>
      </w:r>
      <w:r w:rsidR="002C549C">
        <w:rPr>
          <w:noProof/>
        </w:rPr>
        <w:t>2</w:t>
      </w:r>
      <w:r w:rsidR="00092995" w:rsidRPr="005C56D2">
        <w:fldChar w:fldCharType="end"/>
      </w:r>
      <w:r w:rsidR="0081699B">
        <w:t>)</w:t>
      </w:r>
      <w:r>
        <w:t>,</w:t>
      </w:r>
      <w:r w:rsidR="005C56D2">
        <w:t xml:space="preserve"> and these we</w:t>
      </w:r>
      <w:r w:rsidR="006352DE">
        <w:t>re all previously well descri</w:t>
      </w:r>
      <w:r w:rsidR="005C56D2">
        <w:t>bed and characterised</w:t>
      </w:r>
      <w:r w:rsidR="006352DE">
        <w:t>. ALVE1 is within the first intron of SOX5 (SRY-box 5 transcription factor</w:t>
      </w:r>
      <w:r>
        <w:t>; 15 exon gene</w:t>
      </w:r>
      <w:r w:rsidR="006352DE">
        <w:t>), ALVE3 is within the sixth intron of HCK (tyrosine-protein kinase</w:t>
      </w:r>
      <w:r>
        <w:t>; 11 exon gene</w:t>
      </w:r>
      <w:r w:rsidR="006352DE">
        <w:t>), ALVE9 is within the thirty-fifth intron of DOCK1 (dedicator of cytokinesis 1</w:t>
      </w:r>
      <w:r>
        <w:t>; 52 exon gene</w:t>
      </w:r>
      <w:r w:rsidR="006352DE">
        <w:t xml:space="preserve">), ALVE15 is within the </w:t>
      </w:r>
      <w:r>
        <w:t>final</w:t>
      </w:r>
      <w:r w:rsidR="006352DE">
        <w:t xml:space="preserve"> intron of GRIK2 (glutamate ionotropic receptor kainite type subunit 2</w:t>
      </w:r>
      <w:r>
        <w:t>; 16 exon gene</w:t>
      </w:r>
      <w:r w:rsidR="006352DE">
        <w:t>), and ALVE-TYR is within the final intron of TYR (tyrosinase</w:t>
      </w:r>
      <w:r>
        <w:t>; 5 exon gene</w:t>
      </w:r>
      <w:r w:rsidR="006352DE">
        <w:t xml:space="preserve">). </w:t>
      </w:r>
    </w:p>
    <w:p w14:paraId="3650A9CC" w14:textId="38EFA426" w:rsidR="00B77441" w:rsidRDefault="00950994" w:rsidP="00391005">
      <w:pPr>
        <w:pStyle w:val="ListParagraph"/>
      </w:pPr>
      <w:r>
        <w:t xml:space="preserve">There is no correlation between the ALVE insertion site and the observed GC content of that region. Additionally, there are no apparent correlations or patterns in the insertion hexamer sequences. </w:t>
      </w:r>
      <w:r w:rsidR="005C56D2">
        <w:t>However,</w:t>
      </w:r>
      <w:r>
        <w:t xml:space="preserve"> with the relatively few ALVEs identified, it is unlikely that any true patterns could be observed. </w:t>
      </w:r>
    </w:p>
    <w:p w14:paraId="61C449C1" w14:textId="680F63AB" w:rsidR="006F42F5" w:rsidRDefault="006F42F5" w:rsidP="00AE3685">
      <w:pPr>
        <w:pStyle w:val="Heading3"/>
      </w:pPr>
      <w:bookmarkStart w:id="430" w:name="_Ref479082842"/>
      <w:bookmarkStart w:id="431" w:name="_Toc485721643"/>
      <w:bookmarkStart w:id="432" w:name="_Toc486787223"/>
      <w:bookmarkStart w:id="433" w:name="_Toc486787371"/>
      <w:r>
        <w:lastRenderedPageBreak/>
        <w:t>KASP development</w:t>
      </w:r>
      <w:bookmarkEnd w:id="430"/>
      <w:bookmarkEnd w:id="431"/>
      <w:bookmarkEnd w:id="432"/>
      <w:bookmarkEnd w:id="433"/>
    </w:p>
    <w:p w14:paraId="36B3A7A2" w14:textId="1D3E99A1" w:rsidR="00EE627E" w:rsidRDefault="00EE627E" w:rsidP="00391005">
      <w:pPr>
        <w:pStyle w:val="ListParagraph"/>
      </w:pPr>
      <w:r>
        <w:t xml:space="preserve">KASP assays were successfully developed for all twenty identified ALVE insertions from the HL lines. The four primers for each assay are presented in </w:t>
      </w:r>
      <w:r>
        <w:fldChar w:fldCharType="begin" w:fldLock="1"/>
      </w:r>
      <w:r>
        <w:instrText xml:space="preserve"> REF _Ref479152906 \h </w:instrText>
      </w:r>
      <w:r>
        <w:fldChar w:fldCharType="separate"/>
      </w:r>
      <w:r w:rsidR="002C549C">
        <w:t xml:space="preserve">Table </w:t>
      </w:r>
      <w:r w:rsidR="002C549C">
        <w:rPr>
          <w:noProof/>
        </w:rPr>
        <w:t>6</w:t>
      </w:r>
      <w:r w:rsidR="002C549C">
        <w:t>.</w:t>
      </w:r>
      <w:r w:rsidR="002C549C">
        <w:rPr>
          <w:noProof/>
        </w:rPr>
        <w:t>4</w:t>
      </w:r>
      <w:r>
        <w:fldChar w:fldCharType="end"/>
      </w:r>
      <w:r>
        <w:t xml:space="preserve">, and assay results for the 2010 generation males are shown in </w:t>
      </w:r>
      <w:r>
        <w:fldChar w:fldCharType="begin" w:fldLock="1"/>
      </w:r>
      <w:r>
        <w:instrText xml:space="preserve"> REF _Ref479152953 \h </w:instrText>
      </w:r>
      <w:r>
        <w:fldChar w:fldCharType="separate"/>
      </w:r>
      <w:r w:rsidR="002C549C">
        <w:t xml:space="preserve">Figure </w:t>
      </w:r>
      <w:r w:rsidR="002C549C">
        <w:rPr>
          <w:noProof/>
        </w:rPr>
        <w:t>6</w:t>
      </w:r>
      <w:r w:rsidR="002C549C">
        <w:t>.</w:t>
      </w:r>
      <w:r w:rsidR="002C549C">
        <w:rPr>
          <w:noProof/>
        </w:rPr>
        <w:t>3</w:t>
      </w:r>
      <w:r>
        <w:fldChar w:fldCharType="end"/>
      </w:r>
      <w:r>
        <w:t>.</w:t>
      </w:r>
    </w:p>
    <w:p w14:paraId="1B0225F6" w14:textId="2811E8BC" w:rsidR="004006BC" w:rsidRDefault="004006BC" w:rsidP="004006BC">
      <w:pPr>
        <w:pStyle w:val="Caption"/>
      </w:pPr>
      <w:bookmarkStart w:id="434" w:name="_Ref479152906"/>
      <w:bookmarkStart w:id="435" w:name="_Toc486786327"/>
      <w:r>
        <w:t xml:space="preserve">Table </w:t>
      </w:r>
      <w:fldSimple w:instr=" STYLEREF 1 \s " w:fldLock="1">
        <w:r w:rsidR="002C549C">
          <w:rPr>
            <w:noProof/>
          </w:rPr>
          <w:t>6</w:t>
        </w:r>
      </w:fldSimple>
      <w:r w:rsidR="001167C6">
        <w:t>.</w:t>
      </w:r>
      <w:fldSimple w:instr=" SEQ Table \* ARABIC \s 1 " w:fldLock="1">
        <w:r w:rsidR="002C549C">
          <w:rPr>
            <w:noProof/>
          </w:rPr>
          <w:t>4</w:t>
        </w:r>
      </w:fldSimple>
      <w:bookmarkEnd w:id="434"/>
      <w:r>
        <w:t xml:space="preserve"> Primers used for the diagnostic Hy-Line-based KASP assays. </w:t>
      </w:r>
      <w:r w:rsidR="001715B5">
        <w:t xml:space="preserve">There are four primers for each assay. The first pair is for the ‘no insert’ genotype and the second pair is for the insert. Primers 1 and 3 for each assay have the fluorescent tags (sequences not shown). </w:t>
      </w:r>
      <w:r w:rsidR="009D5425">
        <w:t>Base ambiguities are shown using the IUPAC codes.</w:t>
      </w:r>
      <w:bookmarkEnd w:id="435"/>
      <w:r w:rsidR="001715B5">
        <w:t xml:space="preserve"> </w:t>
      </w:r>
    </w:p>
    <w:tbl>
      <w:tblPr>
        <w:tblStyle w:val="TableGrid"/>
        <w:tblW w:w="59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4394"/>
      </w:tblGrid>
      <w:tr w:rsidR="00C36AF8" w14:paraId="5EB29782" w14:textId="77777777" w:rsidTr="009D5425">
        <w:trPr>
          <w:trHeight w:val="515"/>
          <w:jc w:val="center"/>
        </w:trPr>
        <w:tc>
          <w:tcPr>
            <w:tcW w:w="1560" w:type="dxa"/>
            <w:tcBorders>
              <w:top w:val="single" w:sz="4" w:space="0" w:color="auto"/>
              <w:bottom w:val="single" w:sz="4" w:space="0" w:color="auto"/>
            </w:tcBorders>
            <w:vAlign w:val="center"/>
          </w:tcPr>
          <w:p w14:paraId="2982923E" w14:textId="692E0964" w:rsidR="00C36AF8" w:rsidRDefault="001715B5" w:rsidP="004006BC">
            <w:pPr>
              <w:pStyle w:val="Tablecontent"/>
            </w:pPr>
            <w:r>
              <w:t>ALVE</w:t>
            </w:r>
          </w:p>
        </w:tc>
        <w:tc>
          <w:tcPr>
            <w:tcW w:w="4394" w:type="dxa"/>
            <w:tcBorders>
              <w:top w:val="single" w:sz="4" w:space="0" w:color="auto"/>
              <w:bottom w:val="single" w:sz="4" w:space="0" w:color="auto"/>
            </w:tcBorders>
            <w:vAlign w:val="center"/>
          </w:tcPr>
          <w:p w14:paraId="11311B2F" w14:textId="3CF018BE" w:rsidR="00C36AF8" w:rsidRDefault="001715B5" w:rsidP="004006BC">
            <w:pPr>
              <w:pStyle w:val="Tablecontent"/>
            </w:pPr>
            <w:r>
              <w:t>KASP p</w:t>
            </w:r>
            <w:r w:rsidR="00C36AF8">
              <w:t>rimers</w:t>
            </w:r>
          </w:p>
        </w:tc>
      </w:tr>
      <w:tr w:rsidR="00C36AF8" w14:paraId="67B37447" w14:textId="77777777" w:rsidTr="009D5425">
        <w:trPr>
          <w:jc w:val="center"/>
        </w:trPr>
        <w:tc>
          <w:tcPr>
            <w:tcW w:w="1560" w:type="dxa"/>
            <w:tcBorders>
              <w:top w:val="single" w:sz="4" w:space="0" w:color="auto"/>
            </w:tcBorders>
          </w:tcPr>
          <w:p w14:paraId="046B352A" w14:textId="77777777" w:rsidR="00C36AF8" w:rsidRDefault="00C36AF8" w:rsidP="004006BC">
            <w:pPr>
              <w:pStyle w:val="Tablecontent"/>
            </w:pPr>
            <w:r w:rsidRPr="00850E0E">
              <w:t>ALVEB5</w:t>
            </w:r>
          </w:p>
        </w:tc>
        <w:tc>
          <w:tcPr>
            <w:tcW w:w="4394" w:type="dxa"/>
            <w:tcBorders>
              <w:top w:val="single" w:sz="4" w:space="0" w:color="auto"/>
            </w:tcBorders>
            <w:vAlign w:val="center"/>
          </w:tcPr>
          <w:p w14:paraId="69ABC8E2" w14:textId="77777777" w:rsidR="00C36AF8" w:rsidRDefault="00C36AF8" w:rsidP="00C36AF8">
            <w:pPr>
              <w:pStyle w:val="Tablecontent"/>
            </w:pPr>
            <w:r>
              <w:t>5'-AATAAACAATTCTCAGCTTAACCACCC</w:t>
            </w:r>
          </w:p>
          <w:p w14:paraId="7E468494" w14:textId="77777777" w:rsidR="00C36AF8" w:rsidRDefault="00C36AF8" w:rsidP="00C36AF8">
            <w:pPr>
              <w:pStyle w:val="Tablecontent"/>
            </w:pPr>
            <w:r>
              <w:t>5'-GAATGTTTAAGTCYGTGGATCTAATGA</w:t>
            </w:r>
          </w:p>
          <w:p w14:paraId="725912FB" w14:textId="77777777" w:rsidR="00C36AF8" w:rsidRDefault="00C36AF8" w:rsidP="00C36AF8">
            <w:pPr>
              <w:pStyle w:val="Tablecontent"/>
            </w:pPr>
            <w:r>
              <w:t>5'-AAAATAAACAATTCTCAGCTTAACCACCT</w:t>
            </w:r>
          </w:p>
          <w:p w14:paraId="741AC1B8" w14:textId="5E3A12B4" w:rsidR="00C36AF8" w:rsidRDefault="00C36AF8" w:rsidP="00C36AF8">
            <w:pPr>
              <w:pStyle w:val="Tablecontent"/>
            </w:pPr>
            <w:r>
              <w:t>5'-TTGCGAACACCTRAATGAAGCAGAA</w:t>
            </w:r>
          </w:p>
        </w:tc>
      </w:tr>
      <w:tr w:rsidR="00C36AF8" w14:paraId="2BF5EFCA" w14:textId="77777777" w:rsidTr="009D5425">
        <w:trPr>
          <w:jc w:val="center"/>
        </w:trPr>
        <w:tc>
          <w:tcPr>
            <w:tcW w:w="1560" w:type="dxa"/>
          </w:tcPr>
          <w:p w14:paraId="6A80B676" w14:textId="77777777" w:rsidR="00C36AF8" w:rsidRDefault="00C36AF8" w:rsidP="004006BC">
            <w:pPr>
              <w:pStyle w:val="Tablecontent"/>
            </w:pPr>
            <w:r w:rsidRPr="00850E0E">
              <w:t>ALVE1</w:t>
            </w:r>
          </w:p>
        </w:tc>
        <w:tc>
          <w:tcPr>
            <w:tcW w:w="4394" w:type="dxa"/>
            <w:vAlign w:val="center"/>
          </w:tcPr>
          <w:p w14:paraId="56B5D1CE" w14:textId="77777777" w:rsidR="00C36AF8" w:rsidRDefault="00C36AF8" w:rsidP="00C36AF8">
            <w:pPr>
              <w:pStyle w:val="Tablecontent"/>
            </w:pPr>
            <w:r>
              <w:t>5'-AAATTGACTTTAATATCTGTCAACGGTTC</w:t>
            </w:r>
          </w:p>
          <w:p w14:paraId="183EB4E3" w14:textId="77777777" w:rsidR="00C36AF8" w:rsidRDefault="00C36AF8" w:rsidP="00C36AF8">
            <w:pPr>
              <w:pStyle w:val="Tablecontent"/>
            </w:pPr>
            <w:r>
              <w:t>5'-CCAAGCAAGTAGCCCAAAACACAGTA</w:t>
            </w:r>
          </w:p>
          <w:p w14:paraId="38AE3544" w14:textId="77777777" w:rsidR="00C36AF8" w:rsidRDefault="00C36AF8" w:rsidP="00C36AF8">
            <w:pPr>
              <w:pStyle w:val="Tablecontent"/>
            </w:pPr>
            <w:r>
              <w:t>5'-AAATTGACTTTAATATCTGTCAACGGTTG</w:t>
            </w:r>
          </w:p>
          <w:p w14:paraId="4E5C0C22" w14:textId="0E3E5284" w:rsidR="00C36AF8" w:rsidRPr="00A062CC" w:rsidRDefault="00C36AF8" w:rsidP="00C36AF8">
            <w:pPr>
              <w:pStyle w:val="Tablecontent"/>
            </w:pPr>
            <w:r>
              <w:t>5'-GAACACCTGAATGAAGCAGAAGGCTT</w:t>
            </w:r>
          </w:p>
        </w:tc>
      </w:tr>
      <w:tr w:rsidR="00C36AF8" w14:paraId="0E328721" w14:textId="77777777" w:rsidTr="009D5425">
        <w:trPr>
          <w:jc w:val="center"/>
        </w:trPr>
        <w:tc>
          <w:tcPr>
            <w:tcW w:w="1560" w:type="dxa"/>
          </w:tcPr>
          <w:p w14:paraId="14FCD6BA" w14:textId="77777777" w:rsidR="00C36AF8" w:rsidRDefault="00C36AF8" w:rsidP="004006BC">
            <w:pPr>
              <w:pStyle w:val="Tablecontent"/>
            </w:pPr>
            <w:r w:rsidRPr="00850E0E">
              <w:t>ALVE-ros001</w:t>
            </w:r>
          </w:p>
        </w:tc>
        <w:tc>
          <w:tcPr>
            <w:tcW w:w="4394" w:type="dxa"/>
            <w:vAlign w:val="center"/>
          </w:tcPr>
          <w:p w14:paraId="22AECCDF" w14:textId="77777777" w:rsidR="00C36AF8" w:rsidRDefault="00C36AF8" w:rsidP="00C36AF8">
            <w:pPr>
              <w:pStyle w:val="Tablecontent"/>
            </w:pPr>
            <w:r>
              <w:t>5'-TCATACACATGTTGTGYTCCCTG</w:t>
            </w:r>
          </w:p>
          <w:p w14:paraId="26F645BB" w14:textId="77777777" w:rsidR="00C36AF8" w:rsidRDefault="00C36AF8" w:rsidP="00C36AF8">
            <w:pPr>
              <w:pStyle w:val="Tablecontent"/>
            </w:pPr>
            <w:r>
              <w:t>5'-ATGTCCTGACTATGATCTGGCAGCT</w:t>
            </w:r>
          </w:p>
          <w:p w14:paraId="50DDCBAF" w14:textId="77777777" w:rsidR="00C36AF8" w:rsidRDefault="00C36AF8" w:rsidP="00C36AF8">
            <w:pPr>
              <w:pStyle w:val="Tablecontent"/>
            </w:pPr>
            <w:r>
              <w:t>5'-TTCATACACATGTTGTGTGAAGCCTT</w:t>
            </w:r>
          </w:p>
          <w:p w14:paraId="72EE844C" w14:textId="67DBCD9E" w:rsidR="00C36AF8" w:rsidRPr="00A062CC" w:rsidRDefault="00C36AF8" w:rsidP="00C36AF8">
            <w:pPr>
              <w:pStyle w:val="Tablecontent"/>
            </w:pPr>
            <w:r>
              <w:t>5'-TAACGATTGCGAACACCTGAATG</w:t>
            </w:r>
          </w:p>
        </w:tc>
      </w:tr>
      <w:tr w:rsidR="00C36AF8" w14:paraId="06FC4000" w14:textId="77777777" w:rsidTr="009D5425">
        <w:trPr>
          <w:jc w:val="center"/>
        </w:trPr>
        <w:tc>
          <w:tcPr>
            <w:tcW w:w="1560" w:type="dxa"/>
          </w:tcPr>
          <w:p w14:paraId="4376BC4E" w14:textId="77777777" w:rsidR="00C36AF8" w:rsidRDefault="00C36AF8" w:rsidP="004006BC">
            <w:pPr>
              <w:pStyle w:val="Tablecontent"/>
            </w:pPr>
            <w:r w:rsidRPr="00850E0E">
              <w:t>ALVE-ros002</w:t>
            </w:r>
          </w:p>
        </w:tc>
        <w:tc>
          <w:tcPr>
            <w:tcW w:w="4394" w:type="dxa"/>
            <w:vAlign w:val="center"/>
          </w:tcPr>
          <w:p w14:paraId="19FFE601" w14:textId="77777777" w:rsidR="00C36AF8" w:rsidRDefault="00C36AF8" w:rsidP="00C36AF8">
            <w:pPr>
              <w:pStyle w:val="Tablecontent"/>
            </w:pPr>
            <w:r>
              <w:t>5'-TTCTGTGATTTAGTGATTCTATGATAAGTC</w:t>
            </w:r>
          </w:p>
          <w:p w14:paraId="0927872A" w14:textId="77777777" w:rsidR="00C36AF8" w:rsidRDefault="00C36AF8" w:rsidP="00C36AF8">
            <w:pPr>
              <w:pStyle w:val="Tablecontent"/>
            </w:pPr>
            <w:r>
              <w:t>5'-CTACAATTCTGTGATTCTGTGATTCTG</w:t>
            </w:r>
          </w:p>
          <w:p w14:paraId="4C78FEB8" w14:textId="77777777" w:rsidR="00C36AF8" w:rsidRDefault="00C36AF8" w:rsidP="00C36AF8">
            <w:pPr>
              <w:pStyle w:val="Tablecontent"/>
            </w:pPr>
            <w:r>
              <w:t>5'-ATTCTGTGATTTAGTGATTCTATGATAAGTG</w:t>
            </w:r>
          </w:p>
          <w:p w14:paraId="708A25F5" w14:textId="58D0B5FA" w:rsidR="00C36AF8" w:rsidRPr="00A062CC" w:rsidRDefault="00C36AF8" w:rsidP="00C36AF8">
            <w:pPr>
              <w:pStyle w:val="Tablecontent"/>
            </w:pPr>
            <w:r>
              <w:t>5'-CAAGTTGCCTCTGGCTCTATTTGACTA</w:t>
            </w:r>
          </w:p>
        </w:tc>
      </w:tr>
      <w:tr w:rsidR="00C36AF8" w14:paraId="39CA6011" w14:textId="77777777" w:rsidTr="009D5425">
        <w:trPr>
          <w:jc w:val="center"/>
        </w:trPr>
        <w:tc>
          <w:tcPr>
            <w:tcW w:w="1560" w:type="dxa"/>
          </w:tcPr>
          <w:p w14:paraId="16300430" w14:textId="77777777" w:rsidR="00C36AF8" w:rsidRDefault="00C36AF8" w:rsidP="004006BC">
            <w:pPr>
              <w:pStyle w:val="Tablecontent"/>
            </w:pPr>
            <w:r w:rsidRPr="00850E0E">
              <w:t>ALVE-ros003</w:t>
            </w:r>
          </w:p>
        </w:tc>
        <w:tc>
          <w:tcPr>
            <w:tcW w:w="4394" w:type="dxa"/>
            <w:vAlign w:val="center"/>
          </w:tcPr>
          <w:p w14:paraId="298A8831" w14:textId="1F1CB491" w:rsidR="00C36AF8" w:rsidRDefault="009D5425" w:rsidP="004006BC">
            <w:pPr>
              <w:pStyle w:val="Tablecontent"/>
            </w:pPr>
            <w:r>
              <w:t>5’-</w:t>
            </w:r>
            <w:r w:rsidR="00762C0B" w:rsidRPr="00762C0B">
              <w:t>TAGATCCTGATATCTTCATCCCTATCA</w:t>
            </w:r>
          </w:p>
          <w:p w14:paraId="014EE7A5" w14:textId="05639935" w:rsidR="009D5425" w:rsidRDefault="009D5425" w:rsidP="009D5425">
            <w:pPr>
              <w:pStyle w:val="Tablecontent"/>
            </w:pPr>
            <w:r>
              <w:t>5’-</w:t>
            </w:r>
            <w:r w:rsidR="00762C0B" w:rsidRPr="00762C0B">
              <w:t>ATTTATACAAATGTATGTGGTGAGAATGAT</w:t>
            </w:r>
          </w:p>
          <w:p w14:paraId="32B90CBC" w14:textId="1116492B" w:rsidR="009D5425" w:rsidRDefault="009D5425" w:rsidP="009D5425">
            <w:pPr>
              <w:pStyle w:val="Tablecontent"/>
            </w:pPr>
            <w:r>
              <w:t>5’-</w:t>
            </w:r>
            <w:r w:rsidR="00762C0B" w:rsidRPr="00762C0B">
              <w:t>TAGATCCTGATATCTTCATCCCTATCT</w:t>
            </w:r>
          </w:p>
          <w:p w14:paraId="005C2A34" w14:textId="301C79F6" w:rsidR="009D5425" w:rsidRPr="009D5425" w:rsidRDefault="009D5425" w:rsidP="009D5425">
            <w:pPr>
              <w:pStyle w:val="Tablecontent"/>
            </w:pPr>
            <w:r>
              <w:t>5’-</w:t>
            </w:r>
            <w:r w:rsidR="00762C0B" w:rsidRPr="00762C0B">
              <w:t>GAGTTGCCTCTGGCTCTATTTGACTA</w:t>
            </w:r>
          </w:p>
        </w:tc>
      </w:tr>
      <w:tr w:rsidR="00C36AF8" w14:paraId="6BB82615" w14:textId="77777777" w:rsidTr="009D5425">
        <w:trPr>
          <w:jc w:val="center"/>
        </w:trPr>
        <w:tc>
          <w:tcPr>
            <w:tcW w:w="1560" w:type="dxa"/>
          </w:tcPr>
          <w:p w14:paraId="23D4354F" w14:textId="77777777" w:rsidR="00C36AF8" w:rsidRDefault="00C36AF8" w:rsidP="004006BC">
            <w:pPr>
              <w:pStyle w:val="Tablecontent"/>
            </w:pPr>
            <w:r w:rsidRPr="00850E0E">
              <w:t>ALVE-TYR</w:t>
            </w:r>
          </w:p>
        </w:tc>
        <w:tc>
          <w:tcPr>
            <w:tcW w:w="4394" w:type="dxa"/>
            <w:vAlign w:val="center"/>
          </w:tcPr>
          <w:p w14:paraId="088E0A4B" w14:textId="77777777" w:rsidR="00C36AF8" w:rsidRDefault="00C36AF8" w:rsidP="00C36AF8">
            <w:pPr>
              <w:pStyle w:val="Tablecontent"/>
            </w:pPr>
            <w:r>
              <w:t>5'-TTTCACTCTGAGCCTTCCAGTGTTA</w:t>
            </w:r>
          </w:p>
          <w:p w14:paraId="4C2D96EB" w14:textId="77777777" w:rsidR="00C36AF8" w:rsidRDefault="00C36AF8" w:rsidP="00C36AF8">
            <w:pPr>
              <w:pStyle w:val="Tablecontent"/>
            </w:pPr>
            <w:r>
              <w:t>5'-TGCAGTACCAGTGTATACAGATTGTGTAA</w:t>
            </w:r>
          </w:p>
          <w:p w14:paraId="0C038DA4" w14:textId="77777777" w:rsidR="00C36AF8" w:rsidRDefault="00C36AF8" w:rsidP="00C36AF8">
            <w:pPr>
              <w:pStyle w:val="Tablecontent"/>
            </w:pPr>
            <w:r>
              <w:t>5'-TTCACTCTGAGCCTTCCAGTGTTG</w:t>
            </w:r>
          </w:p>
          <w:p w14:paraId="65D7DC76" w14:textId="7F5D7F00" w:rsidR="00C36AF8" w:rsidRPr="00A062CC" w:rsidRDefault="00C36AF8" w:rsidP="00C36AF8">
            <w:pPr>
              <w:pStyle w:val="Tablecontent"/>
            </w:pPr>
            <w:r>
              <w:t>5'-GAACACCTGAATGAAGCTGAAGGCTT</w:t>
            </w:r>
          </w:p>
        </w:tc>
      </w:tr>
      <w:tr w:rsidR="00C36AF8" w14:paraId="60EEEDC9" w14:textId="77777777" w:rsidTr="009D5425">
        <w:trPr>
          <w:jc w:val="center"/>
        </w:trPr>
        <w:tc>
          <w:tcPr>
            <w:tcW w:w="1560" w:type="dxa"/>
          </w:tcPr>
          <w:p w14:paraId="1299D62A" w14:textId="77777777" w:rsidR="00C36AF8" w:rsidRDefault="00C36AF8" w:rsidP="004006BC">
            <w:pPr>
              <w:pStyle w:val="Tablecontent"/>
            </w:pPr>
            <w:r w:rsidRPr="00850E0E">
              <w:lastRenderedPageBreak/>
              <w:t>ALVE-NSAC1</w:t>
            </w:r>
          </w:p>
        </w:tc>
        <w:tc>
          <w:tcPr>
            <w:tcW w:w="4394" w:type="dxa"/>
            <w:vAlign w:val="center"/>
          </w:tcPr>
          <w:p w14:paraId="0A1E218C" w14:textId="77777777" w:rsidR="00C36AF8" w:rsidRDefault="00C36AF8" w:rsidP="00C36AF8">
            <w:pPr>
              <w:pStyle w:val="Tablecontent"/>
            </w:pPr>
            <w:r>
              <w:t>5'-GTAAGCCTGGAGATGTCCTGTTC</w:t>
            </w:r>
          </w:p>
          <w:p w14:paraId="40F9B5D3" w14:textId="77777777" w:rsidR="00C36AF8" w:rsidRDefault="00C36AF8" w:rsidP="00C36AF8">
            <w:pPr>
              <w:pStyle w:val="Tablecontent"/>
            </w:pPr>
            <w:r>
              <w:t>5'-CAATACACAAGACTGAAAGCAGTCCAT</w:t>
            </w:r>
          </w:p>
          <w:p w14:paraId="46C141CF" w14:textId="77777777" w:rsidR="00C36AF8" w:rsidRDefault="00C36AF8" w:rsidP="00C36AF8">
            <w:pPr>
              <w:pStyle w:val="Tablecontent"/>
            </w:pPr>
            <w:r>
              <w:t>5'-GTAAGCCTGGAGATGTCCTGTTT</w:t>
            </w:r>
          </w:p>
          <w:p w14:paraId="4276C05B" w14:textId="7F067A16" w:rsidR="00C36AF8" w:rsidRPr="00A062CC" w:rsidRDefault="00C36AF8" w:rsidP="00C36AF8">
            <w:pPr>
              <w:pStyle w:val="Tablecontent"/>
            </w:pPr>
            <w:r>
              <w:t>5'-GAACACCTGAATGAAGCTGAAGGCTT</w:t>
            </w:r>
          </w:p>
        </w:tc>
      </w:tr>
      <w:tr w:rsidR="00C36AF8" w14:paraId="6A22BC03" w14:textId="77777777" w:rsidTr="009D5425">
        <w:trPr>
          <w:jc w:val="center"/>
        </w:trPr>
        <w:tc>
          <w:tcPr>
            <w:tcW w:w="1560" w:type="dxa"/>
          </w:tcPr>
          <w:p w14:paraId="49252BA2" w14:textId="77777777" w:rsidR="00C36AF8" w:rsidRDefault="00C36AF8" w:rsidP="004006BC">
            <w:pPr>
              <w:pStyle w:val="Tablecontent"/>
            </w:pPr>
            <w:r w:rsidRPr="00850E0E">
              <w:t>ALVE-ros004</w:t>
            </w:r>
          </w:p>
        </w:tc>
        <w:tc>
          <w:tcPr>
            <w:tcW w:w="4394" w:type="dxa"/>
            <w:vAlign w:val="center"/>
          </w:tcPr>
          <w:p w14:paraId="42B3924F" w14:textId="77777777" w:rsidR="00C36AF8" w:rsidRDefault="00C36AF8" w:rsidP="00C36AF8">
            <w:pPr>
              <w:pStyle w:val="Tablecontent"/>
            </w:pPr>
            <w:r>
              <w:t>5'-CTCTTGCTTAATGTTTTGTTATCTTGACC</w:t>
            </w:r>
          </w:p>
          <w:p w14:paraId="7E00C2DA" w14:textId="77777777" w:rsidR="00C36AF8" w:rsidRDefault="00C36AF8" w:rsidP="00C36AF8">
            <w:pPr>
              <w:pStyle w:val="Tablecontent"/>
            </w:pPr>
            <w:r>
              <w:t>5'-TGGCAAATCGTTTCTGAGTCCAATTAGAT</w:t>
            </w:r>
          </w:p>
          <w:p w14:paraId="7E402372" w14:textId="77777777" w:rsidR="00C36AF8" w:rsidRDefault="00C36AF8" w:rsidP="00C36AF8">
            <w:pPr>
              <w:pStyle w:val="Tablecontent"/>
            </w:pPr>
            <w:r>
              <w:t>5'-TCTCTTGCTTAATGTTTTGTTATCTTGACT</w:t>
            </w:r>
          </w:p>
          <w:p w14:paraId="30BA3AA6" w14:textId="7D9CCF29" w:rsidR="00C36AF8" w:rsidRPr="00A062CC" w:rsidRDefault="00C36AF8" w:rsidP="00C36AF8">
            <w:pPr>
              <w:pStyle w:val="Tablecontent"/>
            </w:pPr>
            <w:r>
              <w:t>5'-CAAGTTGCCTCTGGCTCTATTTGACTA</w:t>
            </w:r>
          </w:p>
        </w:tc>
      </w:tr>
      <w:tr w:rsidR="00C36AF8" w14:paraId="03620259" w14:textId="77777777" w:rsidTr="009D5425">
        <w:trPr>
          <w:jc w:val="center"/>
        </w:trPr>
        <w:tc>
          <w:tcPr>
            <w:tcW w:w="1560" w:type="dxa"/>
          </w:tcPr>
          <w:p w14:paraId="5193A5BE" w14:textId="77777777" w:rsidR="00C36AF8" w:rsidRDefault="00C36AF8" w:rsidP="004006BC">
            <w:pPr>
              <w:pStyle w:val="Tablecontent"/>
            </w:pPr>
            <w:r w:rsidRPr="00850E0E">
              <w:t>ALVE-ros005</w:t>
            </w:r>
          </w:p>
        </w:tc>
        <w:tc>
          <w:tcPr>
            <w:tcW w:w="4394" w:type="dxa"/>
            <w:vAlign w:val="center"/>
          </w:tcPr>
          <w:p w14:paraId="2944AA5E" w14:textId="13706B0F" w:rsidR="009D5425" w:rsidRPr="00771EB2" w:rsidRDefault="009D5425" w:rsidP="009D5425">
            <w:pPr>
              <w:pStyle w:val="Tablecontent"/>
            </w:pPr>
            <w:r w:rsidRPr="00771EB2">
              <w:t>5’-</w:t>
            </w:r>
            <w:r w:rsidR="00771EB2" w:rsidRPr="00771EB2">
              <w:t>CTAAATATGTCTTTTTTGTCTCCTTGATAC</w:t>
            </w:r>
          </w:p>
          <w:p w14:paraId="4A48B3C9" w14:textId="01BBA6D3" w:rsidR="009D5425" w:rsidRPr="00771EB2" w:rsidRDefault="009D5425" w:rsidP="009D5425">
            <w:pPr>
              <w:pStyle w:val="Tablecontent"/>
            </w:pPr>
            <w:r w:rsidRPr="00771EB2">
              <w:t>5’-</w:t>
            </w:r>
            <w:r w:rsidR="00771EB2" w:rsidRPr="00771EB2">
              <w:t>GGGTAAACAATAGCACTGCTCCTTAT</w:t>
            </w:r>
          </w:p>
          <w:p w14:paraId="6226057A" w14:textId="0EC8D706" w:rsidR="009D5425" w:rsidRPr="00771EB2" w:rsidRDefault="009D5425" w:rsidP="009D5425">
            <w:pPr>
              <w:pStyle w:val="Tablecontent"/>
            </w:pPr>
            <w:r w:rsidRPr="00771EB2">
              <w:t>5’-</w:t>
            </w:r>
            <w:r w:rsidR="00762C0B" w:rsidRPr="00771EB2">
              <w:t>ATTCTAAATATGTCTTTTTTGTCTCCTTGATAT</w:t>
            </w:r>
          </w:p>
          <w:p w14:paraId="433A110B" w14:textId="21286983" w:rsidR="00C36AF8" w:rsidRPr="00A062CC" w:rsidRDefault="009D5425" w:rsidP="009D5425">
            <w:pPr>
              <w:pStyle w:val="Tablecontent"/>
            </w:pPr>
            <w:r w:rsidRPr="00771EB2">
              <w:t>5’-</w:t>
            </w:r>
            <w:r w:rsidR="00762C0B" w:rsidRPr="00771EB2">
              <w:t>TAGCGATTGCGAACACCTGAATGAA</w:t>
            </w:r>
          </w:p>
        </w:tc>
      </w:tr>
      <w:tr w:rsidR="00C36AF8" w14:paraId="7ACB867A" w14:textId="77777777" w:rsidTr="009D5425">
        <w:trPr>
          <w:jc w:val="center"/>
        </w:trPr>
        <w:tc>
          <w:tcPr>
            <w:tcW w:w="1560" w:type="dxa"/>
          </w:tcPr>
          <w:p w14:paraId="6200B1F9" w14:textId="77777777" w:rsidR="00C36AF8" w:rsidRDefault="00C36AF8" w:rsidP="004006BC">
            <w:pPr>
              <w:pStyle w:val="Tablecontent"/>
            </w:pPr>
            <w:r w:rsidRPr="00850E0E">
              <w:t>ALVE-NSAC3</w:t>
            </w:r>
          </w:p>
        </w:tc>
        <w:tc>
          <w:tcPr>
            <w:tcW w:w="4394" w:type="dxa"/>
            <w:vAlign w:val="center"/>
          </w:tcPr>
          <w:p w14:paraId="571ABB18" w14:textId="77777777" w:rsidR="00C36AF8" w:rsidRDefault="00C36AF8" w:rsidP="00C36AF8">
            <w:pPr>
              <w:pStyle w:val="Tablecontent"/>
            </w:pPr>
            <w:r>
              <w:t>5'-AAACAGCTGATGGTATATCTTTTCATAAAATA</w:t>
            </w:r>
          </w:p>
          <w:p w14:paraId="378879FC" w14:textId="77777777" w:rsidR="00C36AF8" w:rsidRDefault="00C36AF8" w:rsidP="00C36AF8">
            <w:pPr>
              <w:pStyle w:val="Tablecontent"/>
            </w:pPr>
            <w:r>
              <w:t>5'-CATTTCCATACACATCACAGAGATGAAATT</w:t>
            </w:r>
          </w:p>
          <w:p w14:paraId="09BC9277" w14:textId="77777777" w:rsidR="00C36AF8" w:rsidRDefault="00C36AF8" w:rsidP="00C36AF8">
            <w:pPr>
              <w:pStyle w:val="Tablecontent"/>
            </w:pPr>
            <w:r>
              <w:t>5'-ACAGCTGATGGTATATCTTTTCATAAAATG</w:t>
            </w:r>
          </w:p>
          <w:p w14:paraId="5FD53662" w14:textId="224B9182" w:rsidR="00C36AF8" w:rsidRPr="00A062CC" w:rsidRDefault="00C36AF8" w:rsidP="00C36AF8">
            <w:pPr>
              <w:pStyle w:val="Tablecontent"/>
            </w:pPr>
            <w:r>
              <w:t>5'-GAACACCTGAATGAAGCAGAAGGCTT</w:t>
            </w:r>
          </w:p>
        </w:tc>
      </w:tr>
      <w:tr w:rsidR="00C36AF8" w14:paraId="33432B24" w14:textId="77777777" w:rsidTr="009D5425">
        <w:trPr>
          <w:jc w:val="center"/>
        </w:trPr>
        <w:tc>
          <w:tcPr>
            <w:tcW w:w="1560" w:type="dxa"/>
          </w:tcPr>
          <w:p w14:paraId="6CF2FB2A" w14:textId="77777777" w:rsidR="00C36AF8" w:rsidRDefault="00C36AF8" w:rsidP="004006BC">
            <w:pPr>
              <w:pStyle w:val="Tablecontent"/>
            </w:pPr>
            <w:r w:rsidRPr="00850E0E">
              <w:t>ALVE-ros006</w:t>
            </w:r>
          </w:p>
        </w:tc>
        <w:tc>
          <w:tcPr>
            <w:tcW w:w="4394" w:type="dxa"/>
            <w:vAlign w:val="center"/>
          </w:tcPr>
          <w:p w14:paraId="14233B2E" w14:textId="77777777" w:rsidR="00C36AF8" w:rsidRDefault="00C36AF8" w:rsidP="00C36AF8">
            <w:pPr>
              <w:pStyle w:val="Tablecontent"/>
            </w:pPr>
            <w:r>
              <w:t>5'-ATATTCAGACACAGGACTCC</w:t>
            </w:r>
          </w:p>
          <w:p w14:paraId="26A210B4" w14:textId="77777777" w:rsidR="00C36AF8" w:rsidRDefault="00C36AF8" w:rsidP="00C36AF8">
            <w:pPr>
              <w:pStyle w:val="Tablecontent"/>
            </w:pPr>
            <w:r>
              <w:t>5'-AGCCAGTCTGTATCTTCTGT</w:t>
            </w:r>
          </w:p>
          <w:p w14:paraId="32679DB0" w14:textId="77777777" w:rsidR="00C36AF8" w:rsidRDefault="00C36AF8" w:rsidP="00C36AF8">
            <w:pPr>
              <w:pStyle w:val="Tablecontent"/>
            </w:pPr>
            <w:r>
              <w:t>5'-CATATTCAGACACAGGACTCT</w:t>
            </w:r>
          </w:p>
          <w:p w14:paraId="7ABB728C" w14:textId="4C1929AD" w:rsidR="00C36AF8" w:rsidRPr="00A062CC" w:rsidRDefault="00C36AF8" w:rsidP="00C36AF8">
            <w:pPr>
              <w:pStyle w:val="Tablecontent"/>
            </w:pPr>
            <w:r>
              <w:t>5'-TCTGGCTCGATTTGACTAC</w:t>
            </w:r>
          </w:p>
        </w:tc>
      </w:tr>
      <w:tr w:rsidR="00C36AF8" w14:paraId="577BB6BE" w14:textId="77777777" w:rsidTr="009D5425">
        <w:trPr>
          <w:jc w:val="center"/>
        </w:trPr>
        <w:tc>
          <w:tcPr>
            <w:tcW w:w="1560" w:type="dxa"/>
          </w:tcPr>
          <w:p w14:paraId="32DAC1BF" w14:textId="77777777" w:rsidR="00C36AF8" w:rsidRDefault="00C36AF8" w:rsidP="004006BC">
            <w:pPr>
              <w:pStyle w:val="Tablecontent"/>
            </w:pPr>
            <w:r w:rsidRPr="00850E0E">
              <w:t>ALVE15</w:t>
            </w:r>
          </w:p>
        </w:tc>
        <w:tc>
          <w:tcPr>
            <w:tcW w:w="4394" w:type="dxa"/>
            <w:vAlign w:val="center"/>
          </w:tcPr>
          <w:p w14:paraId="20389D59" w14:textId="77777777" w:rsidR="00C36AF8" w:rsidRDefault="00C36AF8" w:rsidP="00C36AF8">
            <w:pPr>
              <w:pStyle w:val="Tablecontent"/>
            </w:pPr>
            <w:r>
              <w:t>5'-TAGAATATATTTACAAAAATCTCCATRTTTATG</w:t>
            </w:r>
          </w:p>
          <w:p w14:paraId="36F93341" w14:textId="77777777" w:rsidR="00C36AF8" w:rsidRDefault="00C36AF8" w:rsidP="00C36AF8">
            <w:pPr>
              <w:pStyle w:val="Tablecontent"/>
            </w:pPr>
            <w:r>
              <w:t>5'-CTTTGAGGATCTACTTGATGAAAACATGTT</w:t>
            </w:r>
          </w:p>
          <w:p w14:paraId="113008E0" w14:textId="77777777" w:rsidR="00C36AF8" w:rsidRDefault="00C36AF8" w:rsidP="00C36AF8">
            <w:pPr>
              <w:pStyle w:val="Tablecontent"/>
            </w:pPr>
            <w:r>
              <w:t>5'-TAGAATATATTTACAAAAATCTCCATRTTTATT</w:t>
            </w:r>
          </w:p>
          <w:p w14:paraId="0B6CC280" w14:textId="7AD13F0E" w:rsidR="00C36AF8" w:rsidRPr="00A062CC" w:rsidRDefault="00C36AF8" w:rsidP="00C36AF8">
            <w:pPr>
              <w:pStyle w:val="Tablecontent"/>
            </w:pPr>
            <w:r>
              <w:t>5'-TAACGATTGCGAACACCTGAACGAA</w:t>
            </w:r>
          </w:p>
        </w:tc>
      </w:tr>
      <w:tr w:rsidR="00C36AF8" w14:paraId="73AF3805" w14:textId="77777777" w:rsidTr="009D5425">
        <w:trPr>
          <w:jc w:val="center"/>
        </w:trPr>
        <w:tc>
          <w:tcPr>
            <w:tcW w:w="1560" w:type="dxa"/>
          </w:tcPr>
          <w:p w14:paraId="401E6A1F" w14:textId="77777777" w:rsidR="00C36AF8" w:rsidRDefault="00C36AF8" w:rsidP="004006BC">
            <w:pPr>
              <w:pStyle w:val="Tablecontent"/>
            </w:pPr>
            <w:r w:rsidRPr="00850E0E">
              <w:t>ALVE-ros007</w:t>
            </w:r>
          </w:p>
        </w:tc>
        <w:tc>
          <w:tcPr>
            <w:tcW w:w="4394" w:type="dxa"/>
            <w:vAlign w:val="center"/>
          </w:tcPr>
          <w:p w14:paraId="474C8AE3" w14:textId="77777777" w:rsidR="00C36AF8" w:rsidRDefault="00C36AF8" w:rsidP="00C36AF8">
            <w:pPr>
              <w:pStyle w:val="Tablecontent"/>
            </w:pPr>
            <w:r>
              <w:t>5'-TCATAACAATGGAGATGTGGGAATAGATA</w:t>
            </w:r>
          </w:p>
          <w:p w14:paraId="5E790EFD" w14:textId="77777777" w:rsidR="00C36AF8" w:rsidRDefault="00C36AF8" w:rsidP="00C36AF8">
            <w:pPr>
              <w:pStyle w:val="Tablecontent"/>
            </w:pPr>
            <w:r>
              <w:t>5'-TTGATCCAAGGCAGGTAGTATTATCTGTT</w:t>
            </w:r>
          </w:p>
          <w:p w14:paraId="6540E8A8" w14:textId="77777777" w:rsidR="00C36AF8" w:rsidRDefault="00C36AF8" w:rsidP="00C36AF8">
            <w:pPr>
              <w:pStyle w:val="Tablecontent"/>
            </w:pPr>
            <w:r>
              <w:t>5'-TTCATAACAATGGAGATGTGGGAATAGATT</w:t>
            </w:r>
          </w:p>
          <w:p w14:paraId="6830193B" w14:textId="062A72B1" w:rsidR="00C36AF8" w:rsidRPr="00A062CC" w:rsidRDefault="00C36AF8" w:rsidP="00C36AF8">
            <w:pPr>
              <w:pStyle w:val="Tablecontent"/>
            </w:pPr>
            <w:r>
              <w:t>5'-CGTTGAGTCCCTAACGATTGCGAA</w:t>
            </w:r>
          </w:p>
        </w:tc>
      </w:tr>
      <w:tr w:rsidR="00C36AF8" w14:paraId="2CAD435E" w14:textId="77777777" w:rsidTr="009D5425">
        <w:trPr>
          <w:jc w:val="center"/>
        </w:trPr>
        <w:tc>
          <w:tcPr>
            <w:tcW w:w="1560" w:type="dxa"/>
          </w:tcPr>
          <w:p w14:paraId="24050FEE" w14:textId="77777777" w:rsidR="00C36AF8" w:rsidRDefault="00C36AF8" w:rsidP="004006BC">
            <w:pPr>
              <w:pStyle w:val="Tablecontent"/>
            </w:pPr>
            <w:r w:rsidRPr="00850E0E">
              <w:t>ALVE-ros008</w:t>
            </w:r>
          </w:p>
        </w:tc>
        <w:tc>
          <w:tcPr>
            <w:tcW w:w="4394" w:type="dxa"/>
            <w:vAlign w:val="center"/>
          </w:tcPr>
          <w:p w14:paraId="1A618361" w14:textId="77777777" w:rsidR="00C36AF8" w:rsidRDefault="00C36AF8" w:rsidP="00C36AF8">
            <w:pPr>
              <w:pStyle w:val="Tablecontent"/>
            </w:pPr>
            <w:r>
              <w:t>5'-TATGATAAGAATTTTCTGTAGG</w:t>
            </w:r>
          </w:p>
          <w:p w14:paraId="29F9EEEA" w14:textId="77777777" w:rsidR="00C36AF8" w:rsidRDefault="00C36AF8" w:rsidP="00C36AF8">
            <w:pPr>
              <w:pStyle w:val="Tablecontent"/>
            </w:pPr>
            <w:r>
              <w:t>5'-AATATCTGAGACAGAGAATAAA</w:t>
            </w:r>
          </w:p>
          <w:p w14:paraId="744F5634" w14:textId="77777777" w:rsidR="00C36AF8" w:rsidRDefault="00C36AF8" w:rsidP="00C36AF8">
            <w:pPr>
              <w:pStyle w:val="Tablecontent"/>
            </w:pPr>
            <w:r>
              <w:t>5'-CTATGATAAGAATTTTCTGTAGT</w:t>
            </w:r>
          </w:p>
          <w:p w14:paraId="173E2FD8" w14:textId="22AB08DF" w:rsidR="00C36AF8" w:rsidRPr="00A062CC" w:rsidRDefault="00C36AF8" w:rsidP="00C36AF8">
            <w:pPr>
              <w:pStyle w:val="Tablecontent"/>
            </w:pPr>
            <w:r>
              <w:t>5'-AGACTATTCAAGTTGCCTCT</w:t>
            </w:r>
          </w:p>
        </w:tc>
      </w:tr>
      <w:tr w:rsidR="00C36AF8" w14:paraId="0EE49F8E" w14:textId="77777777" w:rsidTr="009D5425">
        <w:trPr>
          <w:jc w:val="center"/>
        </w:trPr>
        <w:tc>
          <w:tcPr>
            <w:tcW w:w="1560" w:type="dxa"/>
          </w:tcPr>
          <w:p w14:paraId="0DFE2C04" w14:textId="77777777" w:rsidR="00C36AF8" w:rsidRDefault="00C36AF8" w:rsidP="004006BC">
            <w:pPr>
              <w:pStyle w:val="Tablecontent"/>
            </w:pPr>
            <w:r w:rsidRPr="00850E0E">
              <w:t>ALVE-ros009</w:t>
            </w:r>
          </w:p>
        </w:tc>
        <w:tc>
          <w:tcPr>
            <w:tcW w:w="4394" w:type="dxa"/>
            <w:vAlign w:val="center"/>
          </w:tcPr>
          <w:p w14:paraId="43924AC5" w14:textId="6C56FAC9" w:rsidR="009D5425" w:rsidRDefault="009D5425" w:rsidP="009D5425">
            <w:pPr>
              <w:pStyle w:val="Tablecontent"/>
            </w:pPr>
            <w:r>
              <w:t>5’-</w:t>
            </w:r>
            <w:r w:rsidR="00587E66" w:rsidRPr="00587E66">
              <w:t>GGGTTCATGCTGTGTCCAGTG</w:t>
            </w:r>
          </w:p>
          <w:p w14:paraId="5E4B3976" w14:textId="645DDFD8" w:rsidR="009D5425" w:rsidRDefault="009D5425" w:rsidP="009D5425">
            <w:pPr>
              <w:pStyle w:val="Tablecontent"/>
            </w:pPr>
            <w:r>
              <w:t>5’-</w:t>
            </w:r>
            <w:r w:rsidR="00587E66" w:rsidRPr="00587E66">
              <w:t>GAACACCTGAATGAAGCAGAAGGCTT</w:t>
            </w:r>
          </w:p>
          <w:p w14:paraId="06E8522A" w14:textId="554AAFEA" w:rsidR="009D5425" w:rsidRDefault="009D5425" w:rsidP="009D5425">
            <w:pPr>
              <w:pStyle w:val="Tablecontent"/>
            </w:pPr>
            <w:r>
              <w:t>5’-</w:t>
            </w:r>
            <w:r w:rsidR="00587E66" w:rsidRPr="00587E66">
              <w:t>GGGTTCATGCTGTGTCCAGTC</w:t>
            </w:r>
          </w:p>
          <w:p w14:paraId="7ED07D9E" w14:textId="634F92D4" w:rsidR="00C36AF8" w:rsidRPr="00A062CC" w:rsidRDefault="009D5425" w:rsidP="009D5425">
            <w:pPr>
              <w:pStyle w:val="Tablecontent"/>
            </w:pPr>
            <w:r>
              <w:lastRenderedPageBreak/>
              <w:t>5’-</w:t>
            </w:r>
            <w:r w:rsidR="00587E66" w:rsidRPr="00587E66">
              <w:t>AGATTTGCAGAGGGTGCACTCCAT</w:t>
            </w:r>
          </w:p>
        </w:tc>
      </w:tr>
      <w:tr w:rsidR="00C36AF8" w14:paraId="596D181E" w14:textId="77777777" w:rsidTr="009D5425">
        <w:trPr>
          <w:jc w:val="center"/>
        </w:trPr>
        <w:tc>
          <w:tcPr>
            <w:tcW w:w="1560" w:type="dxa"/>
          </w:tcPr>
          <w:p w14:paraId="73C9BE35" w14:textId="77777777" w:rsidR="00C36AF8" w:rsidRDefault="00C36AF8" w:rsidP="004006BC">
            <w:pPr>
              <w:pStyle w:val="Tablecontent"/>
            </w:pPr>
            <w:r w:rsidRPr="00850E0E">
              <w:lastRenderedPageBreak/>
              <w:t>ALVE9</w:t>
            </w:r>
          </w:p>
        </w:tc>
        <w:tc>
          <w:tcPr>
            <w:tcW w:w="4394" w:type="dxa"/>
            <w:vAlign w:val="center"/>
          </w:tcPr>
          <w:p w14:paraId="37C0477A" w14:textId="77777777" w:rsidR="00C36AF8" w:rsidRDefault="00C36AF8" w:rsidP="00C36AF8">
            <w:pPr>
              <w:pStyle w:val="Tablecontent"/>
            </w:pPr>
            <w:r>
              <w:t>5'-TCCCTCTTGAGTCTCAAAAGAGTTC</w:t>
            </w:r>
          </w:p>
          <w:p w14:paraId="6682DFD2" w14:textId="77777777" w:rsidR="00C36AF8" w:rsidRDefault="00C36AF8" w:rsidP="00C36AF8">
            <w:pPr>
              <w:pStyle w:val="Tablecontent"/>
            </w:pPr>
            <w:r>
              <w:t>5'-GAAAGCCTGTGTATTATTAAAGGCCC</w:t>
            </w:r>
          </w:p>
          <w:p w14:paraId="45D16696" w14:textId="77777777" w:rsidR="00C36AF8" w:rsidRDefault="00C36AF8" w:rsidP="00C36AF8">
            <w:pPr>
              <w:pStyle w:val="Tablecontent"/>
            </w:pPr>
            <w:r>
              <w:t>5'-ATTCCCTCTTGAGTCTCAAATGAAGCC</w:t>
            </w:r>
          </w:p>
          <w:p w14:paraId="23631252" w14:textId="0D596688" w:rsidR="00C36AF8" w:rsidRPr="00A062CC" w:rsidRDefault="00C36AF8" w:rsidP="00C36AF8">
            <w:pPr>
              <w:pStyle w:val="Tablecontent"/>
            </w:pPr>
            <w:r>
              <w:t>5'-TCCCTAACGATTGCGAACACCTGAA</w:t>
            </w:r>
          </w:p>
        </w:tc>
      </w:tr>
      <w:tr w:rsidR="00C36AF8" w14:paraId="2DD635F7" w14:textId="77777777" w:rsidTr="009D5425">
        <w:trPr>
          <w:jc w:val="center"/>
        </w:trPr>
        <w:tc>
          <w:tcPr>
            <w:tcW w:w="1560" w:type="dxa"/>
          </w:tcPr>
          <w:p w14:paraId="49430E90" w14:textId="77777777" w:rsidR="00C36AF8" w:rsidRDefault="00C36AF8" w:rsidP="004006BC">
            <w:pPr>
              <w:pStyle w:val="Tablecontent"/>
            </w:pPr>
            <w:r w:rsidRPr="00850E0E">
              <w:t>ALVE-NSAC7</w:t>
            </w:r>
          </w:p>
        </w:tc>
        <w:tc>
          <w:tcPr>
            <w:tcW w:w="4394" w:type="dxa"/>
            <w:vAlign w:val="center"/>
          </w:tcPr>
          <w:p w14:paraId="6E998E97" w14:textId="77777777" w:rsidR="00C36AF8" w:rsidRDefault="00C36AF8" w:rsidP="00C36AF8">
            <w:pPr>
              <w:pStyle w:val="Tablecontent"/>
            </w:pPr>
            <w:r>
              <w:t>5'-TGGATGAACAAGTTCACTTCTCTAAGA</w:t>
            </w:r>
          </w:p>
          <w:p w14:paraId="14001B30" w14:textId="77777777" w:rsidR="00C36AF8" w:rsidRDefault="00C36AF8" w:rsidP="00C36AF8">
            <w:pPr>
              <w:pStyle w:val="Tablecontent"/>
            </w:pPr>
            <w:r>
              <w:t>5'-ACCAGACTGCATGTGTGTTAGCTTAACA</w:t>
            </w:r>
          </w:p>
          <w:p w14:paraId="631FBC4E" w14:textId="77777777" w:rsidR="00C36AF8" w:rsidRDefault="00C36AF8" w:rsidP="00C36AF8">
            <w:pPr>
              <w:pStyle w:val="Tablecontent"/>
            </w:pPr>
            <w:r>
              <w:t>5'-TTGGATGAACAAGTTCACTTCTCTGAAGC</w:t>
            </w:r>
          </w:p>
          <w:p w14:paraId="71B22169" w14:textId="5387DB32" w:rsidR="00C36AF8" w:rsidRPr="00A062CC" w:rsidRDefault="00C36AF8" w:rsidP="00C36AF8">
            <w:pPr>
              <w:pStyle w:val="Tablecontent"/>
            </w:pPr>
            <w:r>
              <w:t>5'-ACGATTGCGAACACCTGAATGAAGCA</w:t>
            </w:r>
          </w:p>
        </w:tc>
      </w:tr>
      <w:tr w:rsidR="00C36AF8" w14:paraId="15B7211C" w14:textId="77777777" w:rsidTr="009D5425">
        <w:trPr>
          <w:jc w:val="center"/>
        </w:trPr>
        <w:tc>
          <w:tcPr>
            <w:tcW w:w="1560" w:type="dxa"/>
          </w:tcPr>
          <w:p w14:paraId="0DE11CED" w14:textId="77777777" w:rsidR="00C36AF8" w:rsidRDefault="00C36AF8" w:rsidP="004006BC">
            <w:pPr>
              <w:pStyle w:val="Tablecontent"/>
            </w:pPr>
            <w:r w:rsidRPr="00850E0E">
              <w:t>ALVE-ros010</w:t>
            </w:r>
          </w:p>
        </w:tc>
        <w:tc>
          <w:tcPr>
            <w:tcW w:w="4394" w:type="dxa"/>
            <w:vAlign w:val="center"/>
          </w:tcPr>
          <w:p w14:paraId="48D3C8EE" w14:textId="77777777" w:rsidR="00C36AF8" w:rsidRDefault="00C36AF8" w:rsidP="00C36AF8">
            <w:pPr>
              <w:pStyle w:val="Tablecontent"/>
            </w:pPr>
            <w:r>
              <w:t>5'-CTTATTTAGGAGAAATGCAAATGTAGGCTA</w:t>
            </w:r>
          </w:p>
          <w:p w14:paraId="7FD033F0" w14:textId="77777777" w:rsidR="00C36AF8" w:rsidRDefault="00C36AF8" w:rsidP="00C36AF8">
            <w:pPr>
              <w:pStyle w:val="Tablecontent"/>
            </w:pPr>
            <w:r>
              <w:t>5'-TTTGTGTAATACCCCATTAGGGGCATAT</w:t>
            </w:r>
          </w:p>
          <w:p w14:paraId="71658A73" w14:textId="77777777" w:rsidR="00C36AF8" w:rsidRDefault="00C36AF8" w:rsidP="00C36AF8">
            <w:pPr>
              <w:pStyle w:val="Tablecontent"/>
            </w:pPr>
            <w:r>
              <w:t>5'-ATTTAGGAGAAATGCAAATGTAGGCTG</w:t>
            </w:r>
          </w:p>
          <w:p w14:paraId="3D3BFFFE" w14:textId="5F7D5F2D" w:rsidR="00C36AF8" w:rsidRPr="00A062CC" w:rsidRDefault="00C36AF8" w:rsidP="00C36AF8">
            <w:pPr>
              <w:pStyle w:val="Tablecontent"/>
            </w:pPr>
            <w:r>
              <w:t>5'-AAGTTGCCTCTGGCTCTATTTGACTA</w:t>
            </w:r>
          </w:p>
        </w:tc>
      </w:tr>
      <w:tr w:rsidR="00C36AF8" w14:paraId="54CF4736" w14:textId="77777777" w:rsidTr="009D5425">
        <w:trPr>
          <w:jc w:val="center"/>
        </w:trPr>
        <w:tc>
          <w:tcPr>
            <w:tcW w:w="1560" w:type="dxa"/>
          </w:tcPr>
          <w:p w14:paraId="2D7DE113" w14:textId="77777777" w:rsidR="00C36AF8" w:rsidRDefault="00C36AF8" w:rsidP="004006BC">
            <w:pPr>
              <w:pStyle w:val="Tablecontent"/>
            </w:pPr>
            <w:r w:rsidRPr="00850E0E">
              <w:t>ALVE3</w:t>
            </w:r>
          </w:p>
        </w:tc>
        <w:tc>
          <w:tcPr>
            <w:tcW w:w="4394" w:type="dxa"/>
            <w:vAlign w:val="center"/>
          </w:tcPr>
          <w:p w14:paraId="2600F9FE" w14:textId="77777777" w:rsidR="00C36AF8" w:rsidRDefault="00C36AF8" w:rsidP="00C36AF8">
            <w:pPr>
              <w:pStyle w:val="Tablecontent"/>
            </w:pPr>
            <w:r>
              <w:t>5'-GCTCCACGGTCCGTGGTTG</w:t>
            </w:r>
          </w:p>
          <w:p w14:paraId="0E835081" w14:textId="77777777" w:rsidR="00C36AF8" w:rsidRDefault="00C36AF8" w:rsidP="00C36AF8">
            <w:pPr>
              <w:pStyle w:val="Tablecontent"/>
            </w:pPr>
            <w:r>
              <w:t>5'-TGCAGTAATGGTGTTTGACACCAATTGAT</w:t>
            </w:r>
          </w:p>
          <w:p w14:paraId="5EB4266D" w14:textId="77777777" w:rsidR="00C36AF8" w:rsidRDefault="00C36AF8" w:rsidP="00C36AF8">
            <w:pPr>
              <w:pStyle w:val="Tablecontent"/>
            </w:pPr>
            <w:r>
              <w:t>5'-GGCTCCACGGTCCGTGGTTT</w:t>
            </w:r>
          </w:p>
          <w:p w14:paraId="6443C495" w14:textId="4032FAF7" w:rsidR="00C36AF8" w:rsidRPr="00A062CC" w:rsidRDefault="00C36AF8" w:rsidP="00C36AF8">
            <w:pPr>
              <w:pStyle w:val="Tablecontent"/>
            </w:pPr>
            <w:r>
              <w:t>5'-GAACACCTGAATGAAGCAGAAGGCTT</w:t>
            </w:r>
          </w:p>
        </w:tc>
      </w:tr>
      <w:tr w:rsidR="00C36AF8" w14:paraId="0380A737" w14:textId="77777777" w:rsidTr="009D5425">
        <w:trPr>
          <w:jc w:val="center"/>
        </w:trPr>
        <w:tc>
          <w:tcPr>
            <w:tcW w:w="1560" w:type="dxa"/>
            <w:tcBorders>
              <w:bottom w:val="single" w:sz="4" w:space="0" w:color="auto"/>
            </w:tcBorders>
          </w:tcPr>
          <w:p w14:paraId="2EEBCFA4" w14:textId="77777777" w:rsidR="00C36AF8" w:rsidRDefault="00C36AF8" w:rsidP="004006BC">
            <w:pPr>
              <w:pStyle w:val="Tablecontent"/>
            </w:pPr>
            <w:r w:rsidRPr="00850E0E">
              <w:t>ALVE21</w:t>
            </w:r>
          </w:p>
        </w:tc>
        <w:tc>
          <w:tcPr>
            <w:tcW w:w="4394" w:type="dxa"/>
            <w:tcBorders>
              <w:bottom w:val="single" w:sz="4" w:space="0" w:color="auto"/>
            </w:tcBorders>
            <w:vAlign w:val="center"/>
          </w:tcPr>
          <w:p w14:paraId="3B538B7A" w14:textId="77777777" w:rsidR="00C36AF8" w:rsidRDefault="00C36AF8" w:rsidP="00C36AF8">
            <w:pPr>
              <w:pStyle w:val="Tablecontent"/>
            </w:pPr>
            <w:r>
              <w:t>5'-AAAACCAAACACTTTTGTATATGGGTAGTT</w:t>
            </w:r>
          </w:p>
          <w:p w14:paraId="0F1A8836" w14:textId="77777777" w:rsidR="00C36AF8" w:rsidRDefault="00C36AF8" w:rsidP="00C36AF8">
            <w:pPr>
              <w:pStyle w:val="Tablecontent"/>
            </w:pPr>
            <w:r>
              <w:t>5'-CTGACTTCACTACTCAGCATCACCAA</w:t>
            </w:r>
          </w:p>
          <w:p w14:paraId="07E83EA3" w14:textId="77777777" w:rsidR="00C36AF8" w:rsidRDefault="00C36AF8" w:rsidP="00C36AF8">
            <w:pPr>
              <w:pStyle w:val="Tablecontent"/>
            </w:pPr>
            <w:r>
              <w:t>5'-ACCAAACACTTTTGTATATGGGTAGTG</w:t>
            </w:r>
          </w:p>
          <w:p w14:paraId="08C285CC" w14:textId="73B79D79" w:rsidR="00C36AF8" w:rsidRPr="00A062CC" w:rsidRDefault="00C36AF8" w:rsidP="00C36AF8">
            <w:pPr>
              <w:pStyle w:val="Tablecontent"/>
            </w:pPr>
            <w:r>
              <w:t>5'-GAACACCTGAATGAAGCTGAAGGCTT</w:t>
            </w:r>
          </w:p>
        </w:tc>
      </w:tr>
    </w:tbl>
    <w:p w14:paraId="7273C35B" w14:textId="47DE10A8" w:rsidR="004006BC" w:rsidRPr="00540555" w:rsidRDefault="004006BC" w:rsidP="00391005">
      <w:pPr>
        <w:pStyle w:val="ListParagraph"/>
      </w:pPr>
    </w:p>
    <w:p w14:paraId="2D31C650" w14:textId="3DBF27B0" w:rsidR="00540555" w:rsidRDefault="00771EB2" w:rsidP="005C56D2">
      <w:pPr>
        <w:pStyle w:val="ListParagraph"/>
        <w:jc w:val="center"/>
      </w:pPr>
      <w:r>
        <w:rPr>
          <w:noProof/>
          <w:lang w:eastAsia="en-GB"/>
        </w:rPr>
        <w:drawing>
          <wp:inline distT="0" distB="0" distL="0" distR="0" wp14:anchorId="5EDF11AF" wp14:editId="39C08CE3">
            <wp:extent cx="5119370" cy="28575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719" r="-1" b="60294"/>
                    <a:stretch/>
                  </pic:blipFill>
                  <pic:spPr bwMode="auto">
                    <a:xfrm>
                      <a:off x="0" y="0"/>
                      <a:ext cx="5124572" cy="2860404"/>
                    </a:xfrm>
                    <a:prstGeom prst="rect">
                      <a:avLst/>
                    </a:prstGeom>
                    <a:noFill/>
                    <a:ln>
                      <a:noFill/>
                    </a:ln>
                    <a:extLst>
                      <a:ext uri="{53640926-AAD7-44D8-BBD7-CCE9431645EC}">
                        <a14:shadowObscured xmlns:a14="http://schemas.microsoft.com/office/drawing/2010/main"/>
                      </a:ext>
                    </a:extLst>
                  </pic:spPr>
                </pic:pic>
              </a:graphicData>
            </a:graphic>
          </wp:inline>
        </w:drawing>
      </w:r>
    </w:p>
    <w:p w14:paraId="69626201" w14:textId="1C547475" w:rsidR="005C56D2" w:rsidRDefault="005C56D2" w:rsidP="005C56D2">
      <w:pPr>
        <w:pStyle w:val="ListParagraph"/>
        <w:jc w:val="center"/>
      </w:pPr>
      <w:r>
        <w:rPr>
          <w:noProof/>
          <w:lang w:eastAsia="en-GB"/>
        </w:rPr>
        <w:lastRenderedPageBreak/>
        <w:drawing>
          <wp:inline distT="0" distB="0" distL="0" distR="0" wp14:anchorId="6F047F99" wp14:editId="3A48F509">
            <wp:extent cx="5119370" cy="4291424"/>
            <wp:effectExtent l="0" t="0" r="508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719" t="40368" r="-1"/>
                    <a:stretch/>
                  </pic:blipFill>
                  <pic:spPr bwMode="auto">
                    <a:xfrm>
                      <a:off x="0" y="0"/>
                      <a:ext cx="5124572" cy="4295785"/>
                    </a:xfrm>
                    <a:prstGeom prst="rect">
                      <a:avLst/>
                    </a:prstGeom>
                    <a:noFill/>
                    <a:ln>
                      <a:noFill/>
                    </a:ln>
                    <a:extLst>
                      <a:ext uri="{53640926-AAD7-44D8-BBD7-CCE9431645EC}">
                        <a14:shadowObscured xmlns:a14="http://schemas.microsoft.com/office/drawing/2010/main"/>
                      </a:ext>
                    </a:extLst>
                  </pic:spPr>
                </pic:pic>
              </a:graphicData>
            </a:graphic>
          </wp:inline>
        </w:drawing>
      </w:r>
    </w:p>
    <w:p w14:paraId="63F3ADFE" w14:textId="3155CE74" w:rsidR="00540555" w:rsidRDefault="00540555" w:rsidP="00540555">
      <w:pPr>
        <w:pStyle w:val="Figure"/>
      </w:pPr>
      <w:bookmarkStart w:id="436" w:name="_Ref479152953"/>
      <w:bookmarkStart w:id="437" w:name="_Toc486785448"/>
      <w:r>
        <w:t xml:space="preserve">Figure </w:t>
      </w:r>
      <w:fldSimple w:instr=" STYLEREF 1 \s " w:fldLock="1">
        <w:r w:rsidR="002C549C">
          <w:rPr>
            <w:noProof/>
          </w:rPr>
          <w:t>6</w:t>
        </w:r>
      </w:fldSimple>
      <w:r w:rsidR="001167C6">
        <w:t>.</w:t>
      </w:r>
      <w:fldSimple w:instr=" SEQ Figure \* ARABIC \s 1 " w:fldLock="1">
        <w:r w:rsidR="002C549C">
          <w:rPr>
            <w:noProof/>
          </w:rPr>
          <w:t>3</w:t>
        </w:r>
      </w:fldSimple>
      <w:bookmarkEnd w:id="436"/>
      <w:r>
        <w:t xml:space="preserve"> KASP diagrams for each of the identified ALVEs using the 2010 males of all eight </w:t>
      </w:r>
      <w:r w:rsidR="00EE627E">
        <w:t>Hy-Line lines. T</w:t>
      </w:r>
      <w:r>
        <w:t>he red</w:t>
      </w:r>
      <w:r w:rsidR="00EE627E">
        <w:t xml:space="preserve"> data</w:t>
      </w:r>
      <w:r>
        <w:t xml:space="preserve"> points are individuals homozygous for the ALVE, greens are heterozygotes, blues are wildtype homozygotes, and blacks are the controls. Pink data points were ambiguous either due to their location outside genotype clusters or the path taken during cycling (such as the pink data points within the genotype cl</w:t>
      </w:r>
      <w:r w:rsidR="00D24EEE">
        <w:t>usters of ALVE_ros006). For assays</w:t>
      </w:r>
      <w:r>
        <w:t xml:space="preserve"> </w:t>
      </w:r>
      <w:r w:rsidR="005C56D2">
        <w:t>such as ALVE_ros003 (</w:t>
      </w:r>
      <w:r w:rsidR="00D24EEE">
        <w:t>where the insert allele wa</w:t>
      </w:r>
      <w:r w:rsidR="005C56D2">
        <w:t>s rare)</w:t>
      </w:r>
      <w:r>
        <w:t xml:space="preserve"> groups have been called using data from multiple generations</w:t>
      </w:r>
      <w:r w:rsidR="00D24EEE">
        <w:t xml:space="preserve"> (not shown)</w:t>
      </w:r>
      <w:r w:rsidR="00EE627E">
        <w:t xml:space="preserve">. </w:t>
      </w:r>
      <w:r>
        <w:t>ALVE-TYR and ALVE9 lack any heterozygote calls due to these ALVEs being fixed in some lines and absent in</w:t>
      </w:r>
      <w:r w:rsidR="00EE627E">
        <w:t xml:space="preserve"> all</w:t>
      </w:r>
      <w:r>
        <w:t xml:space="preserve"> others.</w:t>
      </w:r>
      <w:bookmarkEnd w:id="437"/>
    </w:p>
    <w:p w14:paraId="1AA8220C" w14:textId="2BCCC368" w:rsidR="00B466B1" w:rsidRDefault="00DF4B8F" w:rsidP="00391005">
      <w:pPr>
        <w:pStyle w:val="ListParagraph"/>
      </w:pPr>
      <w:r>
        <w:t>Most assays needed multiple designs to fix issues caused by SNPs</w:t>
      </w:r>
      <w:r w:rsidR="005C56D2">
        <w:t xml:space="preserve"> in the primer binding regions</w:t>
      </w:r>
      <w:r>
        <w:t xml:space="preserve"> (</w:t>
      </w:r>
      <w:r w:rsidR="00B56BEA">
        <w:fldChar w:fldCharType="begin" w:fldLock="1"/>
      </w:r>
      <w:r w:rsidR="00B56BEA">
        <w:instrText xml:space="preserve"> REF _Ref479154495 \h </w:instrText>
      </w:r>
      <w:r w:rsidR="00B56BEA">
        <w:fldChar w:fldCharType="separate"/>
      </w:r>
      <w:r w:rsidR="002C549C">
        <w:t xml:space="preserve">Figure </w:t>
      </w:r>
      <w:r w:rsidR="002C549C">
        <w:rPr>
          <w:noProof/>
        </w:rPr>
        <w:t>6</w:t>
      </w:r>
      <w:r w:rsidR="002C549C">
        <w:t>.</w:t>
      </w:r>
      <w:r w:rsidR="002C549C">
        <w:rPr>
          <w:noProof/>
        </w:rPr>
        <w:t>4</w:t>
      </w:r>
      <w:r w:rsidR="00B56BEA">
        <w:fldChar w:fldCharType="end"/>
      </w:r>
      <w:r>
        <w:t>) or non-amplification of one of the alleles, usually the ALVE insert (</w:t>
      </w:r>
      <w:r w:rsidR="00B56BEA">
        <w:fldChar w:fldCharType="begin" w:fldLock="1"/>
      </w:r>
      <w:r w:rsidR="00B56BEA">
        <w:instrText xml:space="preserve"> REF _Ref479154501 \h </w:instrText>
      </w:r>
      <w:r w:rsidR="00B56BEA">
        <w:fldChar w:fldCharType="separate"/>
      </w:r>
      <w:r w:rsidR="002C549C">
        <w:t xml:space="preserve">Figure </w:t>
      </w:r>
      <w:r w:rsidR="002C549C">
        <w:rPr>
          <w:noProof/>
        </w:rPr>
        <w:t>6</w:t>
      </w:r>
      <w:r w:rsidR="002C549C">
        <w:t>.</w:t>
      </w:r>
      <w:r w:rsidR="002C549C">
        <w:rPr>
          <w:noProof/>
        </w:rPr>
        <w:t>5</w:t>
      </w:r>
      <w:r w:rsidR="00B56BEA">
        <w:fldChar w:fldCharType="end"/>
      </w:r>
      <w:r w:rsidR="005C56D2">
        <w:t>). This usually involved</w:t>
      </w:r>
      <w:r>
        <w:t xml:space="preserve"> identification of SNPs so that they could be included as ambiguous wobbles in the primers or avoided completely. </w:t>
      </w:r>
      <w:r w:rsidR="005C56D2">
        <w:t>P</w:t>
      </w:r>
      <w:r w:rsidR="00537E1A">
        <w:t>rimers ordered with ambiguous</w:t>
      </w:r>
      <w:r w:rsidR="005C56D2">
        <w:t xml:space="preserve"> bases</w:t>
      </w:r>
      <w:r w:rsidR="00537E1A">
        <w:t xml:space="preserve"> included both primer variants in the indicated locations, </w:t>
      </w:r>
      <w:r>
        <w:t>ultimately limi</w:t>
      </w:r>
      <w:r w:rsidR="00537E1A">
        <w:t>ting the number of manageable</w:t>
      </w:r>
      <w:r>
        <w:t xml:space="preserve"> SNPs to two within each primer.</w:t>
      </w:r>
      <w:r w:rsidR="00B56BEA">
        <w:t xml:space="preserve"> </w:t>
      </w:r>
      <w:r w:rsidR="0098197E">
        <w:t xml:space="preserve">SNP-related issues were often with the wildtype group, as assays were designed based on ALVE+ lines, so </w:t>
      </w:r>
      <w:r w:rsidR="0098197E">
        <w:lastRenderedPageBreak/>
        <w:t>SNPs in the ALVE- lines were overlooked.</w:t>
      </w:r>
      <w:r w:rsidR="00B466B1">
        <w:t xml:space="preserve"> One example of this was ALVE_ros005 which had a group consisting of individuals from all three brown egg layer lines which did</w:t>
      </w:r>
      <w:r w:rsidR="00537E1A">
        <w:t xml:space="preserve"> no</w:t>
      </w:r>
      <w:r w:rsidR="00B466B1">
        <w:t>t leave the origin in the original assay design (</w:t>
      </w:r>
      <w:r w:rsidR="00B466B1">
        <w:fldChar w:fldCharType="begin" w:fldLock="1"/>
      </w:r>
      <w:r w:rsidR="00B466B1">
        <w:instrText xml:space="preserve"> REF _Ref481609139 \h </w:instrText>
      </w:r>
      <w:r w:rsidR="00B466B1">
        <w:fldChar w:fldCharType="separate"/>
      </w:r>
      <w:r w:rsidR="002C549C">
        <w:t xml:space="preserve">Figure </w:t>
      </w:r>
      <w:r w:rsidR="002C549C">
        <w:rPr>
          <w:noProof/>
        </w:rPr>
        <w:t>6</w:t>
      </w:r>
      <w:r w:rsidR="002C549C">
        <w:t>.</w:t>
      </w:r>
      <w:r w:rsidR="002C549C">
        <w:rPr>
          <w:noProof/>
        </w:rPr>
        <w:t>6</w:t>
      </w:r>
      <w:r w:rsidR="00B466B1">
        <w:fldChar w:fldCharType="end"/>
      </w:r>
      <w:r w:rsidR="00B466B1">
        <w:t xml:space="preserve">A). </w:t>
      </w:r>
      <w:r w:rsidR="002443EB">
        <w:t>The assay was successfully redesigned (</w:t>
      </w:r>
      <w:r w:rsidR="002443EB">
        <w:fldChar w:fldCharType="begin" w:fldLock="1"/>
      </w:r>
      <w:r w:rsidR="002443EB">
        <w:instrText xml:space="preserve"> REF _Ref481609139 \h </w:instrText>
      </w:r>
      <w:r w:rsidR="002443EB">
        <w:fldChar w:fldCharType="separate"/>
      </w:r>
      <w:r w:rsidR="002C549C">
        <w:t xml:space="preserve">Figure </w:t>
      </w:r>
      <w:r w:rsidR="002C549C">
        <w:rPr>
          <w:noProof/>
        </w:rPr>
        <w:t>6</w:t>
      </w:r>
      <w:r w:rsidR="002C549C">
        <w:t>.</w:t>
      </w:r>
      <w:r w:rsidR="002C549C">
        <w:rPr>
          <w:noProof/>
        </w:rPr>
        <w:t>6</w:t>
      </w:r>
      <w:r w:rsidR="002443EB">
        <w:fldChar w:fldCharType="end"/>
      </w:r>
      <w:r w:rsidR="002443EB">
        <w:t>B) after sequence from origin group individuals from all three lines showed a 6 bp deletion in the ‘no insert’ reverse primer binding location (</w:t>
      </w:r>
      <w:r w:rsidR="002443EB">
        <w:fldChar w:fldCharType="begin" w:fldLock="1"/>
      </w:r>
      <w:r w:rsidR="002443EB">
        <w:instrText xml:space="preserve"> REF _Ref481609139 \h </w:instrText>
      </w:r>
      <w:r w:rsidR="002443EB">
        <w:fldChar w:fldCharType="separate"/>
      </w:r>
      <w:r w:rsidR="002C549C">
        <w:t xml:space="preserve">Figure </w:t>
      </w:r>
      <w:r w:rsidR="002C549C">
        <w:rPr>
          <w:noProof/>
        </w:rPr>
        <w:t>6</w:t>
      </w:r>
      <w:r w:rsidR="002C549C">
        <w:t>.</w:t>
      </w:r>
      <w:r w:rsidR="002C549C">
        <w:rPr>
          <w:noProof/>
        </w:rPr>
        <w:t>6</w:t>
      </w:r>
      <w:r w:rsidR="002443EB">
        <w:fldChar w:fldCharType="end"/>
      </w:r>
      <w:r w:rsidR="002443EB">
        <w:t xml:space="preserve">C). Whilst individuals from all three lines exhibited the deletion, ALVE_ros005 was only identified in WPR1 and the RIR, both at rare frequencies. </w:t>
      </w:r>
    </w:p>
    <w:p w14:paraId="58A5BA13" w14:textId="3B27CD96" w:rsidR="00B56BEA" w:rsidRPr="005C56D2" w:rsidRDefault="00B56BEA" w:rsidP="00391005">
      <w:pPr>
        <w:pStyle w:val="ListParagraph"/>
        <w:rPr>
          <w:sz w:val="2"/>
        </w:rPr>
      </w:pPr>
    </w:p>
    <w:p w14:paraId="0106D62D" w14:textId="3F46E7A4" w:rsidR="00B56BEA" w:rsidRDefault="00CF4FCD" w:rsidP="005C56D2">
      <w:pPr>
        <w:pStyle w:val="ListParagraph"/>
        <w:jc w:val="center"/>
      </w:pPr>
      <w:r>
        <w:rPr>
          <w:noProof/>
          <w:lang w:eastAsia="en-GB"/>
        </w:rPr>
        <w:drawing>
          <wp:inline distT="0" distB="0" distL="0" distR="0" wp14:anchorId="572551AE" wp14:editId="4E5CE450">
            <wp:extent cx="3643879"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t="3948" r="2199"/>
                    <a:stretch/>
                  </pic:blipFill>
                  <pic:spPr bwMode="auto">
                    <a:xfrm>
                      <a:off x="0" y="0"/>
                      <a:ext cx="364387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468BFBC9" w14:textId="7A41954C" w:rsidR="00B56BEA" w:rsidRDefault="00B56BEA" w:rsidP="00B56BEA">
      <w:pPr>
        <w:pStyle w:val="Figure"/>
      </w:pPr>
      <w:bookmarkStart w:id="438" w:name="_Ref479154495"/>
      <w:bookmarkStart w:id="439" w:name="_Toc486785449"/>
      <w:r>
        <w:t xml:space="preserve">Figure </w:t>
      </w:r>
      <w:fldSimple w:instr=" STYLEREF 1 \s " w:fldLock="1">
        <w:r w:rsidR="002C549C">
          <w:rPr>
            <w:noProof/>
          </w:rPr>
          <w:t>6</w:t>
        </w:r>
      </w:fldSimple>
      <w:r w:rsidR="001167C6">
        <w:t>.</w:t>
      </w:r>
      <w:fldSimple w:instr=" SEQ Figure \* ARABIC \s 1 " w:fldLock="1">
        <w:r w:rsidR="002C549C">
          <w:rPr>
            <w:noProof/>
          </w:rPr>
          <w:t>4</w:t>
        </w:r>
      </w:fldSimple>
      <w:bookmarkEnd w:id="438"/>
      <w:r w:rsidR="00CF4FCD">
        <w:t xml:space="preserve"> </w:t>
      </w:r>
      <w:r w:rsidR="005C56D2">
        <w:t xml:space="preserve">ALVE15 </w:t>
      </w:r>
      <w:r w:rsidR="0098197E">
        <w:t>KASP a</w:t>
      </w:r>
      <w:r w:rsidR="00673610">
        <w:t xml:space="preserve">ssay redesign based on a SNP </w:t>
      </w:r>
      <w:r w:rsidR="0098197E">
        <w:t>the</w:t>
      </w:r>
      <w:r w:rsidR="00673610">
        <w:t xml:space="preserve"> base before the insert hexamer</w:t>
      </w:r>
      <w:r w:rsidR="0098197E">
        <w:t xml:space="preserve">. A) The pink group to the left of the main blue group were from brown egg layer lines which contained a </w:t>
      </w:r>
      <w:r w:rsidR="00673610">
        <w:t>G/A SNP in the fluorescent</w:t>
      </w:r>
      <w:r w:rsidR="005C56D2">
        <w:t>-tagged</w:t>
      </w:r>
      <w:r w:rsidR="00673610">
        <w:t xml:space="preserve"> primer binding region</w:t>
      </w:r>
      <w:r w:rsidR="005C56D2">
        <w:t>. This reduced wildtype fluorescence and</w:t>
      </w:r>
      <w:r w:rsidR="0098197E">
        <w:t xml:space="preserve"> created this ‘slo</w:t>
      </w:r>
      <w:r w:rsidR="005C56D2">
        <w:t>w’ group</w:t>
      </w:r>
      <w:r w:rsidR="0098197E">
        <w:t>. B) The re</w:t>
      </w:r>
      <w:r w:rsidR="00673610">
        <w:t>design include</w:t>
      </w:r>
      <w:r w:rsidR="00BE6E0D">
        <w:t>d</w:t>
      </w:r>
      <w:r w:rsidR="00673610">
        <w:t xml:space="preserve"> the </w:t>
      </w:r>
      <w:r w:rsidR="0098197E">
        <w:t>SNP</w:t>
      </w:r>
      <w:r w:rsidR="00673610">
        <w:t xml:space="preserve"> ambiguity (G/A = R)</w:t>
      </w:r>
      <w:r w:rsidR="0098197E">
        <w:t xml:space="preserve"> </w:t>
      </w:r>
      <w:r w:rsidR="00BE6E0D">
        <w:t xml:space="preserve">and enabled </w:t>
      </w:r>
      <w:r w:rsidR="00673610">
        <w:t>blue group resolution</w:t>
      </w:r>
      <w:r w:rsidR="0098197E">
        <w:t>.</w:t>
      </w:r>
      <w:bookmarkEnd w:id="439"/>
    </w:p>
    <w:p w14:paraId="1463EC5D" w14:textId="2F723CBA" w:rsidR="00B56BEA" w:rsidRDefault="0098197E" w:rsidP="005C56D2">
      <w:pPr>
        <w:pStyle w:val="ListParagraph"/>
        <w:jc w:val="center"/>
      </w:pPr>
      <w:r>
        <w:rPr>
          <w:noProof/>
          <w:lang w:eastAsia="en-GB"/>
        </w:rPr>
        <w:drawing>
          <wp:inline distT="0" distB="0" distL="0" distR="0" wp14:anchorId="1366641E" wp14:editId="1AA24960">
            <wp:extent cx="3690174" cy="1800000"/>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a:extLst>
                        <a:ext uri="{28A0092B-C50C-407E-A947-70E740481C1C}">
                          <a14:useLocalDpi xmlns:a14="http://schemas.microsoft.com/office/drawing/2010/main" val="0"/>
                        </a:ext>
                      </a:extLst>
                    </a:blip>
                    <a:srcRect l="1" t="4602" r="2004"/>
                    <a:stretch/>
                  </pic:blipFill>
                  <pic:spPr bwMode="auto">
                    <a:xfrm>
                      <a:off x="0" y="0"/>
                      <a:ext cx="369017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6D14DF5" w14:textId="45AC859F" w:rsidR="00B56BEA" w:rsidRPr="0098197E" w:rsidRDefault="00B56BEA" w:rsidP="00B56BEA">
      <w:pPr>
        <w:pStyle w:val="Figure"/>
      </w:pPr>
      <w:bookmarkStart w:id="440" w:name="_Ref479154501"/>
      <w:bookmarkStart w:id="441" w:name="_Toc486785450"/>
      <w:r>
        <w:t xml:space="preserve">Figure </w:t>
      </w:r>
      <w:fldSimple w:instr=" STYLEREF 1 \s " w:fldLock="1">
        <w:r w:rsidR="002C549C">
          <w:rPr>
            <w:noProof/>
          </w:rPr>
          <w:t>6</w:t>
        </w:r>
      </w:fldSimple>
      <w:r w:rsidR="001167C6">
        <w:t>.</w:t>
      </w:r>
      <w:fldSimple w:instr=" SEQ Figure \* ARABIC \s 1 " w:fldLock="1">
        <w:r w:rsidR="002C549C">
          <w:rPr>
            <w:noProof/>
          </w:rPr>
          <w:t>5</w:t>
        </w:r>
      </w:fldSimple>
      <w:bookmarkEnd w:id="440"/>
      <w:r w:rsidR="0098197E">
        <w:t xml:space="preserve"> ALVE-NSAC1 KASP assay redesign due to non-amplification of the insert primers. A) Pink group at the origin did not move due to non-amplification of the insert-specific primers. This also caused the green heterozygote group to remain on the </w:t>
      </w:r>
      <w:r w:rsidR="0098197E">
        <w:rPr>
          <w:i/>
        </w:rPr>
        <w:t>x</w:t>
      </w:r>
      <w:r w:rsidR="0098197E">
        <w:t>-axis. B) Redesign of the insert-specific primers enabled amplification creating the red group and better resolving the green and blue groups.</w:t>
      </w:r>
      <w:bookmarkEnd w:id="441"/>
    </w:p>
    <w:p w14:paraId="5F6664B8" w14:textId="76E6B73B" w:rsidR="00B466B1" w:rsidRDefault="00E31E67" w:rsidP="00BE6E0D">
      <w:pPr>
        <w:pStyle w:val="ListParagraph"/>
        <w:jc w:val="center"/>
      </w:pPr>
      <w:r>
        <w:rPr>
          <w:noProof/>
          <w:lang w:eastAsia="en-GB"/>
        </w:rPr>
        <w:lastRenderedPageBreak/>
        <w:drawing>
          <wp:inline distT="0" distB="0" distL="0" distR="0" wp14:anchorId="29A9F175" wp14:editId="10A256B7">
            <wp:extent cx="3690000" cy="2567476"/>
            <wp:effectExtent l="0" t="0" r="5715" b="444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4">
                      <a:extLst>
                        <a:ext uri="{28A0092B-C50C-407E-A947-70E740481C1C}">
                          <a14:useLocalDpi xmlns:a14="http://schemas.microsoft.com/office/drawing/2010/main" val="0"/>
                        </a:ext>
                      </a:extLst>
                    </a:blip>
                    <a:srcRect t="3906" r="2277" b="2778"/>
                    <a:stretch/>
                  </pic:blipFill>
                  <pic:spPr bwMode="auto">
                    <a:xfrm>
                      <a:off x="0" y="0"/>
                      <a:ext cx="3690000" cy="2567476"/>
                    </a:xfrm>
                    <a:prstGeom prst="rect">
                      <a:avLst/>
                    </a:prstGeom>
                    <a:noFill/>
                    <a:ln>
                      <a:noFill/>
                    </a:ln>
                    <a:extLst>
                      <a:ext uri="{53640926-AAD7-44D8-BBD7-CCE9431645EC}">
                        <a14:shadowObscured xmlns:a14="http://schemas.microsoft.com/office/drawing/2010/main"/>
                      </a:ext>
                    </a:extLst>
                  </pic:spPr>
                </pic:pic>
              </a:graphicData>
            </a:graphic>
          </wp:inline>
        </w:drawing>
      </w:r>
    </w:p>
    <w:p w14:paraId="19E82AAF" w14:textId="1138CAB8" w:rsidR="00B466B1" w:rsidRDefault="00B466B1" w:rsidP="00B466B1">
      <w:pPr>
        <w:pStyle w:val="Figure"/>
      </w:pPr>
      <w:bookmarkStart w:id="442" w:name="_Ref481609139"/>
      <w:bookmarkStart w:id="443" w:name="_Toc486785451"/>
      <w:r>
        <w:t xml:space="preserve">Figure </w:t>
      </w:r>
      <w:fldSimple w:instr=" STYLEREF 1 \s " w:fldLock="1">
        <w:r w:rsidR="002C549C">
          <w:rPr>
            <w:noProof/>
          </w:rPr>
          <w:t>6</w:t>
        </w:r>
      </w:fldSimple>
      <w:r w:rsidR="001167C6">
        <w:t>.</w:t>
      </w:r>
      <w:fldSimple w:instr=" SEQ Figure \* ARABIC \s 1 " w:fldLock="1">
        <w:r w:rsidR="002C549C">
          <w:rPr>
            <w:noProof/>
          </w:rPr>
          <w:t>6</w:t>
        </w:r>
      </w:fldSimple>
      <w:bookmarkEnd w:id="442"/>
      <w:r>
        <w:t xml:space="preserve"> ALVE_ros005 assay redesign due to presence of an origin group consisting of individuals </w:t>
      </w:r>
      <w:r w:rsidR="00E31E67">
        <w:t>from both WPR lines and the RIR</w:t>
      </w:r>
      <w:r w:rsidR="007862E7">
        <w:t>.</w:t>
      </w:r>
      <w:r>
        <w:t xml:space="preserve"> In the original design (A) a group of pink individuals did not leave the origin, suggesting that there was a problematic SNP</w:t>
      </w:r>
      <w:r w:rsidR="007862E7">
        <w:t xml:space="preserve"> or other variant in one of the p</w:t>
      </w:r>
      <w:r>
        <w:t>rimer binding r</w:t>
      </w:r>
      <w:r w:rsidR="007862E7">
        <w:t xml:space="preserve">egions. </w:t>
      </w:r>
      <w:r w:rsidR="00E31E67">
        <w:t>The assay was redesigned (B) following identification of a</w:t>
      </w:r>
      <w:r w:rsidR="007862E7">
        <w:t xml:space="preserve"> </w:t>
      </w:r>
      <w:r w:rsidR="00E31E67">
        <w:t xml:space="preserve">6 bp </w:t>
      </w:r>
      <w:r w:rsidR="007862E7">
        <w:t>deletion in the original ‘no insert’ reverse primer location</w:t>
      </w:r>
      <w:r>
        <w:t xml:space="preserve"> in all three lines by Sanger sequencing</w:t>
      </w:r>
      <w:r w:rsidR="00E31E67">
        <w:t xml:space="preserve"> (C).</w:t>
      </w:r>
      <w:r w:rsidR="007862E7">
        <w:t xml:space="preserve"> </w:t>
      </w:r>
      <w:r w:rsidR="00E31E67">
        <w:t>The top three sequences in C were from the pink ‘fail’ group in A, and the next three were from individuals which were correctly called in A. The insertion s</w:t>
      </w:r>
      <w:r w:rsidR="00BE6E0D">
        <w:t>ite is indicated by the red dash</w:t>
      </w:r>
      <w:r w:rsidR="00E31E67">
        <w:t xml:space="preserve">ed line, and the KASP primer locations are shown by the numbered primer sequences, where 1 = insert fluorescent primer (hence the highlighted T after the insertion site), 2 = ‘no insert’ fluorescent primer, and 3 = the ‘no insert’ reverse primer, showing the impact of the 6 bp deletion. </w:t>
      </w:r>
      <w:r w:rsidR="007862E7">
        <w:t>The redesign</w:t>
      </w:r>
      <w:r w:rsidR="001B79D3">
        <w:t xml:space="preserve"> moved primer 3 to avoid the deletion, producing tight</w:t>
      </w:r>
      <w:r w:rsidR="007862E7">
        <w:t xml:space="preserve"> genotype groups and </w:t>
      </w:r>
      <w:r w:rsidR="001B79D3">
        <w:t>the removal of most pinks</w:t>
      </w:r>
      <w:r w:rsidR="007862E7">
        <w:t>. Remaining pinks were</w:t>
      </w:r>
      <w:r w:rsidR="00ED5901">
        <w:t xml:space="preserve"> likely</w:t>
      </w:r>
      <w:r w:rsidR="007862E7">
        <w:t xml:space="preserve"> due </w:t>
      </w:r>
      <w:r w:rsidR="00ED5901">
        <w:t>to</w:t>
      </w:r>
      <w:r w:rsidR="007862E7">
        <w:t xml:space="preserve"> low quality</w:t>
      </w:r>
      <w:r w:rsidR="00ED5901">
        <w:t xml:space="preserve"> DNA as those samples also failed in several other KASP assays. </w:t>
      </w:r>
      <w:r w:rsidR="007862E7">
        <w:t>These DNA</w:t>
      </w:r>
      <w:r w:rsidR="001B79D3">
        <w:t>s should be replaced,</w:t>
      </w:r>
      <w:r w:rsidR="007862E7">
        <w:t xml:space="preserve"> as two of the eight</w:t>
      </w:r>
      <w:r w:rsidR="00E31E67">
        <w:t xml:space="preserve"> RIR</w:t>
      </w:r>
      <w:r w:rsidR="007862E7">
        <w:t xml:space="preserve"> pinks in the redesign</w:t>
      </w:r>
      <w:r w:rsidR="001B79D3">
        <w:t xml:space="preserve"> were ALVE_ros005 heterozygotes when checked by gel-based PCR assay.</w:t>
      </w:r>
      <w:bookmarkEnd w:id="443"/>
    </w:p>
    <w:p w14:paraId="45C9B02E" w14:textId="1F9D28CE" w:rsidR="00D24EEE" w:rsidRDefault="00B56BEA" w:rsidP="00391005">
      <w:pPr>
        <w:pStyle w:val="ListParagraph"/>
      </w:pPr>
      <w:r>
        <w:t>An advantage of the KASP system was the</w:t>
      </w:r>
      <w:r w:rsidR="00BE6E0D">
        <w:t xml:space="preserve"> ability to PCR the plates for</w:t>
      </w:r>
      <w:r>
        <w:t xml:space="preserve"> a given number of cycles, read the plates, and then continue </w:t>
      </w:r>
      <w:r w:rsidR="00BE6E0D">
        <w:t>PCR if necessary. This aided assay improvement</w:t>
      </w:r>
      <w:r w:rsidR="00673610">
        <w:t xml:space="preserve"> for the optimum</w:t>
      </w:r>
      <w:r>
        <w:t xml:space="preserve"> number of cycles (</w:t>
      </w:r>
      <w:r>
        <w:fldChar w:fldCharType="begin" w:fldLock="1"/>
      </w:r>
      <w:r>
        <w:instrText xml:space="preserve"> REF _Ref479154509 \h </w:instrText>
      </w:r>
      <w:r>
        <w:fldChar w:fldCharType="separate"/>
      </w:r>
      <w:r w:rsidR="002C549C">
        <w:t xml:space="preserve">Figure </w:t>
      </w:r>
      <w:r w:rsidR="002C549C">
        <w:rPr>
          <w:noProof/>
        </w:rPr>
        <w:t>6</w:t>
      </w:r>
      <w:r w:rsidR="002C549C">
        <w:t>.</w:t>
      </w:r>
      <w:r w:rsidR="002C549C">
        <w:rPr>
          <w:noProof/>
        </w:rPr>
        <w:t>7</w:t>
      </w:r>
      <w:r>
        <w:fldChar w:fldCharType="end"/>
      </w:r>
      <w:r>
        <w:t xml:space="preserve">), and </w:t>
      </w:r>
      <w:r w:rsidR="00370AAF">
        <w:t>enabled</w:t>
      </w:r>
      <w:r>
        <w:t xml:space="preserve"> tracking of individual samples during PCR to ensure the path taken</w:t>
      </w:r>
      <w:r w:rsidR="00CF4FCD">
        <w:t xml:space="preserve"> was consistent with other individual</w:t>
      </w:r>
      <w:r>
        <w:t>s in the genotype cluster (</w:t>
      </w:r>
      <w:r>
        <w:rPr>
          <w:i/>
        </w:rPr>
        <w:t>e.g.</w:t>
      </w:r>
      <w:r>
        <w:t xml:space="preserve"> </w:t>
      </w:r>
      <w:r w:rsidR="00370AAF">
        <w:t xml:space="preserve">pink calls in </w:t>
      </w:r>
      <w:r>
        <w:t>ALVE_ros006</w:t>
      </w:r>
      <w:r w:rsidR="00370AAF">
        <w:t>;</w:t>
      </w:r>
      <w:r>
        <w:t xml:space="preserve"> </w:t>
      </w:r>
      <w:r>
        <w:fldChar w:fldCharType="begin" w:fldLock="1"/>
      </w:r>
      <w:r>
        <w:instrText xml:space="preserve"> REF _Ref479152953 \h </w:instrText>
      </w:r>
      <w:r>
        <w:fldChar w:fldCharType="separate"/>
      </w:r>
      <w:r w:rsidR="002C549C">
        <w:t xml:space="preserve">Figure </w:t>
      </w:r>
      <w:r w:rsidR="002C549C">
        <w:rPr>
          <w:noProof/>
        </w:rPr>
        <w:t>6</w:t>
      </w:r>
      <w:r w:rsidR="002C549C">
        <w:t>.</w:t>
      </w:r>
      <w:r w:rsidR="002C549C">
        <w:rPr>
          <w:noProof/>
        </w:rPr>
        <w:t>3</w:t>
      </w:r>
      <w:r>
        <w:fldChar w:fldCharType="end"/>
      </w:r>
      <w:r>
        <w:t xml:space="preserve">). </w:t>
      </w:r>
      <w:r w:rsidR="00DF4B8F">
        <w:t xml:space="preserve"> </w:t>
      </w:r>
    </w:p>
    <w:p w14:paraId="4DDD5134" w14:textId="77777777" w:rsidR="00D24EEE" w:rsidRPr="003A3EAD" w:rsidRDefault="00D24EEE" w:rsidP="00391005">
      <w:pPr>
        <w:pStyle w:val="ListParagraph"/>
      </w:pPr>
    </w:p>
    <w:p w14:paraId="77363ADC" w14:textId="4E25160D" w:rsidR="00D24EEE" w:rsidRDefault="0098197E" w:rsidP="00BE6E0D">
      <w:pPr>
        <w:pStyle w:val="ListParagraph"/>
        <w:jc w:val="center"/>
      </w:pPr>
      <w:r>
        <w:rPr>
          <w:noProof/>
          <w:lang w:eastAsia="en-GB"/>
        </w:rPr>
        <w:lastRenderedPageBreak/>
        <w:drawing>
          <wp:inline distT="0" distB="0" distL="0" distR="0" wp14:anchorId="141E9E35" wp14:editId="32D1C82D">
            <wp:extent cx="5199402" cy="1440612"/>
            <wp:effectExtent l="0" t="0" r="127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a:extLst>
                        <a:ext uri="{28A0092B-C50C-407E-A947-70E740481C1C}">
                          <a14:useLocalDpi xmlns:a14="http://schemas.microsoft.com/office/drawing/2010/main" val="0"/>
                        </a:ext>
                      </a:extLst>
                    </a:blip>
                    <a:srcRect l="1880" t="5240" r="-1"/>
                    <a:stretch/>
                  </pic:blipFill>
                  <pic:spPr bwMode="auto">
                    <a:xfrm>
                      <a:off x="0" y="0"/>
                      <a:ext cx="5226414" cy="1448096"/>
                    </a:xfrm>
                    <a:prstGeom prst="rect">
                      <a:avLst/>
                    </a:prstGeom>
                    <a:noFill/>
                    <a:ln>
                      <a:noFill/>
                    </a:ln>
                    <a:extLst>
                      <a:ext uri="{53640926-AAD7-44D8-BBD7-CCE9431645EC}">
                        <a14:shadowObscured xmlns:a14="http://schemas.microsoft.com/office/drawing/2010/main"/>
                      </a:ext>
                    </a:extLst>
                  </pic:spPr>
                </pic:pic>
              </a:graphicData>
            </a:graphic>
          </wp:inline>
        </w:drawing>
      </w:r>
    </w:p>
    <w:p w14:paraId="3A626FD2" w14:textId="0106BAE9" w:rsidR="006F42F5" w:rsidRDefault="00B56BEA" w:rsidP="00B56BEA">
      <w:pPr>
        <w:pStyle w:val="Figure"/>
      </w:pPr>
      <w:bookmarkStart w:id="444" w:name="_Ref479154509"/>
      <w:bookmarkStart w:id="445" w:name="_Toc486785452"/>
      <w:r>
        <w:t xml:space="preserve">Figure </w:t>
      </w:r>
      <w:fldSimple w:instr=" STYLEREF 1 \s " w:fldLock="1">
        <w:r w:rsidR="002C549C">
          <w:rPr>
            <w:noProof/>
          </w:rPr>
          <w:t>6</w:t>
        </w:r>
      </w:fldSimple>
      <w:r w:rsidR="001167C6">
        <w:t>.</w:t>
      </w:r>
      <w:fldSimple w:instr=" SEQ Figure \* ARABIC \s 1 " w:fldLock="1">
        <w:r w:rsidR="002C549C">
          <w:rPr>
            <w:noProof/>
          </w:rPr>
          <w:t>7</w:t>
        </w:r>
      </w:fldSimple>
      <w:bookmarkEnd w:id="444"/>
      <w:r w:rsidR="0098197E">
        <w:t xml:space="preserve"> ALVE-NSAC7 genotype cluster resolution during PCR cycling, with cycles increasing from left to right. </w:t>
      </w:r>
      <w:r w:rsidR="00BE6E0D">
        <w:t>Initially the groups a</w:t>
      </w:r>
      <w:r w:rsidR="00F50A6F">
        <w:t>re not distinct enough to be called (30cyc), b</w:t>
      </w:r>
      <w:r w:rsidR="00BE6E0D">
        <w:t>ut resolution gradually improves</w:t>
      </w:r>
      <w:r w:rsidR="00F50A6F">
        <w:t xml:space="preserve"> through the 33cyc and 36cyc. 36cyc was chosen as optimum due to the better resolution between the red and green groups (several intermediates changed genotype call between the two). As the plates become ‘over-cycled’ (39cyc) t</w:t>
      </w:r>
      <w:r w:rsidR="00673610">
        <w:t>he blue cluster loses cohesion</w:t>
      </w:r>
      <w:r w:rsidR="00F50A6F">
        <w:t>, with a group moving up the plot towards the heterozygotes.</w:t>
      </w:r>
      <w:bookmarkEnd w:id="445"/>
    </w:p>
    <w:p w14:paraId="1363E693" w14:textId="2F1B40D9" w:rsidR="008F4167" w:rsidRDefault="008F4167" w:rsidP="008F4167">
      <w:pPr>
        <w:pStyle w:val="Heading3"/>
      </w:pPr>
      <w:bookmarkStart w:id="446" w:name="_Ref479744037"/>
      <w:bookmarkStart w:id="447" w:name="_Toc485721644"/>
      <w:bookmarkStart w:id="448" w:name="_Toc486787224"/>
      <w:bookmarkStart w:id="449" w:name="_Toc486787372"/>
      <w:r>
        <w:t>Diagnostic PCR development</w:t>
      </w:r>
      <w:bookmarkEnd w:id="446"/>
      <w:bookmarkEnd w:id="447"/>
      <w:bookmarkEnd w:id="448"/>
      <w:bookmarkEnd w:id="449"/>
    </w:p>
    <w:p w14:paraId="5097CF4F" w14:textId="0E427801" w:rsidR="008F4167" w:rsidRDefault="00510A2E" w:rsidP="00391005">
      <w:pPr>
        <w:pStyle w:val="ListParagraph"/>
      </w:pPr>
      <w:r>
        <w:t xml:space="preserve">In addition to the KASP assays used for large-scale genotyping, diagnostic PCR assays were also developed as these </w:t>
      </w:r>
      <w:r w:rsidR="009938BC">
        <w:t>are more suitable for the</w:t>
      </w:r>
      <w:r>
        <w:t xml:space="preserve"> </w:t>
      </w:r>
      <w:r w:rsidR="009938BC">
        <w:t>non-industrial genotyping</w:t>
      </w:r>
      <w:r>
        <w:t xml:space="preserve"> of smaller flocks. Of the twenty identified sites, ten already had published PCR assays</w:t>
      </w:r>
      <w:r w:rsidR="009938BC">
        <w:t>: ALVE1, ALVE3, ALVE9, ALVE15, ALVE21, ALVEB5, ALVE-TYR, ALVE-NSAC1 and ALVE-NSAC3</w:t>
      </w:r>
      <w:r>
        <w:t>. However, the original ALVE1 up</w:t>
      </w:r>
      <w:r w:rsidR="00BE6E0D">
        <w:t>stream</w:t>
      </w:r>
      <w:r>
        <w:t xml:space="preserve"> primer had a T</w:t>
      </w:r>
      <w:r>
        <w:rPr>
          <w:vertAlign w:val="subscript"/>
        </w:rPr>
        <w:t>m</w:t>
      </w:r>
      <w:r>
        <w:t xml:space="preserve"> of just 49.6°C which caused amplification problems for the longer PCR runs used in the ALVE sequencing (sections </w:t>
      </w:r>
      <w:r>
        <w:fldChar w:fldCharType="begin" w:fldLock="1"/>
      </w:r>
      <w:r>
        <w:instrText xml:space="preserve"> REF _Ref476745697 \r \h </w:instrText>
      </w:r>
      <w:r>
        <w:fldChar w:fldCharType="separate"/>
      </w:r>
      <w:r w:rsidR="002C549C">
        <w:t>5.2.4</w:t>
      </w:r>
      <w:r>
        <w:fldChar w:fldCharType="end"/>
      </w:r>
      <w:r>
        <w:t xml:space="preserve"> and </w:t>
      </w:r>
      <w:r>
        <w:fldChar w:fldCharType="begin" w:fldLock="1"/>
      </w:r>
      <w:r>
        <w:instrText xml:space="preserve"> REF _Ref476745718 \r \h </w:instrText>
      </w:r>
      <w:r>
        <w:fldChar w:fldCharType="separate"/>
      </w:r>
      <w:r w:rsidR="002C549C">
        <w:t>6.6</w:t>
      </w:r>
      <w:r>
        <w:fldChar w:fldCharType="end"/>
      </w:r>
      <w:r>
        <w:t>), so it was redesigned to give a T</w:t>
      </w:r>
      <w:r>
        <w:rPr>
          <w:vertAlign w:val="subscript"/>
        </w:rPr>
        <w:t>m</w:t>
      </w:r>
      <w:r>
        <w:rPr>
          <w:vertAlign w:val="subscript"/>
        </w:rPr>
        <w:softHyphen/>
      </w:r>
      <w:r>
        <w:t xml:space="preserve"> of 67.7°C.</w:t>
      </w:r>
    </w:p>
    <w:p w14:paraId="73069384" w14:textId="08070EDD" w:rsidR="00510A2E" w:rsidRDefault="008D71A6" w:rsidP="007B25F9">
      <w:pPr>
        <w:pStyle w:val="ListParagraph"/>
      </w:pPr>
      <w:r>
        <w:t>Twenty-eight new primers were designed for the remaining ten iden</w:t>
      </w:r>
      <w:r w:rsidR="006D642A">
        <w:t>tified ALVEs, with</w:t>
      </w:r>
      <w:r>
        <w:t xml:space="preserve"> </w:t>
      </w:r>
      <w:r w:rsidR="003D07C3">
        <w:t>ALVE_ros005</w:t>
      </w:r>
      <w:r>
        <w:t xml:space="preserve"> and </w:t>
      </w:r>
      <w:r w:rsidR="003D07C3">
        <w:t xml:space="preserve">ALVE_ros007 </w:t>
      </w:r>
      <w:r w:rsidR="006D642A">
        <w:t>having a two primer assay protocol</w:t>
      </w:r>
      <w:r>
        <w:t xml:space="preserve"> rather than </w:t>
      </w:r>
      <w:r w:rsidR="006D642A">
        <w:t xml:space="preserve">the standard </w:t>
      </w:r>
      <w:r>
        <w:t xml:space="preserve">three. When designing primers for </w:t>
      </w:r>
      <w:r w:rsidR="003D07C3">
        <w:t xml:space="preserve">ALVE_ros005 </w:t>
      </w:r>
      <w:r>
        <w:t>it was observed that read pairs were spanning the predicted insertion site, suggesting that</w:t>
      </w:r>
      <w:r w:rsidR="00D74BCB">
        <w:t xml:space="preserve"> it was a solo LTR like ALVE15</w:t>
      </w:r>
      <w:r>
        <w:t xml:space="preserve">. Concordantly, the same primers could amplify all three possible genotypes. An alternative, ‘insert’ primer was initially designed, but it became redundant following identification of the site as a solo LTR. </w:t>
      </w:r>
      <w:r w:rsidR="009E4449">
        <w:t xml:space="preserve">The </w:t>
      </w:r>
      <w:r w:rsidR="003D07C3">
        <w:t>ALVE_ros007</w:t>
      </w:r>
      <w:r w:rsidR="009E4449">
        <w:t xml:space="preserve"> design was inhibited by not knowing whether the insertion was always truncated and associated with the genomic deletion. Although the KASP assay worked on the assumption that individuals were either wildtype or had both the truncated insertion and genomic deletion at this locus, the PCR assay would po</w:t>
      </w:r>
      <w:r w:rsidR="004B695A">
        <w:t>tentially be used on lines where this was not the case, so</w:t>
      </w:r>
      <w:r w:rsidR="009E4449">
        <w:t xml:space="preserve"> band </w:t>
      </w:r>
    </w:p>
    <w:p w14:paraId="379BFD66" w14:textId="7F813631" w:rsidR="00A3327E" w:rsidRPr="000B30FB" w:rsidRDefault="00A3327E" w:rsidP="00A3327E">
      <w:pPr>
        <w:pStyle w:val="Caption"/>
      </w:pPr>
      <w:bookmarkStart w:id="450" w:name="_Ref479016310"/>
      <w:bookmarkStart w:id="451" w:name="_Toc486786328"/>
      <w:r>
        <w:lastRenderedPageBreak/>
        <w:t xml:space="preserve">Table </w:t>
      </w:r>
      <w:fldSimple w:instr=" STYLEREF 1 \s " w:fldLock="1">
        <w:r w:rsidR="002C549C">
          <w:rPr>
            <w:noProof/>
          </w:rPr>
          <w:t>6</w:t>
        </w:r>
      </w:fldSimple>
      <w:r w:rsidR="001167C6">
        <w:t>.</w:t>
      </w:r>
      <w:fldSimple w:instr=" SEQ Table \* ARABIC \s 1 " w:fldLock="1">
        <w:r w:rsidR="002C549C">
          <w:rPr>
            <w:noProof/>
          </w:rPr>
          <w:t>5</w:t>
        </w:r>
      </w:fldSimple>
      <w:bookmarkEnd w:id="450"/>
      <w:r>
        <w:t xml:space="preserve"> Primers used for the diagnostic Hy-Line-based PCR assays. For each element, the first sequence is the forward, upstream primer and the second is the reverse, downstream</w:t>
      </w:r>
      <w:r w:rsidR="00BE6E0D">
        <w:t xml:space="preserve"> primer. In three primer assays</w:t>
      </w:r>
      <w:r>
        <w:t xml:space="preserve"> the third primer is the alternative primer. Any </w:t>
      </w:r>
      <w:r w:rsidR="000B30FB">
        <w:t xml:space="preserve">original </w:t>
      </w:r>
      <w:r>
        <w:t xml:space="preserve">Benkel LTR primers are named (LTRA </w:t>
      </w:r>
      <w:r>
        <w:rPr>
          <w:i/>
        </w:rPr>
        <w:t>etc.</w:t>
      </w:r>
      <w:r>
        <w:t>). The papers for previously publis</w:t>
      </w:r>
      <w:r w:rsidR="000B30FB">
        <w:t xml:space="preserve">hed primers are numbered where: 1 = Benkel, 1998; 2 = Chang </w:t>
      </w:r>
      <w:r w:rsidR="000B30FB">
        <w:rPr>
          <w:i/>
        </w:rPr>
        <w:t>et al.</w:t>
      </w:r>
      <w:r w:rsidR="000B30FB">
        <w:t>, 2006; 3 = Smith &amp; Benkel, 2009; 4 = Smith &amp; Benkel, 2008.</w:t>
      </w:r>
      <w:bookmarkEnd w:id="451"/>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4252"/>
        <w:gridCol w:w="1276"/>
        <w:gridCol w:w="1276"/>
      </w:tblGrid>
      <w:tr w:rsidR="00A3327E" w14:paraId="651D32B7" w14:textId="77777777" w:rsidTr="00A3327E">
        <w:trPr>
          <w:trHeight w:val="515"/>
        </w:trPr>
        <w:tc>
          <w:tcPr>
            <w:tcW w:w="1418" w:type="dxa"/>
            <w:tcBorders>
              <w:top w:val="single" w:sz="4" w:space="0" w:color="auto"/>
              <w:bottom w:val="single" w:sz="4" w:space="0" w:color="auto"/>
            </w:tcBorders>
            <w:vAlign w:val="center"/>
          </w:tcPr>
          <w:p w14:paraId="0F7767DD" w14:textId="77777777" w:rsidR="00A3327E" w:rsidRDefault="00A3327E" w:rsidP="00A3327E">
            <w:pPr>
              <w:pStyle w:val="Tablecontent"/>
            </w:pPr>
            <w:r>
              <w:t>Name</w:t>
            </w:r>
          </w:p>
        </w:tc>
        <w:tc>
          <w:tcPr>
            <w:tcW w:w="4252" w:type="dxa"/>
            <w:tcBorders>
              <w:top w:val="single" w:sz="4" w:space="0" w:color="auto"/>
              <w:bottom w:val="single" w:sz="4" w:space="0" w:color="auto"/>
            </w:tcBorders>
            <w:vAlign w:val="center"/>
          </w:tcPr>
          <w:p w14:paraId="72D851E3" w14:textId="01DAF94D" w:rsidR="00A3327E" w:rsidRDefault="00A3327E" w:rsidP="00A3327E">
            <w:pPr>
              <w:pStyle w:val="Tablecontent"/>
            </w:pPr>
            <w:r>
              <w:t>Primers</w:t>
            </w:r>
          </w:p>
        </w:tc>
        <w:tc>
          <w:tcPr>
            <w:tcW w:w="1276" w:type="dxa"/>
            <w:tcBorders>
              <w:top w:val="single" w:sz="4" w:space="0" w:color="auto"/>
              <w:bottom w:val="single" w:sz="4" w:space="0" w:color="auto"/>
            </w:tcBorders>
            <w:vAlign w:val="center"/>
          </w:tcPr>
          <w:p w14:paraId="6FCA720A" w14:textId="2C07D78F" w:rsidR="00A3327E" w:rsidRDefault="00A3327E" w:rsidP="00A3327E">
            <w:pPr>
              <w:pStyle w:val="Tablecontent"/>
              <w:jc w:val="center"/>
            </w:pPr>
            <w:r>
              <w:t>ALVE+ (bp)</w:t>
            </w:r>
          </w:p>
        </w:tc>
        <w:tc>
          <w:tcPr>
            <w:tcW w:w="1276" w:type="dxa"/>
            <w:tcBorders>
              <w:top w:val="single" w:sz="4" w:space="0" w:color="auto"/>
              <w:bottom w:val="single" w:sz="4" w:space="0" w:color="auto"/>
            </w:tcBorders>
            <w:vAlign w:val="center"/>
          </w:tcPr>
          <w:p w14:paraId="4485DE25" w14:textId="2145B74F" w:rsidR="00A3327E" w:rsidRDefault="00A3327E" w:rsidP="00A3327E">
            <w:pPr>
              <w:pStyle w:val="Tablecontent"/>
              <w:jc w:val="center"/>
            </w:pPr>
            <w:r>
              <w:t>ALVE– (bp)</w:t>
            </w:r>
          </w:p>
        </w:tc>
      </w:tr>
      <w:tr w:rsidR="00A3327E" w14:paraId="71043180" w14:textId="77777777" w:rsidTr="00A3327E">
        <w:tc>
          <w:tcPr>
            <w:tcW w:w="1418" w:type="dxa"/>
            <w:tcBorders>
              <w:top w:val="single" w:sz="4" w:space="0" w:color="auto"/>
            </w:tcBorders>
          </w:tcPr>
          <w:p w14:paraId="2C2F8035" w14:textId="77777777" w:rsidR="00A3327E" w:rsidRDefault="00A3327E" w:rsidP="00A3327E">
            <w:pPr>
              <w:pStyle w:val="Tablecontent"/>
            </w:pPr>
            <w:r w:rsidRPr="00850E0E">
              <w:t>ALVEB5</w:t>
            </w:r>
          </w:p>
        </w:tc>
        <w:tc>
          <w:tcPr>
            <w:tcW w:w="4252" w:type="dxa"/>
            <w:tcBorders>
              <w:top w:val="single" w:sz="4" w:space="0" w:color="auto"/>
            </w:tcBorders>
            <w:vAlign w:val="center"/>
          </w:tcPr>
          <w:p w14:paraId="5BB1C88C" w14:textId="77777777" w:rsidR="00A3327E" w:rsidRDefault="00A3327E" w:rsidP="00A3327E">
            <w:pPr>
              <w:pStyle w:val="Tablecontent"/>
            </w:pPr>
            <w:r>
              <w:t>5'-CAGTCATATATCCGAATGTTTAAGTCT (1)</w:t>
            </w:r>
          </w:p>
          <w:p w14:paraId="4E679247" w14:textId="77777777" w:rsidR="00A3327E" w:rsidRDefault="00A3327E" w:rsidP="00A3327E">
            <w:pPr>
              <w:pStyle w:val="Tablecontent"/>
            </w:pPr>
            <w:r>
              <w:t>5'-GGAGCCATAATTTCATAATGAA (1)</w:t>
            </w:r>
          </w:p>
          <w:p w14:paraId="3556300B" w14:textId="76638B73" w:rsidR="00A3327E" w:rsidRDefault="00A3327E" w:rsidP="00A3327E">
            <w:pPr>
              <w:pStyle w:val="Tablecontent"/>
            </w:pPr>
            <w:r>
              <w:t>5'-CGCCCATATGTCCTTGCGTC (LTRD; 1)</w:t>
            </w:r>
          </w:p>
        </w:tc>
        <w:tc>
          <w:tcPr>
            <w:tcW w:w="1276" w:type="dxa"/>
            <w:tcBorders>
              <w:top w:val="single" w:sz="4" w:space="0" w:color="auto"/>
            </w:tcBorders>
          </w:tcPr>
          <w:p w14:paraId="467DF814" w14:textId="7243CCE4" w:rsidR="00A3327E" w:rsidRDefault="00A3327E" w:rsidP="00A3327E">
            <w:pPr>
              <w:pStyle w:val="Tablecontent"/>
              <w:jc w:val="center"/>
            </w:pPr>
            <w:r>
              <w:t xml:space="preserve">   </w:t>
            </w:r>
            <w:r w:rsidRPr="007616EE">
              <w:t>123</w:t>
            </w:r>
          </w:p>
        </w:tc>
        <w:tc>
          <w:tcPr>
            <w:tcW w:w="1276" w:type="dxa"/>
            <w:tcBorders>
              <w:top w:val="single" w:sz="4" w:space="0" w:color="auto"/>
            </w:tcBorders>
          </w:tcPr>
          <w:p w14:paraId="69A2E830" w14:textId="08F6974E" w:rsidR="00A3327E" w:rsidRDefault="00A3327E" w:rsidP="00A3327E">
            <w:pPr>
              <w:pStyle w:val="Tablecontent"/>
              <w:jc w:val="center"/>
            </w:pPr>
            <w:r>
              <w:t xml:space="preserve">   </w:t>
            </w:r>
            <w:r w:rsidRPr="007616EE">
              <w:t>241</w:t>
            </w:r>
          </w:p>
        </w:tc>
      </w:tr>
      <w:tr w:rsidR="00A3327E" w14:paraId="6BCDDB1B" w14:textId="77777777" w:rsidTr="00A3327E">
        <w:tc>
          <w:tcPr>
            <w:tcW w:w="1418" w:type="dxa"/>
          </w:tcPr>
          <w:p w14:paraId="48EBE7C5" w14:textId="77777777" w:rsidR="00A3327E" w:rsidRDefault="00A3327E" w:rsidP="00A3327E">
            <w:pPr>
              <w:pStyle w:val="Tablecontent"/>
            </w:pPr>
            <w:r w:rsidRPr="00850E0E">
              <w:t>ALVE1</w:t>
            </w:r>
          </w:p>
        </w:tc>
        <w:tc>
          <w:tcPr>
            <w:tcW w:w="4252" w:type="dxa"/>
            <w:vAlign w:val="center"/>
          </w:tcPr>
          <w:p w14:paraId="1C2DE5F7" w14:textId="77777777" w:rsidR="00A3327E" w:rsidRDefault="00A3327E" w:rsidP="00A3327E">
            <w:pPr>
              <w:pStyle w:val="Tablecontent"/>
            </w:pPr>
            <w:r>
              <w:t>5'-CGGTTATAATGAGGGTTGTGCTTTTC</w:t>
            </w:r>
          </w:p>
          <w:p w14:paraId="27DC0701" w14:textId="77777777" w:rsidR="00A3327E" w:rsidRDefault="00A3327E" w:rsidP="00A3327E">
            <w:pPr>
              <w:pStyle w:val="Tablecontent"/>
            </w:pPr>
            <w:r>
              <w:t>5'-GCACCAAACAATCTAGTCTGTGC (1)</w:t>
            </w:r>
          </w:p>
          <w:p w14:paraId="1D275C8A" w14:textId="3F0575C6" w:rsidR="00A3327E" w:rsidRPr="00A062CC" w:rsidRDefault="00A3327E" w:rsidP="00A3327E">
            <w:pPr>
              <w:pStyle w:val="Tablecontent"/>
            </w:pPr>
            <w:r>
              <w:t>5'-CCTGAATGAAGCAGAAGGCTTC (LTRA; 1)</w:t>
            </w:r>
          </w:p>
        </w:tc>
        <w:tc>
          <w:tcPr>
            <w:tcW w:w="1276" w:type="dxa"/>
          </w:tcPr>
          <w:p w14:paraId="0A15EA29" w14:textId="77583112" w:rsidR="00A3327E" w:rsidRPr="00A062CC" w:rsidRDefault="00A3327E" w:rsidP="00A3327E">
            <w:pPr>
              <w:pStyle w:val="Tablecontent"/>
              <w:jc w:val="center"/>
            </w:pPr>
            <w:r>
              <w:t xml:space="preserve">   </w:t>
            </w:r>
            <w:r w:rsidRPr="007616EE">
              <w:t>260</w:t>
            </w:r>
          </w:p>
        </w:tc>
        <w:tc>
          <w:tcPr>
            <w:tcW w:w="1276" w:type="dxa"/>
          </w:tcPr>
          <w:p w14:paraId="05C4DA13" w14:textId="054D581C" w:rsidR="00A3327E" w:rsidRPr="00A062CC" w:rsidRDefault="00A3327E" w:rsidP="00A3327E">
            <w:pPr>
              <w:pStyle w:val="Tablecontent"/>
              <w:jc w:val="center"/>
            </w:pPr>
            <w:r>
              <w:t xml:space="preserve">   </w:t>
            </w:r>
            <w:r w:rsidRPr="007616EE">
              <w:t>368</w:t>
            </w:r>
          </w:p>
        </w:tc>
      </w:tr>
      <w:tr w:rsidR="00A3327E" w14:paraId="2C7DAB1C" w14:textId="77777777" w:rsidTr="00A3327E">
        <w:tc>
          <w:tcPr>
            <w:tcW w:w="1418" w:type="dxa"/>
          </w:tcPr>
          <w:p w14:paraId="535B8BE0" w14:textId="77777777" w:rsidR="00A3327E" w:rsidRDefault="00A3327E" w:rsidP="00A3327E">
            <w:pPr>
              <w:pStyle w:val="Tablecontent"/>
            </w:pPr>
            <w:r w:rsidRPr="00850E0E">
              <w:t>ALVE-ros001</w:t>
            </w:r>
          </w:p>
        </w:tc>
        <w:tc>
          <w:tcPr>
            <w:tcW w:w="4252" w:type="dxa"/>
            <w:vAlign w:val="center"/>
          </w:tcPr>
          <w:p w14:paraId="4F530EBE" w14:textId="77777777" w:rsidR="00A3327E" w:rsidRDefault="00A3327E" w:rsidP="00A3327E">
            <w:pPr>
              <w:pStyle w:val="Tablecontent"/>
            </w:pPr>
            <w:r>
              <w:t>5'-TTCCTCTCAGGTCTTCTTGGCG</w:t>
            </w:r>
          </w:p>
          <w:p w14:paraId="406974B4" w14:textId="77777777" w:rsidR="00A3327E" w:rsidRDefault="00A3327E" w:rsidP="00A3327E">
            <w:pPr>
              <w:pStyle w:val="Tablecontent"/>
            </w:pPr>
            <w:r>
              <w:t>5'-TGCCCTACGTATGACAATGCTG</w:t>
            </w:r>
          </w:p>
          <w:p w14:paraId="7A11EDF5" w14:textId="28AEE386" w:rsidR="00A3327E" w:rsidRPr="00A062CC" w:rsidRDefault="00A3327E" w:rsidP="00A3327E">
            <w:pPr>
              <w:pStyle w:val="Tablecontent"/>
            </w:pPr>
            <w:r>
              <w:t>5'-AACGATTGCGAACACCTGAATG</w:t>
            </w:r>
          </w:p>
        </w:tc>
        <w:tc>
          <w:tcPr>
            <w:tcW w:w="1276" w:type="dxa"/>
          </w:tcPr>
          <w:p w14:paraId="1CE2CB30" w14:textId="3EB0B154" w:rsidR="00A3327E" w:rsidRPr="00A062CC" w:rsidRDefault="00A3327E" w:rsidP="00A3327E">
            <w:pPr>
              <w:pStyle w:val="Tablecontent"/>
              <w:jc w:val="center"/>
            </w:pPr>
            <w:r>
              <w:t xml:space="preserve">   </w:t>
            </w:r>
            <w:r w:rsidRPr="007616EE">
              <w:t>275</w:t>
            </w:r>
          </w:p>
        </w:tc>
        <w:tc>
          <w:tcPr>
            <w:tcW w:w="1276" w:type="dxa"/>
          </w:tcPr>
          <w:p w14:paraId="4399BB97" w14:textId="2D6BAF0C" w:rsidR="00A3327E" w:rsidRPr="00A062CC" w:rsidRDefault="00A3327E" w:rsidP="00A3327E">
            <w:pPr>
              <w:pStyle w:val="Tablecontent"/>
              <w:jc w:val="center"/>
            </w:pPr>
            <w:r>
              <w:t xml:space="preserve">   </w:t>
            </w:r>
            <w:r w:rsidRPr="007616EE">
              <w:t>460</w:t>
            </w:r>
          </w:p>
        </w:tc>
      </w:tr>
      <w:tr w:rsidR="00A3327E" w14:paraId="27234E8B" w14:textId="77777777" w:rsidTr="00A3327E">
        <w:tc>
          <w:tcPr>
            <w:tcW w:w="1418" w:type="dxa"/>
          </w:tcPr>
          <w:p w14:paraId="6C1A20AB" w14:textId="77777777" w:rsidR="00A3327E" w:rsidRDefault="00A3327E" w:rsidP="00A3327E">
            <w:pPr>
              <w:pStyle w:val="Tablecontent"/>
            </w:pPr>
            <w:r w:rsidRPr="00850E0E">
              <w:t>ALVE-ros002</w:t>
            </w:r>
          </w:p>
        </w:tc>
        <w:tc>
          <w:tcPr>
            <w:tcW w:w="4252" w:type="dxa"/>
            <w:vAlign w:val="center"/>
          </w:tcPr>
          <w:p w14:paraId="30A903DE" w14:textId="77777777" w:rsidR="00A3327E" w:rsidRDefault="00A3327E" w:rsidP="00A3327E">
            <w:pPr>
              <w:pStyle w:val="Tablecontent"/>
            </w:pPr>
            <w:r>
              <w:t>5'-TCAGCAGCAACAGAAATCCAGC</w:t>
            </w:r>
          </w:p>
          <w:p w14:paraId="5F06259A" w14:textId="77777777" w:rsidR="00A3327E" w:rsidRDefault="00A3327E" w:rsidP="00A3327E">
            <w:pPr>
              <w:pStyle w:val="Tablecontent"/>
            </w:pPr>
            <w:r>
              <w:t>5'-CAAGACCCACCTGGATGCCTAC</w:t>
            </w:r>
          </w:p>
          <w:p w14:paraId="4164359C" w14:textId="09DD6981" w:rsidR="00A3327E" w:rsidRPr="00A062CC" w:rsidRDefault="00A3327E" w:rsidP="00A3327E">
            <w:pPr>
              <w:pStyle w:val="Tablecontent"/>
            </w:pPr>
            <w:r>
              <w:t>5'-GGCTATTCAAGTTGCCTCTGGC</w:t>
            </w:r>
          </w:p>
        </w:tc>
        <w:tc>
          <w:tcPr>
            <w:tcW w:w="1276" w:type="dxa"/>
          </w:tcPr>
          <w:p w14:paraId="3C697451" w14:textId="4A40595E" w:rsidR="00A3327E" w:rsidRPr="00A062CC" w:rsidRDefault="00A3327E" w:rsidP="00A3327E">
            <w:pPr>
              <w:pStyle w:val="Tablecontent"/>
              <w:jc w:val="center"/>
            </w:pPr>
            <w:r>
              <w:t xml:space="preserve">   </w:t>
            </w:r>
            <w:r w:rsidRPr="007616EE">
              <w:t>270</w:t>
            </w:r>
          </w:p>
        </w:tc>
        <w:tc>
          <w:tcPr>
            <w:tcW w:w="1276" w:type="dxa"/>
          </w:tcPr>
          <w:p w14:paraId="34A02EAE" w14:textId="47FBB7FA" w:rsidR="00A3327E" w:rsidRPr="00A062CC" w:rsidRDefault="00A3327E" w:rsidP="00A3327E">
            <w:pPr>
              <w:pStyle w:val="Tablecontent"/>
              <w:jc w:val="center"/>
            </w:pPr>
            <w:r>
              <w:t xml:space="preserve">   </w:t>
            </w:r>
            <w:r w:rsidRPr="007616EE">
              <w:t>361</w:t>
            </w:r>
          </w:p>
        </w:tc>
      </w:tr>
      <w:tr w:rsidR="00A3327E" w14:paraId="5CFD763A" w14:textId="77777777" w:rsidTr="00A3327E">
        <w:tc>
          <w:tcPr>
            <w:tcW w:w="1418" w:type="dxa"/>
          </w:tcPr>
          <w:p w14:paraId="1088F427" w14:textId="77777777" w:rsidR="00A3327E" w:rsidRDefault="00A3327E" w:rsidP="00A3327E">
            <w:pPr>
              <w:pStyle w:val="Tablecontent"/>
            </w:pPr>
            <w:r w:rsidRPr="00850E0E">
              <w:t>ALVE-ros003</w:t>
            </w:r>
          </w:p>
        </w:tc>
        <w:tc>
          <w:tcPr>
            <w:tcW w:w="4252" w:type="dxa"/>
            <w:vAlign w:val="center"/>
          </w:tcPr>
          <w:p w14:paraId="6EAABFB8" w14:textId="77777777" w:rsidR="00A3327E" w:rsidRDefault="00A3327E" w:rsidP="00A3327E">
            <w:pPr>
              <w:pStyle w:val="Tablecontent"/>
            </w:pPr>
            <w:r>
              <w:t>5'-TCTCACAAACCCCACAGGTGTC</w:t>
            </w:r>
          </w:p>
          <w:p w14:paraId="2789E87C" w14:textId="77777777" w:rsidR="00A3327E" w:rsidRDefault="00A3327E" w:rsidP="00A3327E">
            <w:pPr>
              <w:pStyle w:val="Tablecontent"/>
            </w:pPr>
            <w:r>
              <w:t>5'-TTTGTCATCTCTGTGCCCTTGG</w:t>
            </w:r>
          </w:p>
          <w:p w14:paraId="710B44D9" w14:textId="70A8B396" w:rsidR="00A3327E" w:rsidRPr="00A062CC" w:rsidRDefault="00A3327E" w:rsidP="00A3327E">
            <w:pPr>
              <w:pStyle w:val="Tablecontent"/>
            </w:pPr>
            <w:r>
              <w:t>5'-GTTGCCTCTGGCTCTATTTGAC</w:t>
            </w:r>
          </w:p>
        </w:tc>
        <w:tc>
          <w:tcPr>
            <w:tcW w:w="1276" w:type="dxa"/>
          </w:tcPr>
          <w:p w14:paraId="585D1A03" w14:textId="640D590D" w:rsidR="00A3327E" w:rsidRPr="00A062CC" w:rsidRDefault="00A3327E" w:rsidP="00A3327E">
            <w:pPr>
              <w:pStyle w:val="Tablecontent"/>
              <w:jc w:val="center"/>
            </w:pPr>
            <w:r>
              <w:t xml:space="preserve">   </w:t>
            </w:r>
            <w:r w:rsidRPr="007616EE">
              <w:t>186</w:t>
            </w:r>
          </w:p>
        </w:tc>
        <w:tc>
          <w:tcPr>
            <w:tcW w:w="1276" w:type="dxa"/>
          </w:tcPr>
          <w:p w14:paraId="06BBD590" w14:textId="5D6B66D6" w:rsidR="00A3327E" w:rsidRPr="00A062CC" w:rsidRDefault="00A3327E" w:rsidP="00A3327E">
            <w:pPr>
              <w:pStyle w:val="Tablecontent"/>
              <w:jc w:val="center"/>
            </w:pPr>
            <w:r>
              <w:t xml:space="preserve">   </w:t>
            </w:r>
            <w:r w:rsidRPr="007616EE">
              <w:t>498</w:t>
            </w:r>
          </w:p>
        </w:tc>
      </w:tr>
      <w:tr w:rsidR="00A3327E" w14:paraId="74FBA429" w14:textId="77777777" w:rsidTr="00A3327E">
        <w:tc>
          <w:tcPr>
            <w:tcW w:w="1418" w:type="dxa"/>
          </w:tcPr>
          <w:p w14:paraId="02AD6F48" w14:textId="77777777" w:rsidR="00A3327E" w:rsidRDefault="00A3327E" w:rsidP="00A3327E">
            <w:pPr>
              <w:pStyle w:val="Tablecontent"/>
            </w:pPr>
            <w:r w:rsidRPr="00850E0E">
              <w:t>ALVE-TYR</w:t>
            </w:r>
          </w:p>
        </w:tc>
        <w:tc>
          <w:tcPr>
            <w:tcW w:w="4252" w:type="dxa"/>
            <w:vAlign w:val="center"/>
          </w:tcPr>
          <w:p w14:paraId="575CCDF7" w14:textId="77777777" w:rsidR="00A3327E" w:rsidRDefault="00A3327E" w:rsidP="00A3327E">
            <w:pPr>
              <w:pStyle w:val="Tablecontent"/>
            </w:pPr>
            <w:r>
              <w:t>5'-TTGAGATACTGGAGGTCTTTAGAAATG (2)</w:t>
            </w:r>
          </w:p>
          <w:p w14:paraId="1E5658E5" w14:textId="77777777" w:rsidR="00A3327E" w:rsidRDefault="00A3327E" w:rsidP="00A3327E">
            <w:pPr>
              <w:pStyle w:val="Tablecontent"/>
            </w:pPr>
            <w:r>
              <w:t>5'-CAAAACCATAAATAGCACTGGAAATAG (2)</w:t>
            </w:r>
          </w:p>
          <w:p w14:paraId="5292D953" w14:textId="719D0CB3" w:rsidR="00A3327E" w:rsidRPr="00A062CC" w:rsidRDefault="00A3327E" w:rsidP="00A3327E">
            <w:pPr>
              <w:pStyle w:val="Tablecontent"/>
            </w:pPr>
            <w:r>
              <w:t>5'-CCTCTGGCTCTATTTGACTACACAGT</w:t>
            </w:r>
          </w:p>
        </w:tc>
        <w:tc>
          <w:tcPr>
            <w:tcW w:w="1276" w:type="dxa"/>
          </w:tcPr>
          <w:p w14:paraId="66A81986" w14:textId="3D840AEB" w:rsidR="00A3327E" w:rsidRPr="00A062CC" w:rsidRDefault="00A3327E" w:rsidP="00A3327E">
            <w:pPr>
              <w:pStyle w:val="Tablecontent"/>
              <w:jc w:val="center"/>
            </w:pPr>
            <w:r>
              <w:t xml:space="preserve">   </w:t>
            </w:r>
            <w:r w:rsidRPr="007616EE">
              <w:t>345</w:t>
            </w:r>
          </w:p>
        </w:tc>
        <w:tc>
          <w:tcPr>
            <w:tcW w:w="1276" w:type="dxa"/>
          </w:tcPr>
          <w:p w14:paraId="59E80863" w14:textId="277226FB" w:rsidR="00A3327E" w:rsidRPr="00A062CC" w:rsidRDefault="00A3327E" w:rsidP="00A3327E">
            <w:pPr>
              <w:pStyle w:val="Tablecontent"/>
              <w:jc w:val="center"/>
            </w:pPr>
            <w:r>
              <w:t xml:space="preserve">   </w:t>
            </w:r>
            <w:r w:rsidRPr="007616EE">
              <w:t>481</w:t>
            </w:r>
          </w:p>
        </w:tc>
      </w:tr>
      <w:tr w:rsidR="00A3327E" w14:paraId="273A5B02" w14:textId="77777777" w:rsidTr="00A3327E">
        <w:tc>
          <w:tcPr>
            <w:tcW w:w="1418" w:type="dxa"/>
          </w:tcPr>
          <w:p w14:paraId="74D5BA85" w14:textId="77777777" w:rsidR="00A3327E" w:rsidRDefault="00A3327E" w:rsidP="00A3327E">
            <w:pPr>
              <w:pStyle w:val="Tablecontent"/>
            </w:pPr>
            <w:r w:rsidRPr="00850E0E">
              <w:t>ALVE-NSAC1</w:t>
            </w:r>
          </w:p>
        </w:tc>
        <w:tc>
          <w:tcPr>
            <w:tcW w:w="4252" w:type="dxa"/>
            <w:vAlign w:val="center"/>
          </w:tcPr>
          <w:p w14:paraId="11CA95B4" w14:textId="77777777" w:rsidR="00A3327E" w:rsidRDefault="00A3327E" w:rsidP="00A3327E">
            <w:pPr>
              <w:pStyle w:val="Tablecontent"/>
            </w:pPr>
            <w:r>
              <w:t>5'-GGTTTGGAGAGCGTTAGCAG (4)</w:t>
            </w:r>
          </w:p>
          <w:p w14:paraId="23DDCC12" w14:textId="77777777" w:rsidR="00A3327E" w:rsidRDefault="00A3327E" w:rsidP="00A3327E">
            <w:pPr>
              <w:pStyle w:val="Tablecontent"/>
            </w:pPr>
            <w:r>
              <w:t>5'-TGACGTCTGTTTTCCCATGA (4)</w:t>
            </w:r>
          </w:p>
          <w:p w14:paraId="46616372" w14:textId="0EEA926D" w:rsidR="00A3327E" w:rsidRPr="00A062CC" w:rsidRDefault="00A3327E" w:rsidP="00A3327E">
            <w:pPr>
              <w:pStyle w:val="Tablecontent"/>
            </w:pPr>
            <w:r>
              <w:t>5'-TGTAGTCAAATAGAGCCAGAGG (LTRC; 1)</w:t>
            </w:r>
          </w:p>
        </w:tc>
        <w:tc>
          <w:tcPr>
            <w:tcW w:w="1276" w:type="dxa"/>
          </w:tcPr>
          <w:p w14:paraId="2130F23E" w14:textId="088B5CF9" w:rsidR="00A3327E" w:rsidRPr="00A062CC" w:rsidRDefault="00A3327E" w:rsidP="00A3327E">
            <w:pPr>
              <w:pStyle w:val="Tablecontent"/>
              <w:jc w:val="center"/>
            </w:pPr>
            <w:r>
              <w:t xml:space="preserve">   </w:t>
            </w:r>
            <w:r w:rsidRPr="007616EE">
              <w:t>340</w:t>
            </w:r>
          </w:p>
        </w:tc>
        <w:tc>
          <w:tcPr>
            <w:tcW w:w="1276" w:type="dxa"/>
          </w:tcPr>
          <w:p w14:paraId="6DCA0897" w14:textId="559EBBA3" w:rsidR="00A3327E" w:rsidRPr="00A062CC" w:rsidRDefault="00A3327E" w:rsidP="00A3327E">
            <w:pPr>
              <w:pStyle w:val="Tablecontent"/>
              <w:jc w:val="center"/>
            </w:pPr>
            <w:r>
              <w:t xml:space="preserve">   </w:t>
            </w:r>
            <w:r w:rsidRPr="007616EE">
              <w:t>519</w:t>
            </w:r>
          </w:p>
        </w:tc>
      </w:tr>
      <w:tr w:rsidR="00A3327E" w14:paraId="52470DCA" w14:textId="77777777" w:rsidTr="00A3327E">
        <w:tc>
          <w:tcPr>
            <w:tcW w:w="1418" w:type="dxa"/>
          </w:tcPr>
          <w:p w14:paraId="04C22563" w14:textId="77777777" w:rsidR="00A3327E" w:rsidRDefault="00A3327E" w:rsidP="00A3327E">
            <w:pPr>
              <w:pStyle w:val="Tablecontent"/>
            </w:pPr>
            <w:r w:rsidRPr="00850E0E">
              <w:t>ALVE-ros004</w:t>
            </w:r>
          </w:p>
        </w:tc>
        <w:tc>
          <w:tcPr>
            <w:tcW w:w="4252" w:type="dxa"/>
            <w:vAlign w:val="center"/>
          </w:tcPr>
          <w:p w14:paraId="68AF5266" w14:textId="77777777" w:rsidR="00A3327E" w:rsidRDefault="00A3327E" w:rsidP="00A3327E">
            <w:pPr>
              <w:pStyle w:val="Tablecontent"/>
            </w:pPr>
            <w:r>
              <w:t>5'-CTAAGTAGCTGTCATCCCCACC</w:t>
            </w:r>
          </w:p>
          <w:p w14:paraId="28F90FF6" w14:textId="77777777" w:rsidR="00A3327E" w:rsidRDefault="00A3327E" w:rsidP="00A3327E">
            <w:pPr>
              <w:pStyle w:val="Tablecontent"/>
            </w:pPr>
            <w:r>
              <w:t>5'-AAAGTGTTTCCAGCAGTTTTCC</w:t>
            </w:r>
          </w:p>
          <w:p w14:paraId="2720E949" w14:textId="75E62256" w:rsidR="00A3327E" w:rsidRPr="00A062CC" w:rsidRDefault="00A3327E" w:rsidP="00A3327E">
            <w:pPr>
              <w:pStyle w:val="Tablecontent"/>
            </w:pPr>
            <w:r>
              <w:t>5'-AAGTTGCCTCTGGCTCTATTTGAC</w:t>
            </w:r>
          </w:p>
        </w:tc>
        <w:tc>
          <w:tcPr>
            <w:tcW w:w="1276" w:type="dxa"/>
          </w:tcPr>
          <w:p w14:paraId="34A25057" w14:textId="6BA43B88" w:rsidR="00A3327E" w:rsidRPr="00A062CC" w:rsidRDefault="00A3327E" w:rsidP="00A3327E">
            <w:pPr>
              <w:pStyle w:val="Tablecontent"/>
              <w:jc w:val="center"/>
            </w:pPr>
            <w:r>
              <w:t xml:space="preserve">   </w:t>
            </w:r>
            <w:r w:rsidRPr="007616EE">
              <w:t>273</w:t>
            </w:r>
          </w:p>
        </w:tc>
        <w:tc>
          <w:tcPr>
            <w:tcW w:w="1276" w:type="dxa"/>
          </w:tcPr>
          <w:p w14:paraId="51F0E3A2" w14:textId="030444E9" w:rsidR="00A3327E" w:rsidRPr="00A062CC" w:rsidRDefault="00A3327E" w:rsidP="00A3327E">
            <w:pPr>
              <w:pStyle w:val="Tablecontent"/>
              <w:jc w:val="center"/>
            </w:pPr>
            <w:r>
              <w:t xml:space="preserve">   </w:t>
            </w:r>
            <w:r w:rsidRPr="007616EE">
              <w:t>336</w:t>
            </w:r>
          </w:p>
        </w:tc>
      </w:tr>
      <w:tr w:rsidR="00A3327E" w14:paraId="53E15B16" w14:textId="77777777" w:rsidTr="00A3327E">
        <w:tc>
          <w:tcPr>
            <w:tcW w:w="1418" w:type="dxa"/>
          </w:tcPr>
          <w:p w14:paraId="0AE8CCFC" w14:textId="77777777" w:rsidR="00A3327E" w:rsidRDefault="00A3327E" w:rsidP="00A3327E">
            <w:pPr>
              <w:pStyle w:val="Tablecontent"/>
            </w:pPr>
            <w:r w:rsidRPr="00850E0E">
              <w:t>ALVE-ros005</w:t>
            </w:r>
          </w:p>
        </w:tc>
        <w:tc>
          <w:tcPr>
            <w:tcW w:w="4252" w:type="dxa"/>
            <w:vAlign w:val="center"/>
          </w:tcPr>
          <w:p w14:paraId="01DE13D7" w14:textId="77777777" w:rsidR="00A3327E" w:rsidRDefault="00A3327E" w:rsidP="00A3327E">
            <w:pPr>
              <w:pStyle w:val="Tablecontent"/>
            </w:pPr>
            <w:r>
              <w:t>5'-TGGGGAAGTTGTGCTTTTCCAC</w:t>
            </w:r>
          </w:p>
          <w:p w14:paraId="200CA7C8" w14:textId="3FABC71E" w:rsidR="00A3327E" w:rsidRPr="00A062CC" w:rsidRDefault="00A3327E" w:rsidP="00A3327E">
            <w:pPr>
              <w:pStyle w:val="Tablecontent"/>
            </w:pPr>
            <w:r>
              <w:t>5'-TCTTTGCAACACAGCTTGGGAG</w:t>
            </w:r>
          </w:p>
        </w:tc>
        <w:tc>
          <w:tcPr>
            <w:tcW w:w="1276" w:type="dxa"/>
          </w:tcPr>
          <w:p w14:paraId="208D5B08" w14:textId="11B45085" w:rsidR="00A3327E" w:rsidRPr="00A062CC" w:rsidRDefault="00A3327E" w:rsidP="00A3327E">
            <w:pPr>
              <w:pStyle w:val="Tablecontent"/>
              <w:jc w:val="center"/>
            </w:pPr>
            <w:r>
              <w:t xml:space="preserve">   </w:t>
            </w:r>
            <w:r w:rsidRPr="007616EE">
              <w:t>668</w:t>
            </w:r>
          </w:p>
        </w:tc>
        <w:tc>
          <w:tcPr>
            <w:tcW w:w="1276" w:type="dxa"/>
          </w:tcPr>
          <w:p w14:paraId="69E9FE4C" w14:textId="42FF2222" w:rsidR="00A3327E" w:rsidRPr="00A062CC" w:rsidRDefault="00A3327E" w:rsidP="00A3327E">
            <w:pPr>
              <w:pStyle w:val="Tablecontent"/>
              <w:jc w:val="center"/>
            </w:pPr>
            <w:r>
              <w:t xml:space="preserve">   </w:t>
            </w:r>
            <w:r w:rsidRPr="007616EE">
              <w:t>388</w:t>
            </w:r>
          </w:p>
        </w:tc>
      </w:tr>
      <w:tr w:rsidR="00A3327E" w14:paraId="49192277" w14:textId="77777777" w:rsidTr="00A3327E">
        <w:tc>
          <w:tcPr>
            <w:tcW w:w="1418" w:type="dxa"/>
          </w:tcPr>
          <w:p w14:paraId="07703E80" w14:textId="77777777" w:rsidR="00A3327E" w:rsidRDefault="00A3327E" w:rsidP="00A3327E">
            <w:pPr>
              <w:pStyle w:val="Tablecontent"/>
            </w:pPr>
            <w:r w:rsidRPr="00850E0E">
              <w:t>ALVE-NSAC3</w:t>
            </w:r>
          </w:p>
        </w:tc>
        <w:tc>
          <w:tcPr>
            <w:tcW w:w="4252" w:type="dxa"/>
            <w:vAlign w:val="center"/>
          </w:tcPr>
          <w:p w14:paraId="6F47AF44" w14:textId="77777777" w:rsidR="00A3327E" w:rsidRDefault="00A3327E" w:rsidP="00A3327E">
            <w:pPr>
              <w:pStyle w:val="Tablecontent"/>
            </w:pPr>
            <w:r>
              <w:t>5'-TGCTATCTCCCTGCTCATTTG (3)</w:t>
            </w:r>
          </w:p>
          <w:p w14:paraId="2C1BB1A0" w14:textId="77777777" w:rsidR="00A3327E" w:rsidRDefault="00A3327E" w:rsidP="00A3327E">
            <w:pPr>
              <w:pStyle w:val="Tablecontent"/>
            </w:pPr>
            <w:r>
              <w:t>5'-CACCCAGATCCTTTTCCTCA (3)</w:t>
            </w:r>
          </w:p>
          <w:p w14:paraId="781A705D" w14:textId="3D7A0C96" w:rsidR="00A3327E" w:rsidRPr="00A062CC" w:rsidRDefault="00A3327E" w:rsidP="00A3327E">
            <w:pPr>
              <w:pStyle w:val="Tablecontent"/>
            </w:pPr>
            <w:r>
              <w:lastRenderedPageBreak/>
              <w:t>5'-GAGTCCCTAACGATTGCGAACAC (LTRF; 1)</w:t>
            </w:r>
          </w:p>
        </w:tc>
        <w:tc>
          <w:tcPr>
            <w:tcW w:w="1276" w:type="dxa"/>
          </w:tcPr>
          <w:p w14:paraId="2955A502" w14:textId="4AE71907" w:rsidR="00A3327E" w:rsidRPr="00A062CC" w:rsidRDefault="00A3327E" w:rsidP="00A3327E">
            <w:pPr>
              <w:pStyle w:val="Tablecontent"/>
              <w:jc w:val="center"/>
            </w:pPr>
            <w:r>
              <w:lastRenderedPageBreak/>
              <w:t xml:space="preserve">   </w:t>
            </w:r>
            <w:r w:rsidRPr="007616EE">
              <w:t>163</w:t>
            </w:r>
          </w:p>
        </w:tc>
        <w:tc>
          <w:tcPr>
            <w:tcW w:w="1276" w:type="dxa"/>
          </w:tcPr>
          <w:p w14:paraId="55A81611" w14:textId="599CA147" w:rsidR="00A3327E" w:rsidRPr="00A062CC" w:rsidRDefault="00A3327E" w:rsidP="00A3327E">
            <w:pPr>
              <w:pStyle w:val="Tablecontent"/>
              <w:jc w:val="center"/>
            </w:pPr>
            <w:r>
              <w:t xml:space="preserve">   </w:t>
            </w:r>
            <w:r w:rsidRPr="007616EE">
              <w:t>500</w:t>
            </w:r>
          </w:p>
        </w:tc>
      </w:tr>
      <w:tr w:rsidR="00A3327E" w14:paraId="39B9141E" w14:textId="77777777" w:rsidTr="00A3327E">
        <w:tc>
          <w:tcPr>
            <w:tcW w:w="1418" w:type="dxa"/>
          </w:tcPr>
          <w:p w14:paraId="644C1894" w14:textId="77777777" w:rsidR="00A3327E" w:rsidRDefault="00A3327E" w:rsidP="00A3327E">
            <w:pPr>
              <w:pStyle w:val="Tablecontent"/>
            </w:pPr>
            <w:r w:rsidRPr="00850E0E">
              <w:t>ALVE-ros006</w:t>
            </w:r>
          </w:p>
        </w:tc>
        <w:tc>
          <w:tcPr>
            <w:tcW w:w="4252" w:type="dxa"/>
            <w:vAlign w:val="center"/>
          </w:tcPr>
          <w:p w14:paraId="7C68CB65" w14:textId="77777777" w:rsidR="00A3327E" w:rsidRDefault="00A3327E" w:rsidP="00A3327E">
            <w:pPr>
              <w:pStyle w:val="Tablecontent"/>
            </w:pPr>
            <w:r>
              <w:t>5'-TAACTTCTCTTCCAGCCTCAGC</w:t>
            </w:r>
          </w:p>
          <w:p w14:paraId="5B4FCC9D" w14:textId="77777777" w:rsidR="00A3327E" w:rsidRDefault="00A3327E" w:rsidP="00A3327E">
            <w:pPr>
              <w:pStyle w:val="Tablecontent"/>
            </w:pPr>
            <w:r>
              <w:t>5'-TTTTTCAAGGAGCAGAAAATCC</w:t>
            </w:r>
          </w:p>
          <w:p w14:paraId="5657CE70" w14:textId="1F6984AB" w:rsidR="00A3327E" w:rsidRPr="00A062CC" w:rsidRDefault="00A3327E" w:rsidP="00A3327E">
            <w:pPr>
              <w:pStyle w:val="Tablecontent"/>
            </w:pPr>
            <w:r>
              <w:t>5'-GAACCCCTAAATGAAGCTGAAG</w:t>
            </w:r>
          </w:p>
        </w:tc>
        <w:tc>
          <w:tcPr>
            <w:tcW w:w="1276" w:type="dxa"/>
          </w:tcPr>
          <w:p w14:paraId="01979561" w14:textId="303D422F" w:rsidR="00A3327E" w:rsidRPr="00A062CC" w:rsidRDefault="00A3327E" w:rsidP="00A3327E">
            <w:pPr>
              <w:pStyle w:val="Tablecontent"/>
              <w:jc w:val="center"/>
            </w:pPr>
            <w:r>
              <w:t xml:space="preserve">   </w:t>
            </w:r>
            <w:r w:rsidRPr="007616EE">
              <w:t>333</w:t>
            </w:r>
          </w:p>
        </w:tc>
        <w:tc>
          <w:tcPr>
            <w:tcW w:w="1276" w:type="dxa"/>
          </w:tcPr>
          <w:p w14:paraId="2F4A52ED" w14:textId="09F4CA7F" w:rsidR="00A3327E" w:rsidRPr="00A062CC" w:rsidRDefault="00A3327E" w:rsidP="00A3327E">
            <w:pPr>
              <w:pStyle w:val="Tablecontent"/>
              <w:jc w:val="center"/>
            </w:pPr>
            <w:r>
              <w:t xml:space="preserve">   </w:t>
            </w:r>
            <w:r w:rsidRPr="007616EE">
              <w:t>417</w:t>
            </w:r>
          </w:p>
        </w:tc>
      </w:tr>
      <w:tr w:rsidR="00A3327E" w14:paraId="1347BBB6" w14:textId="77777777" w:rsidTr="00A3327E">
        <w:tc>
          <w:tcPr>
            <w:tcW w:w="1418" w:type="dxa"/>
          </w:tcPr>
          <w:p w14:paraId="0C459B51" w14:textId="77777777" w:rsidR="00A3327E" w:rsidRDefault="00A3327E" w:rsidP="00A3327E">
            <w:pPr>
              <w:pStyle w:val="Tablecontent"/>
            </w:pPr>
            <w:r w:rsidRPr="00850E0E">
              <w:t>ALVE15</w:t>
            </w:r>
          </w:p>
        </w:tc>
        <w:tc>
          <w:tcPr>
            <w:tcW w:w="4252" w:type="dxa"/>
            <w:vAlign w:val="center"/>
          </w:tcPr>
          <w:p w14:paraId="13433F67" w14:textId="77777777" w:rsidR="00A3327E" w:rsidRDefault="00A3327E" w:rsidP="00A3327E">
            <w:pPr>
              <w:pStyle w:val="Tablecontent"/>
            </w:pPr>
            <w:r>
              <w:t>5'-CAAATGAGGGTAATAAGGGAG (1)</w:t>
            </w:r>
          </w:p>
          <w:p w14:paraId="656432CA" w14:textId="15E40D5A" w:rsidR="00A3327E" w:rsidRPr="00A062CC" w:rsidRDefault="00A3327E" w:rsidP="00A3327E">
            <w:pPr>
              <w:pStyle w:val="Tablecontent"/>
            </w:pPr>
            <w:r>
              <w:t>5'-CACTACCAAATATAATTCTGTAG (1)</w:t>
            </w:r>
          </w:p>
        </w:tc>
        <w:tc>
          <w:tcPr>
            <w:tcW w:w="1276" w:type="dxa"/>
          </w:tcPr>
          <w:p w14:paraId="4FFD4A58" w14:textId="4340D7BD" w:rsidR="00A3327E" w:rsidRPr="00A062CC" w:rsidRDefault="00A3327E" w:rsidP="00A3327E">
            <w:pPr>
              <w:pStyle w:val="Tablecontent"/>
              <w:jc w:val="center"/>
            </w:pPr>
            <w:r>
              <w:t xml:space="preserve">   </w:t>
            </w:r>
            <w:r w:rsidRPr="007616EE">
              <w:t>460</w:t>
            </w:r>
          </w:p>
        </w:tc>
        <w:tc>
          <w:tcPr>
            <w:tcW w:w="1276" w:type="dxa"/>
          </w:tcPr>
          <w:p w14:paraId="4319FF70" w14:textId="1E506851" w:rsidR="00A3327E" w:rsidRPr="00A062CC" w:rsidRDefault="00A3327E" w:rsidP="00A3327E">
            <w:pPr>
              <w:pStyle w:val="Tablecontent"/>
              <w:jc w:val="center"/>
            </w:pPr>
            <w:r>
              <w:t xml:space="preserve">   </w:t>
            </w:r>
            <w:r w:rsidRPr="007616EE">
              <w:t>180</w:t>
            </w:r>
          </w:p>
        </w:tc>
      </w:tr>
      <w:tr w:rsidR="00A3327E" w14:paraId="0007C1DF" w14:textId="77777777" w:rsidTr="00A3327E">
        <w:tc>
          <w:tcPr>
            <w:tcW w:w="1418" w:type="dxa"/>
          </w:tcPr>
          <w:p w14:paraId="41F900B8" w14:textId="77777777" w:rsidR="00A3327E" w:rsidRDefault="00A3327E" w:rsidP="00A3327E">
            <w:pPr>
              <w:pStyle w:val="Tablecontent"/>
            </w:pPr>
            <w:r w:rsidRPr="00850E0E">
              <w:t>ALVE-ros007</w:t>
            </w:r>
          </w:p>
        </w:tc>
        <w:tc>
          <w:tcPr>
            <w:tcW w:w="4252" w:type="dxa"/>
            <w:vAlign w:val="center"/>
          </w:tcPr>
          <w:p w14:paraId="5C20603E" w14:textId="77777777" w:rsidR="00A3327E" w:rsidRDefault="00A3327E" w:rsidP="00A3327E">
            <w:pPr>
              <w:pStyle w:val="Tablecontent"/>
            </w:pPr>
            <w:r>
              <w:t>5'-TCAGCATAAAACCACAGCAAAG</w:t>
            </w:r>
          </w:p>
          <w:p w14:paraId="089D7740" w14:textId="61190183" w:rsidR="00A3327E" w:rsidRPr="00A062CC" w:rsidRDefault="00A3327E" w:rsidP="00A3327E">
            <w:pPr>
              <w:pStyle w:val="Tablecontent"/>
            </w:pPr>
            <w:r>
              <w:t>5'-GTGGATTTTGGGCTACTTTCAG</w:t>
            </w:r>
          </w:p>
        </w:tc>
        <w:tc>
          <w:tcPr>
            <w:tcW w:w="1276" w:type="dxa"/>
          </w:tcPr>
          <w:p w14:paraId="1BF49503" w14:textId="0280A2FC" w:rsidR="00A3327E" w:rsidRPr="00A062CC" w:rsidRDefault="00A3327E" w:rsidP="00A3327E">
            <w:pPr>
              <w:pStyle w:val="Tablecontent"/>
              <w:jc w:val="center"/>
            </w:pPr>
            <w:r w:rsidRPr="007616EE">
              <w:t>1</w:t>
            </w:r>
            <w:r>
              <w:t>,</w:t>
            </w:r>
            <w:r w:rsidRPr="007616EE">
              <w:t>970</w:t>
            </w:r>
          </w:p>
        </w:tc>
        <w:tc>
          <w:tcPr>
            <w:tcW w:w="1276" w:type="dxa"/>
          </w:tcPr>
          <w:p w14:paraId="110567DD" w14:textId="583D3715" w:rsidR="00A3327E" w:rsidRPr="00A062CC" w:rsidRDefault="00A3327E" w:rsidP="00A3327E">
            <w:pPr>
              <w:pStyle w:val="Tablecontent"/>
              <w:jc w:val="center"/>
            </w:pPr>
            <w:r w:rsidRPr="007616EE">
              <w:t>2</w:t>
            </w:r>
            <w:r>
              <w:t>,</w:t>
            </w:r>
            <w:r w:rsidRPr="007616EE">
              <w:t>511</w:t>
            </w:r>
          </w:p>
        </w:tc>
      </w:tr>
      <w:tr w:rsidR="00A3327E" w14:paraId="3A1B2F57" w14:textId="77777777" w:rsidTr="00A3327E">
        <w:tc>
          <w:tcPr>
            <w:tcW w:w="1418" w:type="dxa"/>
          </w:tcPr>
          <w:p w14:paraId="44A53D5C" w14:textId="77777777" w:rsidR="00A3327E" w:rsidRDefault="00A3327E" w:rsidP="00A3327E">
            <w:pPr>
              <w:pStyle w:val="Tablecontent"/>
            </w:pPr>
            <w:r w:rsidRPr="00850E0E">
              <w:t>ALVE-ros008</w:t>
            </w:r>
          </w:p>
        </w:tc>
        <w:tc>
          <w:tcPr>
            <w:tcW w:w="4252" w:type="dxa"/>
            <w:vAlign w:val="center"/>
          </w:tcPr>
          <w:p w14:paraId="49E36465" w14:textId="77777777" w:rsidR="00A3327E" w:rsidRDefault="00A3327E" w:rsidP="00A3327E">
            <w:pPr>
              <w:pStyle w:val="Tablecontent"/>
            </w:pPr>
            <w:r>
              <w:t>5'-GCACAGAGAAGGATATGTGCTG</w:t>
            </w:r>
          </w:p>
          <w:p w14:paraId="338F6044" w14:textId="77777777" w:rsidR="00A3327E" w:rsidRDefault="00A3327E" w:rsidP="00A3327E">
            <w:pPr>
              <w:pStyle w:val="Tablecontent"/>
            </w:pPr>
            <w:r>
              <w:t>5'-CTGTAAAAGAATCCCATGCCTC</w:t>
            </w:r>
          </w:p>
          <w:p w14:paraId="122FD8DA" w14:textId="1E6CE7EC" w:rsidR="00A3327E" w:rsidRPr="00A062CC" w:rsidRDefault="00A3327E" w:rsidP="00A3327E">
            <w:pPr>
              <w:pStyle w:val="Tablecontent"/>
            </w:pPr>
            <w:r>
              <w:t>5'-GACTATTCAAGTTGCCTCTGGCTC</w:t>
            </w:r>
          </w:p>
        </w:tc>
        <w:tc>
          <w:tcPr>
            <w:tcW w:w="1276" w:type="dxa"/>
          </w:tcPr>
          <w:p w14:paraId="509EEFEC" w14:textId="4CFF6EB4" w:rsidR="00A3327E" w:rsidRPr="00A062CC" w:rsidRDefault="00A3327E" w:rsidP="00A3327E">
            <w:pPr>
              <w:pStyle w:val="Tablecontent"/>
              <w:jc w:val="center"/>
            </w:pPr>
            <w:r>
              <w:t xml:space="preserve">   </w:t>
            </w:r>
            <w:r w:rsidRPr="007616EE">
              <w:t>336</w:t>
            </w:r>
          </w:p>
        </w:tc>
        <w:tc>
          <w:tcPr>
            <w:tcW w:w="1276" w:type="dxa"/>
          </w:tcPr>
          <w:p w14:paraId="7C670A92" w14:textId="38A25CA1" w:rsidR="00A3327E" w:rsidRPr="00A062CC" w:rsidRDefault="00A3327E" w:rsidP="00A3327E">
            <w:pPr>
              <w:pStyle w:val="Tablecontent"/>
              <w:jc w:val="center"/>
            </w:pPr>
            <w:r>
              <w:t xml:space="preserve">   </w:t>
            </w:r>
            <w:r w:rsidRPr="007616EE">
              <w:t>428</w:t>
            </w:r>
          </w:p>
        </w:tc>
      </w:tr>
      <w:tr w:rsidR="00A3327E" w14:paraId="4C614A85" w14:textId="77777777" w:rsidTr="00A3327E">
        <w:tc>
          <w:tcPr>
            <w:tcW w:w="1418" w:type="dxa"/>
          </w:tcPr>
          <w:p w14:paraId="3FF3EE47" w14:textId="77777777" w:rsidR="00A3327E" w:rsidRDefault="00A3327E" w:rsidP="00A3327E">
            <w:pPr>
              <w:pStyle w:val="Tablecontent"/>
            </w:pPr>
            <w:r w:rsidRPr="00850E0E">
              <w:t>ALVE-ros009</w:t>
            </w:r>
          </w:p>
        </w:tc>
        <w:tc>
          <w:tcPr>
            <w:tcW w:w="4252" w:type="dxa"/>
            <w:vAlign w:val="center"/>
          </w:tcPr>
          <w:p w14:paraId="72F190D2" w14:textId="77777777" w:rsidR="00A3327E" w:rsidRDefault="00A3327E" w:rsidP="00A3327E">
            <w:pPr>
              <w:pStyle w:val="Tablecontent"/>
            </w:pPr>
            <w:r>
              <w:t>5'-ACAGCCTCTCTGGACAACCTGG</w:t>
            </w:r>
          </w:p>
          <w:p w14:paraId="384DCEF0" w14:textId="77777777" w:rsidR="00A3327E" w:rsidRDefault="00A3327E" w:rsidP="00A3327E">
            <w:pPr>
              <w:pStyle w:val="Tablecontent"/>
            </w:pPr>
            <w:r>
              <w:t>5'-GCCCATGTCAAACATCATCAGG</w:t>
            </w:r>
          </w:p>
          <w:p w14:paraId="0C08F330" w14:textId="1C089067" w:rsidR="00A3327E" w:rsidRPr="00A062CC" w:rsidRDefault="00A3327E" w:rsidP="00A3327E">
            <w:pPr>
              <w:pStyle w:val="Tablecontent"/>
            </w:pPr>
            <w:r>
              <w:t>5'-TGTTTTTCCCTTATTTGGTCTTCAG</w:t>
            </w:r>
          </w:p>
        </w:tc>
        <w:tc>
          <w:tcPr>
            <w:tcW w:w="1276" w:type="dxa"/>
          </w:tcPr>
          <w:p w14:paraId="4E66204C" w14:textId="63C2CD3E" w:rsidR="00A3327E" w:rsidRPr="00A062CC" w:rsidRDefault="00A3327E" w:rsidP="00A3327E">
            <w:pPr>
              <w:pStyle w:val="Tablecontent"/>
              <w:jc w:val="center"/>
            </w:pPr>
            <w:r>
              <w:t xml:space="preserve">   </w:t>
            </w:r>
            <w:r w:rsidRPr="007616EE">
              <w:t>248</w:t>
            </w:r>
          </w:p>
        </w:tc>
        <w:tc>
          <w:tcPr>
            <w:tcW w:w="1276" w:type="dxa"/>
          </w:tcPr>
          <w:p w14:paraId="3EF1F5BA" w14:textId="67CDE851" w:rsidR="00A3327E" w:rsidRPr="00A062CC" w:rsidRDefault="00A3327E" w:rsidP="00A3327E">
            <w:pPr>
              <w:pStyle w:val="Tablecontent"/>
              <w:jc w:val="center"/>
            </w:pPr>
            <w:r>
              <w:t xml:space="preserve">   </w:t>
            </w:r>
            <w:r w:rsidRPr="007616EE">
              <w:t>366</w:t>
            </w:r>
          </w:p>
        </w:tc>
      </w:tr>
      <w:tr w:rsidR="00A3327E" w14:paraId="467E7E98" w14:textId="77777777" w:rsidTr="00A3327E">
        <w:tc>
          <w:tcPr>
            <w:tcW w:w="1418" w:type="dxa"/>
          </w:tcPr>
          <w:p w14:paraId="4B74AFED" w14:textId="77777777" w:rsidR="00A3327E" w:rsidRDefault="00A3327E" w:rsidP="00A3327E">
            <w:pPr>
              <w:pStyle w:val="Tablecontent"/>
            </w:pPr>
            <w:r w:rsidRPr="00850E0E">
              <w:t>ALVE9</w:t>
            </w:r>
          </w:p>
        </w:tc>
        <w:tc>
          <w:tcPr>
            <w:tcW w:w="4252" w:type="dxa"/>
            <w:vAlign w:val="center"/>
          </w:tcPr>
          <w:p w14:paraId="0A34BBEB" w14:textId="77777777" w:rsidR="00A3327E" w:rsidRDefault="00A3327E" w:rsidP="00A3327E">
            <w:pPr>
              <w:pStyle w:val="Tablecontent"/>
            </w:pPr>
            <w:r>
              <w:t>5'-CATTCTCCATGCACCTGAAGTG (1)</w:t>
            </w:r>
          </w:p>
          <w:p w14:paraId="2419E3AA" w14:textId="77777777" w:rsidR="00A3327E" w:rsidRDefault="00A3327E" w:rsidP="00A3327E">
            <w:pPr>
              <w:pStyle w:val="Tablecontent"/>
            </w:pPr>
            <w:r>
              <w:t>5'-TAGTGCACATATAATTTCAGATGAGTT (1)</w:t>
            </w:r>
          </w:p>
          <w:p w14:paraId="568DE83E" w14:textId="103FBA91" w:rsidR="00A3327E" w:rsidRPr="00A062CC" w:rsidRDefault="00A3327E" w:rsidP="00A3327E">
            <w:pPr>
              <w:pStyle w:val="Tablecontent"/>
            </w:pPr>
            <w:r>
              <w:t>5'-ACCTGAATGAAGCTGAAGGCTTC (LTRB; 1)</w:t>
            </w:r>
          </w:p>
        </w:tc>
        <w:tc>
          <w:tcPr>
            <w:tcW w:w="1276" w:type="dxa"/>
          </w:tcPr>
          <w:p w14:paraId="1D1387DD" w14:textId="70158BBE" w:rsidR="00A3327E" w:rsidRPr="00A062CC" w:rsidRDefault="00A3327E" w:rsidP="00A3327E">
            <w:pPr>
              <w:pStyle w:val="Tablecontent"/>
              <w:jc w:val="center"/>
            </w:pPr>
            <w:r>
              <w:t xml:space="preserve">   </w:t>
            </w:r>
            <w:r w:rsidRPr="007616EE">
              <w:t>115</w:t>
            </w:r>
          </w:p>
        </w:tc>
        <w:tc>
          <w:tcPr>
            <w:tcW w:w="1276" w:type="dxa"/>
          </w:tcPr>
          <w:p w14:paraId="114FEDFF" w14:textId="24024EDB" w:rsidR="00A3327E" w:rsidRPr="00A062CC" w:rsidRDefault="00A3327E" w:rsidP="00A3327E">
            <w:pPr>
              <w:pStyle w:val="Tablecontent"/>
              <w:jc w:val="center"/>
            </w:pPr>
            <w:r>
              <w:t xml:space="preserve">   </w:t>
            </w:r>
            <w:r w:rsidRPr="007616EE">
              <w:t>450</w:t>
            </w:r>
          </w:p>
        </w:tc>
      </w:tr>
      <w:tr w:rsidR="00A3327E" w14:paraId="1A307FE4" w14:textId="77777777" w:rsidTr="00A3327E">
        <w:tc>
          <w:tcPr>
            <w:tcW w:w="1418" w:type="dxa"/>
          </w:tcPr>
          <w:p w14:paraId="7DCB731E" w14:textId="77777777" w:rsidR="00A3327E" w:rsidRDefault="00A3327E" w:rsidP="00A3327E">
            <w:pPr>
              <w:pStyle w:val="Tablecontent"/>
            </w:pPr>
            <w:r w:rsidRPr="00850E0E">
              <w:t>ALVE-NSAC7</w:t>
            </w:r>
          </w:p>
        </w:tc>
        <w:tc>
          <w:tcPr>
            <w:tcW w:w="4252" w:type="dxa"/>
            <w:vAlign w:val="center"/>
          </w:tcPr>
          <w:p w14:paraId="33DE43F5" w14:textId="77777777" w:rsidR="00A3327E" w:rsidRDefault="00A3327E" w:rsidP="00A3327E">
            <w:pPr>
              <w:pStyle w:val="Tablecontent"/>
            </w:pPr>
            <w:r>
              <w:t>5'-ACACCATCTCCATACACTTCCC</w:t>
            </w:r>
          </w:p>
          <w:p w14:paraId="70E1EA8A" w14:textId="77777777" w:rsidR="00A3327E" w:rsidRDefault="00A3327E" w:rsidP="00A3327E">
            <w:pPr>
              <w:pStyle w:val="Tablecontent"/>
            </w:pPr>
            <w:r>
              <w:t>5'-GAAATGCACGTAAGCACAAAAG</w:t>
            </w:r>
          </w:p>
          <w:p w14:paraId="010C474E" w14:textId="25EF967D" w:rsidR="00A3327E" w:rsidRPr="00A062CC" w:rsidRDefault="00A3327E" w:rsidP="00A3327E">
            <w:pPr>
              <w:pStyle w:val="Tablecontent"/>
            </w:pPr>
            <w:r>
              <w:t>5'-TGAATGAAGCAGAAGGCTTCAGAG</w:t>
            </w:r>
          </w:p>
        </w:tc>
        <w:tc>
          <w:tcPr>
            <w:tcW w:w="1276" w:type="dxa"/>
          </w:tcPr>
          <w:p w14:paraId="4F18231F" w14:textId="39F4B515" w:rsidR="00A3327E" w:rsidRPr="00A062CC" w:rsidRDefault="00A3327E" w:rsidP="00A3327E">
            <w:pPr>
              <w:pStyle w:val="Tablecontent"/>
              <w:jc w:val="center"/>
            </w:pPr>
            <w:r>
              <w:t xml:space="preserve">   </w:t>
            </w:r>
            <w:r w:rsidRPr="007616EE">
              <w:t>172</w:t>
            </w:r>
          </w:p>
        </w:tc>
        <w:tc>
          <w:tcPr>
            <w:tcW w:w="1276" w:type="dxa"/>
          </w:tcPr>
          <w:p w14:paraId="6C084768" w14:textId="09329ADC" w:rsidR="00A3327E" w:rsidRPr="00A062CC" w:rsidRDefault="00A3327E" w:rsidP="00A3327E">
            <w:pPr>
              <w:pStyle w:val="Tablecontent"/>
              <w:jc w:val="center"/>
            </w:pPr>
            <w:r>
              <w:t xml:space="preserve">   </w:t>
            </w:r>
            <w:r w:rsidRPr="007616EE">
              <w:t>288</w:t>
            </w:r>
          </w:p>
        </w:tc>
      </w:tr>
      <w:tr w:rsidR="00A3327E" w14:paraId="7E230121" w14:textId="77777777" w:rsidTr="00A3327E">
        <w:tc>
          <w:tcPr>
            <w:tcW w:w="1418" w:type="dxa"/>
          </w:tcPr>
          <w:p w14:paraId="51A70A38" w14:textId="77777777" w:rsidR="00A3327E" w:rsidRDefault="00A3327E" w:rsidP="00A3327E">
            <w:pPr>
              <w:pStyle w:val="Tablecontent"/>
            </w:pPr>
            <w:r w:rsidRPr="00850E0E">
              <w:t>ALVE-ros010</w:t>
            </w:r>
          </w:p>
        </w:tc>
        <w:tc>
          <w:tcPr>
            <w:tcW w:w="4252" w:type="dxa"/>
            <w:vAlign w:val="center"/>
          </w:tcPr>
          <w:p w14:paraId="25C65D2D" w14:textId="77777777" w:rsidR="00A3327E" w:rsidRDefault="00A3327E" w:rsidP="00A3327E">
            <w:pPr>
              <w:pStyle w:val="Tablecontent"/>
            </w:pPr>
            <w:r>
              <w:t>5'-CCAAGCTCTGAACATACACTGC</w:t>
            </w:r>
          </w:p>
          <w:p w14:paraId="45F14922" w14:textId="77777777" w:rsidR="00A3327E" w:rsidRDefault="00A3327E" w:rsidP="00A3327E">
            <w:pPr>
              <w:pStyle w:val="Tablecontent"/>
            </w:pPr>
            <w:r>
              <w:t>5'-CTGGGTAACAGAAGAGTGGTCC</w:t>
            </w:r>
          </w:p>
          <w:p w14:paraId="103FEF9F" w14:textId="548F899F" w:rsidR="00A3327E" w:rsidRPr="00A062CC" w:rsidRDefault="00A3327E" w:rsidP="00A3327E">
            <w:pPr>
              <w:pStyle w:val="Tablecontent"/>
            </w:pPr>
            <w:r>
              <w:t>5'-CTAACGATTGCGAACACCTGAATG</w:t>
            </w:r>
          </w:p>
        </w:tc>
        <w:tc>
          <w:tcPr>
            <w:tcW w:w="1276" w:type="dxa"/>
          </w:tcPr>
          <w:p w14:paraId="7FD8621A" w14:textId="2EFED28A" w:rsidR="00A3327E" w:rsidRPr="00A062CC" w:rsidRDefault="00A3327E" w:rsidP="00A3327E">
            <w:pPr>
              <w:pStyle w:val="Tablecontent"/>
              <w:jc w:val="center"/>
            </w:pPr>
            <w:r>
              <w:t xml:space="preserve">   </w:t>
            </w:r>
            <w:r w:rsidRPr="007616EE">
              <w:t>228</w:t>
            </w:r>
          </w:p>
        </w:tc>
        <w:tc>
          <w:tcPr>
            <w:tcW w:w="1276" w:type="dxa"/>
          </w:tcPr>
          <w:p w14:paraId="2B387A41" w14:textId="10B1AD7F" w:rsidR="00A3327E" w:rsidRPr="00A062CC" w:rsidRDefault="00A3327E" w:rsidP="00A3327E">
            <w:pPr>
              <w:pStyle w:val="Tablecontent"/>
              <w:jc w:val="center"/>
            </w:pPr>
            <w:r>
              <w:t xml:space="preserve">   </w:t>
            </w:r>
            <w:r w:rsidRPr="007616EE">
              <w:t>433</w:t>
            </w:r>
          </w:p>
        </w:tc>
      </w:tr>
      <w:tr w:rsidR="00A3327E" w14:paraId="49052094" w14:textId="77777777" w:rsidTr="00A3327E">
        <w:tc>
          <w:tcPr>
            <w:tcW w:w="1418" w:type="dxa"/>
          </w:tcPr>
          <w:p w14:paraId="1FEF4DFE" w14:textId="77777777" w:rsidR="00A3327E" w:rsidRDefault="00A3327E" w:rsidP="00A3327E">
            <w:pPr>
              <w:pStyle w:val="Tablecontent"/>
            </w:pPr>
            <w:r w:rsidRPr="00850E0E">
              <w:t>ALVE3</w:t>
            </w:r>
          </w:p>
        </w:tc>
        <w:tc>
          <w:tcPr>
            <w:tcW w:w="4252" w:type="dxa"/>
            <w:vAlign w:val="center"/>
          </w:tcPr>
          <w:p w14:paraId="42592EBD" w14:textId="77777777" w:rsidR="00A3327E" w:rsidRDefault="00A3327E" w:rsidP="00A3327E">
            <w:pPr>
              <w:pStyle w:val="Tablecontent"/>
            </w:pPr>
            <w:r>
              <w:t>5'-GAAATGCCTGCCCCATGCCAGTG (1)</w:t>
            </w:r>
          </w:p>
          <w:p w14:paraId="7262CFB0" w14:textId="1B105506" w:rsidR="00A3327E" w:rsidRDefault="00A3327E" w:rsidP="00A3327E">
            <w:pPr>
              <w:pStyle w:val="Tablecontent"/>
            </w:pPr>
            <w:r>
              <w:t>5'-CTTCTCCAGCTTCAGTGACGC (1)</w:t>
            </w:r>
          </w:p>
          <w:p w14:paraId="3A8FDE9E" w14:textId="53C69AA2" w:rsidR="00A3327E" w:rsidRPr="00A062CC" w:rsidRDefault="00A3327E" w:rsidP="00A3327E">
            <w:pPr>
              <w:pStyle w:val="Tablecontent"/>
            </w:pPr>
            <w:r>
              <w:t>5'-CCTGAATGAAGCAGAAGGCTTC (LTRA; 1)</w:t>
            </w:r>
          </w:p>
        </w:tc>
        <w:tc>
          <w:tcPr>
            <w:tcW w:w="1276" w:type="dxa"/>
          </w:tcPr>
          <w:p w14:paraId="3C5C28F8" w14:textId="041B284E" w:rsidR="00A3327E" w:rsidRPr="00A062CC" w:rsidRDefault="00A3327E" w:rsidP="00A3327E">
            <w:pPr>
              <w:pStyle w:val="Tablecontent"/>
              <w:jc w:val="center"/>
            </w:pPr>
            <w:r>
              <w:t xml:space="preserve">   </w:t>
            </w:r>
            <w:r w:rsidRPr="007616EE">
              <w:t>190</w:t>
            </w:r>
          </w:p>
        </w:tc>
        <w:tc>
          <w:tcPr>
            <w:tcW w:w="1276" w:type="dxa"/>
          </w:tcPr>
          <w:p w14:paraId="369C7634" w14:textId="028CF975" w:rsidR="00A3327E" w:rsidRPr="00A062CC" w:rsidRDefault="00A3327E" w:rsidP="00A3327E">
            <w:pPr>
              <w:pStyle w:val="Tablecontent"/>
              <w:jc w:val="center"/>
            </w:pPr>
            <w:r>
              <w:t xml:space="preserve">   </w:t>
            </w:r>
            <w:r w:rsidRPr="007616EE">
              <w:t>270</w:t>
            </w:r>
          </w:p>
        </w:tc>
      </w:tr>
      <w:tr w:rsidR="00A3327E" w14:paraId="1D1900CE" w14:textId="77777777" w:rsidTr="00A3327E">
        <w:tc>
          <w:tcPr>
            <w:tcW w:w="1418" w:type="dxa"/>
            <w:tcBorders>
              <w:bottom w:val="single" w:sz="4" w:space="0" w:color="auto"/>
            </w:tcBorders>
          </w:tcPr>
          <w:p w14:paraId="64BF9E03" w14:textId="77777777" w:rsidR="00A3327E" w:rsidRDefault="00A3327E" w:rsidP="00A3327E">
            <w:pPr>
              <w:pStyle w:val="Tablecontent"/>
            </w:pPr>
            <w:r w:rsidRPr="00850E0E">
              <w:t>ALVE21</w:t>
            </w:r>
          </w:p>
        </w:tc>
        <w:tc>
          <w:tcPr>
            <w:tcW w:w="4252" w:type="dxa"/>
            <w:tcBorders>
              <w:bottom w:val="single" w:sz="4" w:space="0" w:color="auto"/>
            </w:tcBorders>
            <w:vAlign w:val="center"/>
          </w:tcPr>
          <w:p w14:paraId="6192D655" w14:textId="77777777" w:rsidR="00A3327E" w:rsidRDefault="00A3327E" w:rsidP="00A3327E">
            <w:pPr>
              <w:pStyle w:val="Tablecontent"/>
            </w:pPr>
            <w:r>
              <w:t>5'-CATTTCAAGCAAGGGACTGGC (1)</w:t>
            </w:r>
          </w:p>
          <w:p w14:paraId="593552B2" w14:textId="77777777" w:rsidR="00A3327E" w:rsidRDefault="00A3327E" w:rsidP="00A3327E">
            <w:pPr>
              <w:pStyle w:val="Tablecontent"/>
            </w:pPr>
            <w:r>
              <w:t>5'-GTGGGAATGGTACTACAGAGAAGG (1)</w:t>
            </w:r>
          </w:p>
          <w:p w14:paraId="261DC789" w14:textId="6DB24C01" w:rsidR="00A3327E" w:rsidRPr="00A062CC" w:rsidRDefault="00A3327E" w:rsidP="00A3327E">
            <w:pPr>
              <w:pStyle w:val="Tablecontent"/>
            </w:pPr>
            <w:r>
              <w:t>5'-ACCTGAATGAAGCTGAAGGCTTC (LTRB; 1)</w:t>
            </w:r>
          </w:p>
        </w:tc>
        <w:tc>
          <w:tcPr>
            <w:tcW w:w="1276" w:type="dxa"/>
            <w:tcBorders>
              <w:bottom w:val="single" w:sz="4" w:space="0" w:color="auto"/>
            </w:tcBorders>
          </w:tcPr>
          <w:p w14:paraId="5F7CA291" w14:textId="0AC07067" w:rsidR="00A3327E" w:rsidRPr="00A062CC" w:rsidRDefault="00A3327E" w:rsidP="00A3327E">
            <w:pPr>
              <w:pStyle w:val="Tablecontent"/>
              <w:jc w:val="center"/>
            </w:pPr>
            <w:r>
              <w:t xml:space="preserve">   </w:t>
            </w:r>
            <w:r w:rsidRPr="007616EE">
              <w:t>390</w:t>
            </w:r>
          </w:p>
        </w:tc>
        <w:tc>
          <w:tcPr>
            <w:tcW w:w="1276" w:type="dxa"/>
            <w:tcBorders>
              <w:bottom w:val="single" w:sz="4" w:space="0" w:color="auto"/>
            </w:tcBorders>
          </w:tcPr>
          <w:p w14:paraId="4B757FAC" w14:textId="638EAD5A" w:rsidR="00A3327E" w:rsidRPr="00A062CC" w:rsidRDefault="00A3327E" w:rsidP="00A3327E">
            <w:pPr>
              <w:pStyle w:val="Tablecontent"/>
              <w:jc w:val="center"/>
            </w:pPr>
            <w:r>
              <w:t xml:space="preserve">   </w:t>
            </w:r>
            <w:r w:rsidRPr="007616EE">
              <w:t>510</w:t>
            </w:r>
          </w:p>
        </w:tc>
      </w:tr>
    </w:tbl>
    <w:p w14:paraId="7A914E32" w14:textId="2712BEE3" w:rsidR="008F4167" w:rsidRDefault="008F4167" w:rsidP="00391005">
      <w:pPr>
        <w:pStyle w:val="ListParagraph"/>
      </w:pPr>
    </w:p>
    <w:p w14:paraId="11FD7D66" w14:textId="77777777" w:rsidR="007B25F9" w:rsidRDefault="007B25F9" w:rsidP="007B25F9">
      <w:pPr>
        <w:pStyle w:val="ListParagraph"/>
      </w:pPr>
      <w:r>
        <w:t xml:space="preserve">size variations between individuals had to be observable. Consequently, only the two external primers were used for this PCR assay, with a band length of 2,511 bp in the wildtype, and 1,970 bp in an individual with both the truncated insertion and genomic deletion. Any major deviations of these band sizes, or their absence, would therefore </w:t>
      </w:r>
      <w:r>
        <w:lastRenderedPageBreak/>
        <w:t xml:space="preserve">require further investigation. To account for these longer PCR products, the elongation step in each PCR cycle was extended to 3 minutes. </w:t>
      </w:r>
    </w:p>
    <w:p w14:paraId="44C06FA5" w14:textId="58489AA7" w:rsidR="007B25F9" w:rsidRDefault="007B25F9" w:rsidP="007B25F9">
      <w:pPr>
        <w:pStyle w:val="ListParagraph"/>
      </w:pPr>
      <w:r>
        <w:t xml:space="preserve">All primers designed for this project are summarised in </w:t>
      </w:r>
      <w:r>
        <w:fldChar w:fldCharType="begin" w:fldLock="1"/>
      </w:r>
      <w:r>
        <w:instrText xml:space="preserve"> REF _Ref479016310 \h </w:instrText>
      </w:r>
      <w:r>
        <w:fldChar w:fldCharType="separate"/>
      </w:r>
      <w:r w:rsidR="002C549C">
        <w:t xml:space="preserve">Table </w:t>
      </w:r>
      <w:r w:rsidR="002C549C">
        <w:rPr>
          <w:noProof/>
        </w:rPr>
        <w:t>6</w:t>
      </w:r>
      <w:r w:rsidR="002C549C">
        <w:t>.</w:t>
      </w:r>
      <w:r w:rsidR="002C549C">
        <w:rPr>
          <w:noProof/>
        </w:rPr>
        <w:t>5</w:t>
      </w:r>
      <w:r>
        <w:fldChar w:fldCharType="end"/>
      </w:r>
      <w:r>
        <w:t xml:space="preserve"> along with the previously published primers and predicted band sizes for products with and without the ALVE insertion. Each primer set was tested on the HL DNA samples and the observed genotypes corroborated the KASP assay results.</w:t>
      </w:r>
    </w:p>
    <w:p w14:paraId="1531D7F2" w14:textId="77777777" w:rsidR="007B25F9" w:rsidRDefault="007B25F9" w:rsidP="00391005">
      <w:pPr>
        <w:pStyle w:val="ListParagraph"/>
      </w:pPr>
    </w:p>
    <w:p w14:paraId="6D688E1F" w14:textId="7AA145CE" w:rsidR="006F42F5" w:rsidRDefault="006F42F5" w:rsidP="00AE3685">
      <w:pPr>
        <w:pStyle w:val="Heading3"/>
      </w:pPr>
      <w:bookmarkStart w:id="452" w:name="_Ref479618008"/>
      <w:bookmarkStart w:id="453" w:name="_Toc485721645"/>
      <w:bookmarkStart w:id="454" w:name="_Toc486787225"/>
      <w:bookmarkStart w:id="455" w:name="_Toc486787373"/>
      <w:r>
        <w:t>Genotypin</w:t>
      </w:r>
      <w:r w:rsidR="00D76FB6">
        <w:t>g of the 2008 birds used for re</w:t>
      </w:r>
      <w:r>
        <w:t>sequencing</w:t>
      </w:r>
      <w:bookmarkEnd w:id="452"/>
      <w:bookmarkEnd w:id="453"/>
      <w:bookmarkEnd w:id="454"/>
      <w:bookmarkEnd w:id="455"/>
    </w:p>
    <w:p w14:paraId="07905014" w14:textId="011941E9" w:rsidR="00610669" w:rsidRDefault="00D76FB6" w:rsidP="00391005">
      <w:pPr>
        <w:pStyle w:val="ListParagraph"/>
      </w:pPr>
      <w:r>
        <w:t xml:space="preserve">DNA </w:t>
      </w:r>
      <w:r w:rsidR="003C6B45">
        <w:t xml:space="preserve">samples </w:t>
      </w:r>
      <w:r>
        <w:t xml:space="preserve">from the eighty individuals used for the 2008 HL line resequencing </w:t>
      </w:r>
      <w:r w:rsidR="003C6B45">
        <w:t>project were</w:t>
      </w:r>
      <w:r>
        <w:t xml:space="preserve"> genotyped using all the developed KASP assays. </w:t>
      </w:r>
      <w:r w:rsidR="00E50858">
        <w:t>Interestingly, there were marked differences betw</w:t>
      </w:r>
      <w:r w:rsidR="003C6B45">
        <w:t xml:space="preserve">een frequencies of </w:t>
      </w:r>
      <w:r w:rsidR="00E50858">
        <w:t>ALVEs</w:t>
      </w:r>
      <w:r w:rsidR="003C6B45">
        <w:t xml:space="preserve"> shared between lines of the same breed</w:t>
      </w:r>
      <w:r w:rsidR="00E50858">
        <w:t>, and many of the ‘common’ layer ALVEs</w:t>
      </w:r>
      <w:r w:rsidR="00BA4F1B">
        <w:t>,</w:t>
      </w:r>
      <w:r w:rsidR="00E50858">
        <w:t xml:space="preserve"> such as ALVE1, ALVE3 and ALVE15</w:t>
      </w:r>
      <w:r w:rsidR="00BA4F1B">
        <w:t>,</w:t>
      </w:r>
      <w:r w:rsidR="00E50858">
        <w:t xml:space="preserve"> were not fixed in WLs </w:t>
      </w:r>
      <w:r w:rsidR="008E2199">
        <w:t>as has been previously suggested</w:t>
      </w:r>
      <w:r w:rsidR="00E50858">
        <w:t xml:space="preserve">. </w:t>
      </w:r>
    </w:p>
    <w:p w14:paraId="221F1FB6" w14:textId="24B5C57B" w:rsidR="00D70BEC" w:rsidRDefault="00E50858" w:rsidP="00391005">
      <w:pPr>
        <w:pStyle w:val="ListParagraph"/>
      </w:pPr>
      <w:r>
        <w:t>WL ALVE frequencies were generally high, with ALVE1 fixed in three lines, ALVE9 fixed in WL3</w:t>
      </w:r>
      <w:r w:rsidR="00E92E8D">
        <w:t>,</w:t>
      </w:r>
      <w:r>
        <w:t xml:space="preserve"> and ALVE3 and ALVE15 found at medium or high frequencies in all cases</w:t>
      </w:r>
      <w:r w:rsidR="005D76E3">
        <w:t xml:space="preserve"> (</w:t>
      </w:r>
      <w:r w:rsidR="005D76E3">
        <w:fldChar w:fldCharType="begin" w:fldLock="1"/>
      </w:r>
      <w:r w:rsidR="005D76E3">
        <w:instrText xml:space="preserve"> REF _Ref479004776 \h </w:instrText>
      </w:r>
      <w:r w:rsidR="005D76E3">
        <w:fldChar w:fldCharType="separate"/>
      </w:r>
      <w:r w:rsidR="002C549C">
        <w:t xml:space="preserve">Table </w:t>
      </w:r>
      <w:r w:rsidR="002C549C">
        <w:rPr>
          <w:noProof/>
        </w:rPr>
        <w:t>6</w:t>
      </w:r>
      <w:r w:rsidR="002C549C">
        <w:t>.</w:t>
      </w:r>
      <w:r w:rsidR="002C549C">
        <w:rPr>
          <w:noProof/>
        </w:rPr>
        <w:t>6</w:t>
      </w:r>
      <w:r w:rsidR="005D76E3">
        <w:fldChar w:fldCharType="end"/>
      </w:r>
      <w:r w:rsidR="005D76E3">
        <w:t>)</w:t>
      </w:r>
      <w:r>
        <w:t xml:space="preserve">. Only the WL4 insertion </w:t>
      </w:r>
      <w:r w:rsidR="003D07C3">
        <w:t>ALVE_ros008</w:t>
      </w:r>
      <w:r w:rsidR="00BE6E0D">
        <w:t xml:space="preserve"> was</w:t>
      </w:r>
      <w:r>
        <w:t xml:space="preserve"> </w:t>
      </w:r>
      <w:r w:rsidR="004E21B9">
        <w:t>at a rare frequency, with two heterozygotes in the original pool.</w:t>
      </w:r>
      <w:r w:rsidR="00D70BEC">
        <w:t xml:space="preserve"> </w:t>
      </w:r>
      <w:r w:rsidR="003D07C3">
        <w:t>ALVE_ros008</w:t>
      </w:r>
      <w:r w:rsidR="00D70BEC">
        <w:t xml:space="preserve"> had the lowest observed frequency of any insert identified by the identifi</w:t>
      </w:r>
      <w:r w:rsidR="00BA4F1B">
        <w:t>cation pipeline. This region had</w:t>
      </w:r>
      <w:r w:rsidR="00D70BEC">
        <w:t xml:space="preserve"> 10.8X coverage, consistent with the genome average of 11.1X, but the individual site modelling suggests that there was a 74.5</w:t>
      </w:r>
      <w:r w:rsidR="003D07C3">
        <w:t xml:space="preserve"> </w:t>
      </w:r>
      <w:r w:rsidR="00D70BEC">
        <w:t xml:space="preserve">% </w:t>
      </w:r>
      <w:r w:rsidR="00BA4F1B">
        <w:t xml:space="preserve">chance </w:t>
      </w:r>
      <w:r w:rsidR="00D70BEC">
        <w:t xml:space="preserve">of missing this insertion in the data. </w:t>
      </w:r>
    </w:p>
    <w:p w14:paraId="345448D1" w14:textId="013BAC23" w:rsidR="00BE6E0D" w:rsidRPr="002C549C" w:rsidRDefault="00BE6E0D" w:rsidP="00BB2A7A">
      <w:pPr>
        <w:pStyle w:val="ListParagraph"/>
      </w:pPr>
      <w:r>
        <w:t xml:space="preserve">As expected, both WPRs were fixed for ALVE-TYR. The other insertions were of medium frequency, except ALVE-NSAC7 which was fixed in WPR1 and at a high frequency in WPR2. Interestingly, as the KASP assays were applied across all the lines, ALVEB5 was also identified in WPR1. This insertion was only seen in one homozygous WPR1 individual and there was no evidence for it in the full, reference genome mapping. Coverage over this site was 11.7X, 15 % lower than the genome average, and modelling suggested </w:t>
      </w:r>
      <w:r w:rsidR="0049607E">
        <w:t xml:space="preserve">only </w:t>
      </w:r>
      <w:r>
        <w:t>a 28.6 % chance of this insertion being</w:t>
      </w:r>
      <w:r w:rsidR="0049607E">
        <w:t xml:space="preserve"> detected</w:t>
      </w:r>
      <w:r>
        <w:t xml:space="preserve">. Following detection of ALVEB5 in WPR1, the only observed difference between the </w:t>
      </w:r>
      <w:r w:rsidR="0049607E">
        <w:t xml:space="preserve">WPR </w:t>
      </w:r>
      <w:r>
        <w:t>ALVE content</w:t>
      </w:r>
      <w:r w:rsidR="0049607E">
        <w:t>s wa</w:t>
      </w:r>
      <w:r>
        <w:t>s the novel chromosome 4 insertion ALVE_ros009 in WPR2 (</w:t>
      </w:r>
      <w:r>
        <w:fldChar w:fldCharType="begin" w:fldLock="1"/>
      </w:r>
      <w:r>
        <w:instrText xml:space="preserve"> REF _Ref479005296 \h </w:instrText>
      </w:r>
      <w:r w:rsidR="00BB2A7A">
        <w:instrText xml:space="preserve"> \* MERGEFORMAT </w:instrText>
      </w:r>
      <w:r>
        <w:fldChar w:fldCharType="separate"/>
      </w:r>
      <w:r w:rsidR="002C549C">
        <w:t>Table</w:t>
      </w:r>
      <w:r w:rsidR="002C549C">
        <w:rPr>
          <w:noProof/>
        </w:rPr>
        <w:t xml:space="preserve"> 6</w:t>
      </w:r>
      <w:r w:rsidR="002C549C">
        <w:t>.</w:t>
      </w:r>
      <w:r w:rsidR="002C549C">
        <w:rPr>
          <w:noProof/>
        </w:rPr>
        <w:t>7</w:t>
      </w:r>
      <w:r>
        <w:fldChar w:fldCharType="end"/>
      </w:r>
      <w:r>
        <w:t>).</w:t>
      </w:r>
    </w:p>
    <w:p w14:paraId="7FD628B1" w14:textId="6D4D5843" w:rsidR="005D76E3" w:rsidRDefault="005D76E3" w:rsidP="005D76E3">
      <w:pPr>
        <w:pStyle w:val="Caption"/>
      </w:pPr>
      <w:bookmarkStart w:id="456" w:name="_Ref479004776"/>
      <w:bookmarkStart w:id="457" w:name="_Toc486786329"/>
      <w:r>
        <w:lastRenderedPageBreak/>
        <w:t xml:space="preserve">Table </w:t>
      </w:r>
      <w:fldSimple w:instr=" STYLEREF 1 \s " w:fldLock="1">
        <w:r w:rsidR="002C549C">
          <w:rPr>
            <w:noProof/>
          </w:rPr>
          <w:t>6</w:t>
        </w:r>
      </w:fldSimple>
      <w:r w:rsidR="001167C6">
        <w:t>.</w:t>
      </w:r>
      <w:fldSimple w:instr=" SEQ Table \* ARABIC \s 1 " w:fldLock="1">
        <w:r w:rsidR="002C549C">
          <w:rPr>
            <w:noProof/>
          </w:rPr>
          <w:t>6</w:t>
        </w:r>
      </w:fldSimple>
      <w:bookmarkEnd w:id="456"/>
      <w:r>
        <w:t xml:space="preserve"> Observed</w:t>
      </w:r>
      <w:r w:rsidRPr="005D76E3">
        <w:t xml:space="preserve"> frequency categories for each identified White Leghorn ALVE in the five Hy-L</w:t>
      </w:r>
      <w:r>
        <w:t>ine white egg elite layer lines, using the 2008 resequenced birds.</w:t>
      </w:r>
      <w:bookmarkEnd w:id="457"/>
    </w:p>
    <w:tbl>
      <w:tblPr>
        <w:tblStyle w:val="TableGrid"/>
        <w:tblW w:w="65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992"/>
        <w:gridCol w:w="992"/>
        <w:gridCol w:w="992"/>
        <w:gridCol w:w="992"/>
        <w:gridCol w:w="992"/>
      </w:tblGrid>
      <w:tr w:rsidR="005D76E3" w14:paraId="47BE95CF" w14:textId="77777777" w:rsidTr="005D76E3">
        <w:trPr>
          <w:trHeight w:val="515"/>
          <w:jc w:val="center"/>
        </w:trPr>
        <w:tc>
          <w:tcPr>
            <w:tcW w:w="1560" w:type="dxa"/>
            <w:tcBorders>
              <w:top w:val="single" w:sz="4" w:space="0" w:color="auto"/>
              <w:bottom w:val="single" w:sz="4" w:space="0" w:color="auto"/>
            </w:tcBorders>
            <w:vAlign w:val="center"/>
          </w:tcPr>
          <w:p w14:paraId="685DD519" w14:textId="77777777" w:rsidR="005D76E3" w:rsidRDefault="005D76E3" w:rsidP="00B667E5">
            <w:pPr>
              <w:pStyle w:val="Tablecontent"/>
            </w:pPr>
            <w:r>
              <w:t>Insert</w:t>
            </w:r>
          </w:p>
        </w:tc>
        <w:tc>
          <w:tcPr>
            <w:tcW w:w="992" w:type="dxa"/>
            <w:tcBorders>
              <w:top w:val="single" w:sz="4" w:space="0" w:color="auto"/>
              <w:bottom w:val="single" w:sz="4" w:space="0" w:color="auto"/>
            </w:tcBorders>
            <w:vAlign w:val="center"/>
          </w:tcPr>
          <w:p w14:paraId="72C50934" w14:textId="77777777" w:rsidR="005D76E3" w:rsidRDefault="005D76E3" w:rsidP="00B667E5">
            <w:pPr>
              <w:pStyle w:val="Tablecontent"/>
              <w:jc w:val="center"/>
            </w:pPr>
            <w:r>
              <w:t>WL1</w:t>
            </w:r>
          </w:p>
        </w:tc>
        <w:tc>
          <w:tcPr>
            <w:tcW w:w="992" w:type="dxa"/>
            <w:tcBorders>
              <w:top w:val="single" w:sz="4" w:space="0" w:color="auto"/>
              <w:bottom w:val="single" w:sz="4" w:space="0" w:color="auto"/>
            </w:tcBorders>
            <w:vAlign w:val="center"/>
          </w:tcPr>
          <w:p w14:paraId="0BFF0A07" w14:textId="77777777" w:rsidR="005D76E3" w:rsidRDefault="005D76E3" w:rsidP="00B667E5">
            <w:pPr>
              <w:pStyle w:val="Tablecontent"/>
              <w:jc w:val="center"/>
            </w:pPr>
            <w:r>
              <w:t>WL2</w:t>
            </w:r>
          </w:p>
        </w:tc>
        <w:tc>
          <w:tcPr>
            <w:tcW w:w="992" w:type="dxa"/>
            <w:tcBorders>
              <w:top w:val="single" w:sz="4" w:space="0" w:color="auto"/>
              <w:bottom w:val="single" w:sz="4" w:space="0" w:color="auto"/>
            </w:tcBorders>
            <w:vAlign w:val="center"/>
          </w:tcPr>
          <w:p w14:paraId="52306504" w14:textId="77777777" w:rsidR="005D76E3" w:rsidRDefault="005D76E3" w:rsidP="00B667E5">
            <w:pPr>
              <w:pStyle w:val="Tablecontent"/>
              <w:jc w:val="center"/>
            </w:pPr>
            <w:r>
              <w:t>WL3</w:t>
            </w:r>
          </w:p>
        </w:tc>
        <w:tc>
          <w:tcPr>
            <w:tcW w:w="992" w:type="dxa"/>
            <w:tcBorders>
              <w:top w:val="single" w:sz="4" w:space="0" w:color="auto"/>
              <w:bottom w:val="single" w:sz="4" w:space="0" w:color="auto"/>
            </w:tcBorders>
            <w:vAlign w:val="center"/>
          </w:tcPr>
          <w:p w14:paraId="25A02651" w14:textId="77777777" w:rsidR="005D76E3" w:rsidRDefault="005D76E3" w:rsidP="00B667E5">
            <w:pPr>
              <w:pStyle w:val="Tablecontent"/>
              <w:jc w:val="center"/>
            </w:pPr>
            <w:r>
              <w:t>WL4</w:t>
            </w:r>
          </w:p>
        </w:tc>
        <w:tc>
          <w:tcPr>
            <w:tcW w:w="992" w:type="dxa"/>
            <w:tcBorders>
              <w:top w:val="single" w:sz="4" w:space="0" w:color="auto"/>
              <w:bottom w:val="single" w:sz="4" w:space="0" w:color="auto"/>
            </w:tcBorders>
            <w:vAlign w:val="center"/>
          </w:tcPr>
          <w:p w14:paraId="0BEABF6E" w14:textId="77777777" w:rsidR="005D76E3" w:rsidRDefault="005D76E3" w:rsidP="00B667E5">
            <w:pPr>
              <w:pStyle w:val="Tablecontent"/>
              <w:jc w:val="center"/>
            </w:pPr>
            <w:r>
              <w:t>WL5</w:t>
            </w:r>
          </w:p>
        </w:tc>
      </w:tr>
      <w:tr w:rsidR="005D76E3" w14:paraId="72C5D4DE" w14:textId="77777777" w:rsidTr="005D76E3">
        <w:trPr>
          <w:jc w:val="center"/>
        </w:trPr>
        <w:tc>
          <w:tcPr>
            <w:tcW w:w="1560" w:type="dxa"/>
            <w:tcBorders>
              <w:top w:val="single" w:sz="4" w:space="0" w:color="auto"/>
            </w:tcBorders>
            <w:vAlign w:val="center"/>
          </w:tcPr>
          <w:p w14:paraId="7585FE89" w14:textId="77777777" w:rsidR="005D76E3" w:rsidRDefault="005D76E3" w:rsidP="00B667E5">
            <w:pPr>
              <w:pStyle w:val="Tablecontent"/>
            </w:pPr>
            <w:r>
              <w:t>ALVE1</w:t>
            </w:r>
          </w:p>
        </w:tc>
        <w:tc>
          <w:tcPr>
            <w:tcW w:w="992" w:type="dxa"/>
            <w:tcBorders>
              <w:top w:val="single" w:sz="4" w:space="0" w:color="auto"/>
            </w:tcBorders>
            <w:vAlign w:val="center"/>
          </w:tcPr>
          <w:p w14:paraId="3082D3E4" w14:textId="77777777" w:rsidR="005D76E3" w:rsidRDefault="005D76E3" w:rsidP="00B667E5">
            <w:pPr>
              <w:pStyle w:val="Tablecontent"/>
              <w:jc w:val="center"/>
            </w:pPr>
            <w:r>
              <w:t>Fixed</w:t>
            </w:r>
          </w:p>
        </w:tc>
        <w:tc>
          <w:tcPr>
            <w:tcW w:w="992" w:type="dxa"/>
            <w:tcBorders>
              <w:top w:val="single" w:sz="4" w:space="0" w:color="auto"/>
            </w:tcBorders>
            <w:vAlign w:val="center"/>
          </w:tcPr>
          <w:p w14:paraId="2607B110" w14:textId="77777777" w:rsidR="005D76E3" w:rsidRDefault="005D76E3" w:rsidP="00B667E5">
            <w:pPr>
              <w:pStyle w:val="Tablecontent"/>
              <w:jc w:val="center"/>
            </w:pPr>
            <w:r>
              <w:t>Fixed</w:t>
            </w:r>
          </w:p>
        </w:tc>
        <w:tc>
          <w:tcPr>
            <w:tcW w:w="992" w:type="dxa"/>
            <w:tcBorders>
              <w:top w:val="single" w:sz="4" w:space="0" w:color="auto"/>
            </w:tcBorders>
            <w:vAlign w:val="center"/>
          </w:tcPr>
          <w:p w14:paraId="1020877C" w14:textId="77777777" w:rsidR="005D76E3" w:rsidRDefault="005D76E3" w:rsidP="00B667E5">
            <w:pPr>
              <w:pStyle w:val="Tablecontent"/>
              <w:jc w:val="center"/>
            </w:pPr>
            <w:r>
              <w:t>Medium</w:t>
            </w:r>
          </w:p>
        </w:tc>
        <w:tc>
          <w:tcPr>
            <w:tcW w:w="992" w:type="dxa"/>
            <w:tcBorders>
              <w:top w:val="single" w:sz="4" w:space="0" w:color="auto"/>
            </w:tcBorders>
            <w:vAlign w:val="center"/>
          </w:tcPr>
          <w:p w14:paraId="4AFA5D43" w14:textId="77777777" w:rsidR="005D76E3" w:rsidRDefault="005D76E3" w:rsidP="00B667E5">
            <w:pPr>
              <w:pStyle w:val="Tablecontent"/>
              <w:jc w:val="center"/>
            </w:pPr>
            <w:r>
              <w:t>High</w:t>
            </w:r>
          </w:p>
        </w:tc>
        <w:tc>
          <w:tcPr>
            <w:tcW w:w="992" w:type="dxa"/>
            <w:tcBorders>
              <w:top w:val="single" w:sz="4" w:space="0" w:color="auto"/>
            </w:tcBorders>
            <w:vAlign w:val="center"/>
          </w:tcPr>
          <w:p w14:paraId="01D8BC8B" w14:textId="77777777" w:rsidR="005D76E3" w:rsidRDefault="005D76E3" w:rsidP="00B667E5">
            <w:pPr>
              <w:pStyle w:val="Tablecontent"/>
              <w:jc w:val="center"/>
            </w:pPr>
            <w:r>
              <w:t>Fixed</w:t>
            </w:r>
          </w:p>
        </w:tc>
      </w:tr>
      <w:tr w:rsidR="005D76E3" w14:paraId="4DD90218" w14:textId="77777777" w:rsidTr="005D76E3">
        <w:trPr>
          <w:jc w:val="center"/>
        </w:trPr>
        <w:tc>
          <w:tcPr>
            <w:tcW w:w="1560" w:type="dxa"/>
            <w:vAlign w:val="center"/>
          </w:tcPr>
          <w:p w14:paraId="2A844795" w14:textId="77777777" w:rsidR="005D76E3" w:rsidRDefault="005D76E3" w:rsidP="00B667E5">
            <w:pPr>
              <w:pStyle w:val="Tablecontent"/>
            </w:pPr>
            <w:r>
              <w:t>ALVE15</w:t>
            </w:r>
          </w:p>
        </w:tc>
        <w:tc>
          <w:tcPr>
            <w:tcW w:w="992" w:type="dxa"/>
            <w:vAlign w:val="center"/>
          </w:tcPr>
          <w:p w14:paraId="2FBADE25" w14:textId="77777777" w:rsidR="005D76E3" w:rsidRPr="00A062CC" w:rsidRDefault="005D76E3" w:rsidP="00B667E5">
            <w:pPr>
              <w:pStyle w:val="Tablecontent"/>
              <w:jc w:val="center"/>
            </w:pPr>
            <w:r>
              <w:t>High</w:t>
            </w:r>
          </w:p>
        </w:tc>
        <w:tc>
          <w:tcPr>
            <w:tcW w:w="992" w:type="dxa"/>
            <w:vAlign w:val="center"/>
          </w:tcPr>
          <w:p w14:paraId="2EE90211" w14:textId="77777777" w:rsidR="005D76E3" w:rsidRPr="00A062CC" w:rsidRDefault="005D76E3" w:rsidP="00B667E5">
            <w:pPr>
              <w:pStyle w:val="Tablecontent"/>
              <w:jc w:val="center"/>
            </w:pPr>
            <w:r>
              <w:t>Medium</w:t>
            </w:r>
          </w:p>
        </w:tc>
        <w:tc>
          <w:tcPr>
            <w:tcW w:w="992" w:type="dxa"/>
            <w:vAlign w:val="center"/>
          </w:tcPr>
          <w:p w14:paraId="3C010ABC" w14:textId="77777777" w:rsidR="005D76E3" w:rsidRPr="00A062CC" w:rsidRDefault="005D76E3" w:rsidP="00B667E5">
            <w:pPr>
              <w:pStyle w:val="Tablecontent"/>
              <w:jc w:val="center"/>
            </w:pPr>
            <w:r>
              <w:t>-</w:t>
            </w:r>
          </w:p>
        </w:tc>
        <w:tc>
          <w:tcPr>
            <w:tcW w:w="992" w:type="dxa"/>
            <w:vAlign w:val="center"/>
          </w:tcPr>
          <w:p w14:paraId="0F05AFDB" w14:textId="77777777" w:rsidR="005D76E3" w:rsidRPr="00A062CC" w:rsidRDefault="005D76E3" w:rsidP="00B667E5">
            <w:pPr>
              <w:pStyle w:val="Tablecontent"/>
              <w:jc w:val="center"/>
            </w:pPr>
            <w:r>
              <w:t>-</w:t>
            </w:r>
          </w:p>
        </w:tc>
        <w:tc>
          <w:tcPr>
            <w:tcW w:w="992" w:type="dxa"/>
            <w:vAlign w:val="center"/>
          </w:tcPr>
          <w:p w14:paraId="68382B10" w14:textId="77777777" w:rsidR="005D76E3" w:rsidRPr="00A062CC" w:rsidRDefault="005D76E3" w:rsidP="00B667E5">
            <w:pPr>
              <w:pStyle w:val="Tablecontent"/>
              <w:jc w:val="center"/>
            </w:pPr>
            <w:r>
              <w:t>Medium</w:t>
            </w:r>
          </w:p>
        </w:tc>
      </w:tr>
      <w:tr w:rsidR="005D76E3" w14:paraId="6BE95A9A" w14:textId="77777777" w:rsidTr="005D76E3">
        <w:trPr>
          <w:jc w:val="center"/>
        </w:trPr>
        <w:tc>
          <w:tcPr>
            <w:tcW w:w="1560" w:type="dxa"/>
            <w:vAlign w:val="center"/>
          </w:tcPr>
          <w:p w14:paraId="1932212C" w14:textId="6A12D4AC" w:rsidR="005D76E3" w:rsidRDefault="005D76E3" w:rsidP="00B667E5">
            <w:pPr>
              <w:pStyle w:val="Tablecontent"/>
            </w:pPr>
            <w:r>
              <w:t>ALVE_ros008</w:t>
            </w:r>
          </w:p>
        </w:tc>
        <w:tc>
          <w:tcPr>
            <w:tcW w:w="992" w:type="dxa"/>
            <w:vAlign w:val="center"/>
          </w:tcPr>
          <w:p w14:paraId="332F4F48" w14:textId="77777777" w:rsidR="005D76E3" w:rsidRPr="00A062CC" w:rsidRDefault="005D76E3" w:rsidP="00B667E5">
            <w:pPr>
              <w:pStyle w:val="Tablecontent"/>
              <w:jc w:val="center"/>
            </w:pPr>
            <w:r>
              <w:t>-</w:t>
            </w:r>
          </w:p>
        </w:tc>
        <w:tc>
          <w:tcPr>
            <w:tcW w:w="992" w:type="dxa"/>
            <w:vAlign w:val="center"/>
          </w:tcPr>
          <w:p w14:paraId="39013CC5" w14:textId="77777777" w:rsidR="005D76E3" w:rsidRPr="00A062CC" w:rsidRDefault="005D76E3" w:rsidP="00B667E5">
            <w:pPr>
              <w:pStyle w:val="Tablecontent"/>
              <w:jc w:val="center"/>
            </w:pPr>
            <w:r>
              <w:t>-</w:t>
            </w:r>
          </w:p>
        </w:tc>
        <w:tc>
          <w:tcPr>
            <w:tcW w:w="992" w:type="dxa"/>
            <w:vAlign w:val="center"/>
          </w:tcPr>
          <w:p w14:paraId="7F853392" w14:textId="77777777" w:rsidR="005D76E3" w:rsidRPr="00A062CC" w:rsidRDefault="005D76E3" w:rsidP="00B667E5">
            <w:pPr>
              <w:pStyle w:val="Tablecontent"/>
              <w:jc w:val="center"/>
            </w:pPr>
            <w:r>
              <w:t>-</w:t>
            </w:r>
          </w:p>
        </w:tc>
        <w:tc>
          <w:tcPr>
            <w:tcW w:w="992" w:type="dxa"/>
            <w:vAlign w:val="center"/>
          </w:tcPr>
          <w:p w14:paraId="3418585C" w14:textId="77777777" w:rsidR="005D76E3" w:rsidRPr="00A062CC" w:rsidRDefault="005D76E3" w:rsidP="00B667E5">
            <w:pPr>
              <w:pStyle w:val="Tablecontent"/>
              <w:jc w:val="center"/>
            </w:pPr>
            <w:r>
              <w:t>Rare</w:t>
            </w:r>
          </w:p>
        </w:tc>
        <w:tc>
          <w:tcPr>
            <w:tcW w:w="992" w:type="dxa"/>
            <w:vAlign w:val="center"/>
          </w:tcPr>
          <w:p w14:paraId="25027FB0" w14:textId="77777777" w:rsidR="005D76E3" w:rsidRPr="00A062CC" w:rsidRDefault="005D76E3" w:rsidP="00B667E5">
            <w:pPr>
              <w:pStyle w:val="Tablecontent"/>
              <w:jc w:val="center"/>
            </w:pPr>
            <w:r>
              <w:t>-</w:t>
            </w:r>
          </w:p>
        </w:tc>
      </w:tr>
      <w:tr w:rsidR="005D76E3" w14:paraId="4BC30683" w14:textId="77777777" w:rsidTr="005D76E3">
        <w:trPr>
          <w:jc w:val="center"/>
        </w:trPr>
        <w:tc>
          <w:tcPr>
            <w:tcW w:w="1560" w:type="dxa"/>
            <w:vAlign w:val="center"/>
          </w:tcPr>
          <w:p w14:paraId="7245B3B6" w14:textId="77777777" w:rsidR="005D76E3" w:rsidRDefault="005D76E3" w:rsidP="00B667E5">
            <w:pPr>
              <w:pStyle w:val="Tablecontent"/>
            </w:pPr>
            <w:r w:rsidRPr="00850E0E">
              <w:t>ALVE</w:t>
            </w:r>
            <w:r>
              <w:t>9</w:t>
            </w:r>
          </w:p>
        </w:tc>
        <w:tc>
          <w:tcPr>
            <w:tcW w:w="992" w:type="dxa"/>
            <w:vAlign w:val="center"/>
          </w:tcPr>
          <w:p w14:paraId="770C515D" w14:textId="77777777" w:rsidR="005D76E3" w:rsidRPr="00A062CC" w:rsidRDefault="005D76E3" w:rsidP="00B667E5">
            <w:pPr>
              <w:pStyle w:val="Tablecontent"/>
              <w:jc w:val="center"/>
            </w:pPr>
            <w:r>
              <w:t>-</w:t>
            </w:r>
          </w:p>
        </w:tc>
        <w:tc>
          <w:tcPr>
            <w:tcW w:w="992" w:type="dxa"/>
            <w:vAlign w:val="center"/>
          </w:tcPr>
          <w:p w14:paraId="2E9A4D8E" w14:textId="77777777" w:rsidR="005D76E3" w:rsidRPr="00A062CC" w:rsidRDefault="005D76E3" w:rsidP="00B667E5">
            <w:pPr>
              <w:pStyle w:val="Tablecontent"/>
              <w:jc w:val="center"/>
            </w:pPr>
            <w:r>
              <w:t>-</w:t>
            </w:r>
          </w:p>
        </w:tc>
        <w:tc>
          <w:tcPr>
            <w:tcW w:w="992" w:type="dxa"/>
            <w:vAlign w:val="center"/>
          </w:tcPr>
          <w:p w14:paraId="709E024C" w14:textId="77777777" w:rsidR="005D76E3" w:rsidRPr="00A062CC" w:rsidRDefault="005D76E3" w:rsidP="00B667E5">
            <w:pPr>
              <w:pStyle w:val="Tablecontent"/>
              <w:jc w:val="center"/>
            </w:pPr>
            <w:r>
              <w:t>Fixed</w:t>
            </w:r>
          </w:p>
        </w:tc>
        <w:tc>
          <w:tcPr>
            <w:tcW w:w="992" w:type="dxa"/>
            <w:vAlign w:val="center"/>
          </w:tcPr>
          <w:p w14:paraId="78CB02E9" w14:textId="77777777" w:rsidR="005D76E3" w:rsidRPr="00A062CC" w:rsidRDefault="005D76E3" w:rsidP="00B667E5">
            <w:pPr>
              <w:pStyle w:val="Tablecontent"/>
              <w:jc w:val="center"/>
            </w:pPr>
            <w:r>
              <w:t>-</w:t>
            </w:r>
          </w:p>
        </w:tc>
        <w:tc>
          <w:tcPr>
            <w:tcW w:w="992" w:type="dxa"/>
            <w:vAlign w:val="center"/>
          </w:tcPr>
          <w:p w14:paraId="1F3B94AA" w14:textId="77777777" w:rsidR="005D76E3" w:rsidRPr="00A062CC" w:rsidRDefault="005D76E3" w:rsidP="00B667E5">
            <w:pPr>
              <w:pStyle w:val="Tablecontent"/>
              <w:jc w:val="center"/>
            </w:pPr>
            <w:r>
              <w:t>-</w:t>
            </w:r>
          </w:p>
        </w:tc>
      </w:tr>
      <w:tr w:rsidR="005D76E3" w14:paraId="38C3517D" w14:textId="77777777" w:rsidTr="005D76E3">
        <w:trPr>
          <w:jc w:val="center"/>
        </w:trPr>
        <w:tc>
          <w:tcPr>
            <w:tcW w:w="1560" w:type="dxa"/>
            <w:vAlign w:val="center"/>
          </w:tcPr>
          <w:p w14:paraId="13DDB7BE" w14:textId="77777777" w:rsidR="005D76E3" w:rsidRPr="00850E0E" w:rsidRDefault="005D76E3" w:rsidP="00B667E5">
            <w:pPr>
              <w:pStyle w:val="Tablecontent"/>
            </w:pPr>
            <w:r>
              <w:t>ALVE3</w:t>
            </w:r>
          </w:p>
        </w:tc>
        <w:tc>
          <w:tcPr>
            <w:tcW w:w="992" w:type="dxa"/>
            <w:vAlign w:val="center"/>
          </w:tcPr>
          <w:p w14:paraId="3BDEB9EF" w14:textId="77777777" w:rsidR="005D76E3" w:rsidRPr="00A062CC" w:rsidRDefault="005D76E3" w:rsidP="00B667E5">
            <w:pPr>
              <w:pStyle w:val="Tablecontent"/>
              <w:jc w:val="center"/>
            </w:pPr>
            <w:r>
              <w:t>-</w:t>
            </w:r>
          </w:p>
        </w:tc>
        <w:tc>
          <w:tcPr>
            <w:tcW w:w="992" w:type="dxa"/>
            <w:vAlign w:val="center"/>
          </w:tcPr>
          <w:p w14:paraId="6A8FCB5B" w14:textId="77777777" w:rsidR="005D76E3" w:rsidRPr="00A062CC" w:rsidRDefault="005D76E3" w:rsidP="00B667E5">
            <w:pPr>
              <w:pStyle w:val="Tablecontent"/>
              <w:jc w:val="center"/>
            </w:pPr>
            <w:r>
              <w:t>Medium</w:t>
            </w:r>
          </w:p>
        </w:tc>
        <w:tc>
          <w:tcPr>
            <w:tcW w:w="992" w:type="dxa"/>
            <w:vAlign w:val="center"/>
          </w:tcPr>
          <w:p w14:paraId="2979517B" w14:textId="77777777" w:rsidR="005D76E3" w:rsidRPr="00A062CC" w:rsidRDefault="005D76E3" w:rsidP="00B667E5">
            <w:pPr>
              <w:pStyle w:val="Tablecontent"/>
              <w:jc w:val="center"/>
            </w:pPr>
            <w:r>
              <w:t>Medium</w:t>
            </w:r>
          </w:p>
        </w:tc>
        <w:tc>
          <w:tcPr>
            <w:tcW w:w="992" w:type="dxa"/>
            <w:vAlign w:val="center"/>
          </w:tcPr>
          <w:p w14:paraId="2E3792FB" w14:textId="77777777" w:rsidR="005D76E3" w:rsidRPr="00A062CC" w:rsidRDefault="005D76E3" w:rsidP="00B667E5">
            <w:pPr>
              <w:pStyle w:val="Tablecontent"/>
              <w:jc w:val="center"/>
            </w:pPr>
            <w:r>
              <w:t>High</w:t>
            </w:r>
          </w:p>
        </w:tc>
        <w:tc>
          <w:tcPr>
            <w:tcW w:w="992" w:type="dxa"/>
            <w:vAlign w:val="center"/>
          </w:tcPr>
          <w:p w14:paraId="250E82F9" w14:textId="77777777" w:rsidR="005D76E3" w:rsidRPr="00A062CC" w:rsidRDefault="005D76E3" w:rsidP="00B667E5">
            <w:pPr>
              <w:pStyle w:val="Tablecontent"/>
              <w:jc w:val="center"/>
            </w:pPr>
            <w:r>
              <w:t>-</w:t>
            </w:r>
          </w:p>
        </w:tc>
      </w:tr>
      <w:tr w:rsidR="005D76E3" w14:paraId="078C4FF2" w14:textId="77777777" w:rsidTr="005D76E3">
        <w:trPr>
          <w:jc w:val="center"/>
        </w:trPr>
        <w:tc>
          <w:tcPr>
            <w:tcW w:w="1560" w:type="dxa"/>
            <w:tcBorders>
              <w:bottom w:val="single" w:sz="4" w:space="0" w:color="auto"/>
            </w:tcBorders>
            <w:vAlign w:val="center"/>
          </w:tcPr>
          <w:p w14:paraId="381A09BE" w14:textId="77777777" w:rsidR="005D76E3" w:rsidRDefault="005D76E3" w:rsidP="00B667E5">
            <w:pPr>
              <w:pStyle w:val="Tablecontent"/>
            </w:pPr>
            <w:r w:rsidRPr="00850E0E">
              <w:t>ALVE21</w:t>
            </w:r>
          </w:p>
        </w:tc>
        <w:tc>
          <w:tcPr>
            <w:tcW w:w="992" w:type="dxa"/>
            <w:tcBorders>
              <w:bottom w:val="single" w:sz="4" w:space="0" w:color="auto"/>
            </w:tcBorders>
            <w:vAlign w:val="center"/>
          </w:tcPr>
          <w:p w14:paraId="59F495FD" w14:textId="77777777" w:rsidR="005D76E3" w:rsidRPr="00A062CC" w:rsidRDefault="005D76E3" w:rsidP="00B667E5">
            <w:pPr>
              <w:pStyle w:val="Tablecontent"/>
              <w:jc w:val="center"/>
            </w:pPr>
            <w:r>
              <w:t>-</w:t>
            </w:r>
          </w:p>
        </w:tc>
        <w:tc>
          <w:tcPr>
            <w:tcW w:w="992" w:type="dxa"/>
            <w:tcBorders>
              <w:bottom w:val="single" w:sz="4" w:space="0" w:color="auto"/>
            </w:tcBorders>
            <w:vAlign w:val="center"/>
          </w:tcPr>
          <w:p w14:paraId="172AEE31" w14:textId="77777777" w:rsidR="005D76E3" w:rsidRPr="00A062CC" w:rsidRDefault="005D76E3" w:rsidP="00B667E5">
            <w:pPr>
              <w:pStyle w:val="Tablecontent"/>
              <w:jc w:val="center"/>
            </w:pPr>
            <w:r>
              <w:t>-</w:t>
            </w:r>
          </w:p>
        </w:tc>
        <w:tc>
          <w:tcPr>
            <w:tcW w:w="992" w:type="dxa"/>
            <w:tcBorders>
              <w:bottom w:val="single" w:sz="4" w:space="0" w:color="auto"/>
            </w:tcBorders>
            <w:vAlign w:val="center"/>
          </w:tcPr>
          <w:p w14:paraId="65009B20" w14:textId="77777777" w:rsidR="005D76E3" w:rsidRPr="00A062CC" w:rsidRDefault="005D76E3" w:rsidP="00B667E5">
            <w:pPr>
              <w:pStyle w:val="Tablecontent"/>
              <w:jc w:val="center"/>
            </w:pPr>
            <w:r>
              <w:t>-</w:t>
            </w:r>
          </w:p>
        </w:tc>
        <w:tc>
          <w:tcPr>
            <w:tcW w:w="992" w:type="dxa"/>
            <w:tcBorders>
              <w:bottom w:val="single" w:sz="4" w:space="0" w:color="auto"/>
            </w:tcBorders>
            <w:vAlign w:val="center"/>
          </w:tcPr>
          <w:p w14:paraId="634C05D8" w14:textId="77777777" w:rsidR="005D76E3" w:rsidRPr="00A062CC" w:rsidRDefault="005D76E3" w:rsidP="00B667E5">
            <w:pPr>
              <w:pStyle w:val="Tablecontent"/>
              <w:jc w:val="center"/>
            </w:pPr>
            <w:r>
              <w:t>Fixed</w:t>
            </w:r>
          </w:p>
        </w:tc>
        <w:tc>
          <w:tcPr>
            <w:tcW w:w="992" w:type="dxa"/>
            <w:tcBorders>
              <w:bottom w:val="single" w:sz="4" w:space="0" w:color="auto"/>
            </w:tcBorders>
            <w:vAlign w:val="center"/>
          </w:tcPr>
          <w:p w14:paraId="76892CE5" w14:textId="77777777" w:rsidR="005D76E3" w:rsidRPr="00A062CC" w:rsidRDefault="005D76E3" w:rsidP="00B667E5">
            <w:pPr>
              <w:pStyle w:val="Tablecontent"/>
              <w:jc w:val="center"/>
            </w:pPr>
            <w:r>
              <w:t>-</w:t>
            </w:r>
          </w:p>
        </w:tc>
      </w:tr>
    </w:tbl>
    <w:p w14:paraId="23BE39E7" w14:textId="77777777" w:rsidR="0049607E" w:rsidRPr="00A64FF2" w:rsidRDefault="0049607E" w:rsidP="00A64FF2">
      <w:pPr>
        <w:pStyle w:val="ListParagraph"/>
        <w:rPr>
          <w:sz w:val="10"/>
        </w:rPr>
      </w:pPr>
      <w:bookmarkStart w:id="458" w:name="_Ref479005296"/>
    </w:p>
    <w:p w14:paraId="6E9C3520" w14:textId="78E9E145" w:rsidR="005D76E3" w:rsidRDefault="00B667E5" w:rsidP="0049607E">
      <w:pPr>
        <w:pStyle w:val="Caption"/>
        <w:spacing w:before="0"/>
      </w:pPr>
      <w:bookmarkStart w:id="459" w:name="_Toc486786330"/>
      <w:r>
        <w:t xml:space="preserve">Table </w:t>
      </w:r>
      <w:fldSimple w:instr=" STYLEREF 1 \s " w:fldLock="1">
        <w:r w:rsidR="002C549C">
          <w:rPr>
            <w:noProof/>
          </w:rPr>
          <w:t>6</w:t>
        </w:r>
      </w:fldSimple>
      <w:r w:rsidR="001167C6">
        <w:t>.</w:t>
      </w:r>
      <w:fldSimple w:instr=" SEQ Table \* ARABIC \s 1 " w:fldLock="1">
        <w:r w:rsidR="002C549C">
          <w:rPr>
            <w:noProof/>
          </w:rPr>
          <w:t>7</w:t>
        </w:r>
      </w:fldSimple>
      <w:bookmarkEnd w:id="458"/>
      <w:r>
        <w:t xml:space="preserve"> Observed</w:t>
      </w:r>
      <w:r w:rsidRPr="005D76E3">
        <w:t xml:space="preserve"> frequency categories for each identified ALVE in the </w:t>
      </w:r>
      <w:r>
        <w:t xml:space="preserve">three </w:t>
      </w:r>
      <w:r w:rsidRPr="005D76E3">
        <w:t>Hy-L</w:t>
      </w:r>
      <w:r>
        <w:t>ine brown egg elite layer lines, using the 2008 resequenced b</w:t>
      </w:r>
      <w:r w:rsidR="0025366B">
        <w:t>irds. E</w:t>
      </w:r>
      <w:r w:rsidR="00FF1160">
        <w:t>ntries indicated by</w:t>
      </w:r>
      <w:r w:rsidR="0025366B">
        <w:t xml:space="preserve"> asterisk</w:t>
      </w:r>
      <w:r w:rsidR="0049607E">
        <w:t xml:space="preserve"> were</w:t>
      </w:r>
      <w:r>
        <w:t xml:space="preserve"> identifie</w:t>
      </w:r>
      <w:r w:rsidR="0049607E">
        <w:t>d by KASP assay, not the identification</w:t>
      </w:r>
      <w:r>
        <w:t xml:space="preserve"> pipeline.</w:t>
      </w:r>
      <w:bookmarkEnd w:id="459"/>
      <w:r w:rsidR="004B695A">
        <w:t xml:space="preserve"> </w:t>
      </w:r>
    </w:p>
    <w:tbl>
      <w:tblPr>
        <w:tblStyle w:val="TableGrid"/>
        <w:tblW w:w="46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134"/>
        <w:gridCol w:w="992"/>
        <w:gridCol w:w="992"/>
      </w:tblGrid>
      <w:tr w:rsidR="005D76E3" w14:paraId="34031FEF" w14:textId="77777777" w:rsidTr="00B667E5">
        <w:trPr>
          <w:trHeight w:val="515"/>
          <w:jc w:val="center"/>
        </w:trPr>
        <w:tc>
          <w:tcPr>
            <w:tcW w:w="1560" w:type="dxa"/>
            <w:tcBorders>
              <w:top w:val="single" w:sz="4" w:space="0" w:color="auto"/>
              <w:bottom w:val="single" w:sz="4" w:space="0" w:color="auto"/>
            </w:tcBorders>
            <w:vAlign w:val="center"/>
          </w:tcPr>
          <w:p w14:paraId="1FE5A15D" w14:textId="736C555D" w:rsidR="005D76E3" w:rsidRDefault="0049607E" w:rsidP="00B667E5">
            <w:pPr>
              <w:pStyle w:val="Tablecontent"/>
            </w:pPr>
            <w:r>
              <w:t>Insert</w:t>
            </w:r>
          </w:p>
        </w:tc>
        <w:tc>
          <w:tcPr>
            <w:tcW w:w="1134" w:type="dxa"/>
            <w:tcBorders>
              <w:top w:val="single" w:sz="4" w:space="0" w:color="auto"/>
              <w:bottom w:val="single" w:sz="4" w:space="0" w:color="auto"/>
            </w:tcBorders>
            <w:vAlign w:val="center"/>
          </w:tcPr>
          <w:p w14:paraId="476C3BFC" w14:textId="77777777" w:rsidR="005D76E3" w:rsidRDefault="005D76E3" w:rsidP="00B667E5">
            <w:pPr>
              <w:pStyle w:val="Tablecontent"/>
              <w:jc w:val="center"/>
            </w:pPr>
            <w:r>
              <w:t>WPR1</w:t>
            </w:r>
          </w:p>
        </w:tc>
        <w:tc>
          <w:tcPr>
            <w:tcW w:w="992" w:type="dxa"/>
            <w:tcBorders>
              <w:top w:val="single" w:sz="4" w:space="0" w:color="auto"/>
              <w:bottom w:val="single" w:sz="4" w:space="0" w:color="auto"/>
            </w:tcBorders>
            <w:vAlign w:val="center"/>
          </w:tcPr>
          <w:p w14:paraId="1E460C2A" w14:textId="77777777" w:rsidR="005D76E3" w:rsidRDefault="005D76E3" w:rsidP="00B667E5">
            <w:pPr>
              <w:pStyle w:val="Tablecontent"/>
              <w:jc w:val="center"/>
            </w:pPr>
            <w:r>
              <w:t>WPR2</w:t>
            </w:r>
          </w:p>
        </w:tc>
        <w:tc>
          <w:tcPr>
            <w:tcW w:w="992" w:type="dxa"/>
            <w:tcBorders>
              <w:top w:val="single" w:sz="4" w:space="0" w:color="auto"/>
              <w:bottom w:val="single" w:sz="4" w:space="0" w:color="auto"/>
            </w:tcBorders>
            <w:vAlign w:val="center"/>
          </w:tcPr>
          <w:p w14:paraId="004D6407" w14:textId="77777777" w:rsidR="005D76E3" w:rsidRDefault="005D76E3" w:rsidP="00B667E5">
            <w:pPr>
              <w:pStyle w:val="Tablecontent"/>
              <w:jc w:val="center"/>
            </w:pPr>
            <w:r>
              <w:t>RIR</w:t>
            </w:r>
          </w:p>
        </w:tc>
      </w:tr>
      <w:tr w:rsidR="005D76E3" w14:paraId="1811BE90" w14:textId="77777777" w:rsidTr="00B667E5">
        <w:trPr>
          <w:jc w:val="center"/>
        </w:trPr>
        <w:tc>
          <w:tcPr>
            <w:tcW w:w="1560" w:type="dxa"/>
            <w:tcBorders>
              <w:top w:val="single" w:sz="4" w:space="0" w:color="auto"/>
            </w:tcBorders>
            <w:vAlign w:val="center"/>
          </w:tcPr>
          <w:p w14:paraId="76ECE0ED" w14:textId="77777777" w:rsidR="005D76E3" w:rsidRDefault="005D76E3" w:rsidP="00B667E5">
            <w:pPr>
              <w:pStyle w:val="Tablecontent"/>
            </w:pPr>
            <w:r>
              <w:t>ALVEB5</w:t>
            </w:r>
          </w:p>
        </w:tc>
        <w:tc>
          <w:tcPr>
            <w:tcW w:w="1134" w:type="dxa"/>
            <w:tcBorders>
              <w:top w:val="single" w:sz="4" w:space="0" w:color="auto"/>
            </w:tcBorders>
            <w:vAlign w:val="center"/>
          </w:tcPr>
          <w:p w14:paraId="787DC8CC" w14:textId="326A2794" w:rsidR="005D76E3" w:rsidRDefault="005D76E3" w:rsidP="00B667E5">
            <w:pPr>
              <w:pStyle w:val="Tablecontent"/>
              <w:jc w:val="center"/>
            </w:pPr>
            <w:r>
              <w:t>Rare</w:t>
            </w:r>
            <w:r w:rsidR="00B667E5">
              <w:t xml:space="preserve"> </w:t>
            </w:r>
            <w:r>
              <w:t>*</w:t>
            </w:r>
          </w:p>
        </w:tc>
        <w:tc>
          <w:tcPr>
            <w:tcW w:w="992" w:type="dxa"/>
            <w:tcBorders>
              <w:top w:val="single" w:sz="4" w:space="0" w:color="auto"/>
            </w:tcBorders>
            <w:vAlign w:val="center"/>
          </w:tcPr>
          <w:p w14:paraId="0C8D3F1C" w14:textId="77777777" w:rsidR="005D76E3" w:rsidRDefault="005D76E3" w:rsidP="00B667E5">
            <w:pPr>
              <w:pStyle w:val="Tablecontent"/>
              <w:jc w:val="center"/>
            </w:pPr>
            <w:r>
              <w:t>Medium</w:t>
            </w:r>
          </w:p>
        </w:tc>
        <w:tc>
          <w:tcPr>
            <w:tcW w:w="992" w:type="dxa"/>
            <w:tcBorders>
              <w:top w:val="single" w:sz="4" w:space="0" w:color="auto"/>
            </w:tcBorders>
            <w:vAlign w:val="center"/>
          </w:tcPr>
          <w:p w14:paraId="21BAD889" w14:textId="2BD22E30" w:rsidR="005D76E3" w:rsidRDefault="005D76E3" w:rsidP="00B667E5">
            <w:pPr>
              <w:pStyle w:val="Tablecontent"/>
              <w:jc w:val="center"/>
            </w:pPr>
            <w:r>
              <w:t>Medium</w:t>
            </w:r>
          </w:p>
        </w:tc>
      </w:tr>
      <w:tr w:rsidR="005D76E3" w14:paraId="2D84A134" w14:textId="77777777" w:rsidTr="00B667E5">
        <w:trPr>
          <w:jc w:val="center"/>
        </w:trPr>
        <w:tc>
          <w:tcPr>
            <w:tcW w:w="1560" w:type="dxa"/>
            <w:vAlign w:val="center"/>
          </w:tcPr>
          <w:p w14:paraId="7BC85607" w14:textId="77777777" w:rsidR="005D76E3" w:rsidRDefault="005D76E3" w:rsidP="00B667E5">
            <w:pPr>
              <w:pStyle w:val="Tablecontent"/>
            </w:pPr>
            <w:r>
              <w:t>ALVE_ros001</w:t>
            </w:r>
          </w:p>
        </w:tc>
        <w:tc>
          <w:tcPr>
            <w:tcW w:w="1134" w:type="dxa"/>
            <w:vAlign w:val="center"/>
          </w:tcPr>
          <w:p w14:paraId="4F9941D4" w14:textId="77777777" w:rsidR="005D76E3" w:rsidRDefault="005D76E3" w:rsidP="00B667E5">
            <w:pPr>
              <w:pStyle w:val="Tablecontent"/>
              <w:jc w:val="center"/>
            </w:pPr>
            <w:r>
              <w:t>-</w:t>
            </w:r>
          </w:p>
        </w:tc>
        <w:tc>
          <w:tcPr>
            <w:tcW w:w="992" w:type="dxa"/>
            <w:vAlign w:val="center"/>
          </w:tcPr>
          <w:p w14:paraId="457F4273" w14:textId="77777777" w:rsidR="005D76E3" w:rsidRDefault="005D76E3" w:rsidP="00B667E5">
            <w:pPr>
              <w:pStyle w:val="Tablecontent"/>
              <w:jc w:val="center"/>
            </w:pPr>
            <w:r>
              <w:t>-</w:t>
            </w:r>
          </w:p>
        </w:tc>
        <w:tc>
          <w:tcPr>
            <w:tcW w:w="992" w:type="dxa"/>
            <w:vAlign w:val="center"/>
          </w:tcPr>
          <w:p w14:paraId="3E2506DA" w14:textId="5138E615" w:rsidR="005D76E3" w:rsidRDefault="005D76E3" w:rsidP="00B667E5">
            <w:pPr>
              <w:pStyle w:val="Tablecontent"/>
              <w:jc w:val="center"/>
            </w:pPr>
            <w:r>
              <w:t>Medium</w:t>
            </w:r>
          </w:p>
        </w:tc>
      </w:tr>
      <w:tr w:rsidR="005D76E3" w14:paraId="1EBC1C9B" w14:textId="77777777" w:rsidTr="00B667E5">
        <w:trPr>
          <w:jc w:val="center"/>
        </w:trPr>
        <w:tc>
          <w:tcPr>
            <w:tcW w:w="1560" w:type="dxa"/>
            <w:vAlign w:val="center"/>
          </w:tcPr>
          <w:p w14:paraId="542910B8" w14:textId="77777777" w:rsidR="005D76E3" w:rsidRDefault="005D76E3" w:rsidP="00B667E5">
            <w:pPr>
              <w:pStyle w:val="Tablecontent"/>
            </w:pPr>
            <w:r>
              <w:t>ALVE_ros002</w:t>
            </w:r>
          </w:p>
        </w:tc>
        <w:tc>
          <w:tcPr>
            <w:tcW w:w="1134" w:type="dxa"/>
            <w:vAlign w:val="center"/>
          </w:tcPr>
          <w:p w14:paraId="467351F6" w14:textId="77777777" w:rsidR="005D76E3" w:rsidRDefault="005D76E3" w:rsidP="00B667E5">
            <w:pPr>
              <w:pStyle w:val="Tablecontent"/>
              <w:jc w:val="center"/>
            </w:pPr>
            <w:r>
              <w:t>-</w:t>
            </w:r>
          </w:p>
        </w:tc>
        <w:tc>
          <w:tcPr>
            <w:tcW w:w="992" w:type="dxa"/>
            <w:vAlign w:val="center"/>
          </w:tcPr>
          <w:p w14:paraId="511C3284" w14:textId="77777777" w:rsidR="005D76E3" w:rsidRDefault="005D76E3" w:rsidP="00B667E5">
            <w:pPr>
              <w:pStyle w:val="Tablecontent"/>
              <w:jc w:val="center"/>
            </w:pPr>
            <w:r>
              <w:t>-</w:t>
            </w:r>
          </w:p>
        </w:tc>
        <w:tc>
          <w:tcPr>
            <w:tcW w:w="992" w:type="dxa"/>
            <w:vAlign w:val="center"/>
          </w:tcPr>
          <w:p w14:paraId="41CADE3A" w14:textId="120C88B0" w:rsidR="005D76E3" w:rsidRDefault="005D76E3" w:rsidP="00B667E5">
            <w:pPr>
              <w:pStyle w:val="Tablecontent"/>
              <w:jc w:val="center"/>
            </w:pPr>
            <w:r>
              <w:t>Medium</w:t>
            </w:r>
          </w:p>
        </w:tc>
      </w:tr>
      <w:tr w:rsidR="005D76E3" w14:paraId="489D8511" w14:textId="77777777" w:rsidTr="00B667E5">
        <w:trPr>
          <w:jc w:val="center"/>
        </w:trPr>
        <w:tc>
          <w:tcPr>
            <w:tcW w:w="1560" w:type="dxa"/>
            <w:vAlign w:val="center"/>
          </w:tcPr>
          <w:p w14:paraId="31A22F5D" w14:textId="77777777" w:rsidR="005D76E3" w:rsidRDefault="005D76E3" w:rsidP="00B667E5">
            <w:pPr>
              <w:pStyle w:val="Tablecontent"/>
            </w:pPr>
            <w:r>
              <w:t>ALVE_ros003</w:t>
            </w:r>
          </w:p>
        </w:tc>
        <w:tc>
          <w:tcPr>
            <w:tcW w:w="1134" w:type="dxa"/>
            <w:vAlign w:val="center"/>
          </w:tcPr>
          <w:p w14:paraId="35FFE072" w14:textId="77777777" w:rsidR="005D76E3" w:rsidRDefault="005D76E3" w:rsidP="00B667E5">
            <w:pPr>
              <w:pStyle w:val="Tablecontent"/>
              <w:jc w:val="center"/>
            </w:pPr>
            <w:r>
              <w:t>-</w:t>
            </w:r>
          </w:p>
        </w:tc>
        <w:tc>
          <w:tcPr>
            <w:tcW w:w="992" w:type="dxa"/>
            <w:vAlign w:val="center"/>
          </w:tcPr>
          <w:p w14:paraId="34525134" w14:textId="77777777" w:rsidR="005D76E3" w:rsidRDefault="005D76E3" w:rsidP="00B667E5">
            <w:pPr>
              <w:pStyle w:val="Tablecontent"/>
              <w:jc w:val="center"/>
            </w:pPr>
            <w:r>
              <w:t>-</w:t>
            </w:r>
          </w:p>
        </w:tc>
        <w:tc>
          <w:tcPr>
            <w:tcW w:w="992" w:type="dxa"/>
            <w:vAlign w:val="center"/>
          </w:tcPr>
          <w:p w14:paraId="5501FEEC" w14:textId="2C21F915" w:rsidR="005D76E3" w:rsidRDefault="007B281C" w:rsidP="00B667E5">
            <w:pPr>
              <w:pStyle w:val="Tablecontent"/>
              <w:jc w:val="center"/>
            </w:pPr>
            <w:r>
              <w:t>Low</w:t>
            </w:r>
          </w:p>
        </w:tc>
      </w:tr>
      <w:tr w:rsidR="005D76E3" w14:paraId="343D4CD1" w14:textId="77777777" w:rsidTr="00B667E5">
        <w:trPr>
          <w:jc w:val="center"/>
        </w:trPr>
        <w:tc>
          <w:tcPr>
            <w:tcW w:w="1560" w:type="dxa"/>
            <w:vAlign w:val="center"/>
          </w:tcPr>
          <w:p w14:paraId="5E06B524" w14:textId="77777777" w:rsidR="005D76E3" w:rsidRDefault="005D76E3" w:rsidP="00B667E5">
            <w:pPr>
              <w:pStyle w:val="Tablecontent"/>
            </w:pPr>
            <w:r>
              <w:t>ALVE-TYR</w:t>
            </w:r>
          </w:p>
        </w:tc>
        <w:tc>
          <w:tcPr>
            <w:tcW w:w="1134" w:type="dxa"/>
            <w:vAlign w:val="center"/>
          </w:tcPr>
          <w:p w14:paraId="4260095C" w14:textId="77777777" w:rsidR="005D76E3" w:rsidRPr="00A062CC" w:rsidRDefault="005D76E3" w:rsidP="00B667E5">
            <w:pPr>
              <w:pStyle w:val="Tablecontent"/>
              <w:jc w:val="center"/>
            </w:pPr>
            <w:r>
              <w:t>Fixed</w:t>
            </w:r>
          </w:p>
        </w:tc>
        <w:tc>
          <w:tcPr>
            <w:tcW w:w="992" w:type="dxa"/>
            <w:vAlign w:val="center"/>
          </w:tcPr>
          <w:p w14:paraId="7953DBBF" w14:textId="77777777" w:rsidR="005D76E3" w:rsidRPr="00A062CC" w:rsidRDefault="005D76E3" w:rsidP="00B667E5">
            <w:pPr>
              <w:pStyle w:val="Tablecontent"/>
              <w:jc w:val="center"/>
            </w:pPr>
            <w:r>
              <w:t>Fixed</w:t>
            </w:r>
          </w:p>
        </w:tc>
        <w:tc>
          <w:tcPr>
            <w:tcW w:w="992" w:type="dxa"/>
            <w:vAlign w:val="center"/>
          </w:tcPr>
          <w:p w14:paraId="2122199C" w14:textId="77777777" w:rsidR="005D76E3" w:rsidRDefault="005D76E3" w:rsidP="00B667E5">
            <w:pPr>
              <w:pStyle w:val="Tablecontent"/>
              <w:jc w:val="center"/>
            </w:pPr>
            <w:r>
              <w:t>-</w:t>
            </w:r>
          </w:p>
        </w:tc>
      </w:tr>
      <w:tr w:rsidR="005D76E3" w14:paraId="602B5CB9" w14:textId="77777777" w:rsidTr="00B667E5">
        <w:trPr>
          <w:jc w:val="center"/>
        </w:trPr>
        <w:tc>
          <w:tcPr>
            <w:tcW w:w="1560" w:type="dxa"/>
            <w:vAlign w:val="center"/>
          </w:tcPr>
          <w:p w14:paraId="2EB8AAEB" w14:textId="77777777" w:rsidR="005D76E3" w:rsidRDefault="005D76E3" w:rsidP="00B667E5">
            <w:pPr>
              <w:pStyle w:val="Tablecontent"/>
            </w:pPr>
            <w:r>
              <w:t>ALVE-NSAC1</w:t>
            </w:r>
          </w:p>
        </w:tc>
        <w:tc>
          <w:tcPr>
            <w:tcW w:w="1134" w:type="dxa"/>
            <w:vAlign w:val="center"/>
          </w:tcPr>
          <w:p w14:paraId="7D81CDA9" w14:textId="77777777" w:rsidR="005D76E3" w:rsidRPr="00A062CC" w:rsidRDefault="005D76E3" w:rsidP="00B667E5">
            <w:pPr>
              <w:pStyle w:val="Tablecontent"/>
              <w:jc w:val="center"/>
            </w:pPr>
            <w:r>
              <w:t>Medium</w:t>
            </w:r>
          </w:p>
        </w:tc>
        <w:tc>
          <w:tcPr>
            <w:tcW w:w="992" w:type="dxa"/>
            <w:vAlign w:val="center"/>
          </w:tcPr>
          <w:p w14:paraId="77BBD9DB" w14:textId="77777777" w:rsidR="005D76E3" w:rsidRPr="00A062CC" w:rsidRDefault="005D76E3" w:rsidP="00B667E5">
            <w:pPr>
              <w:pStyle w:val="Tablecontent"/>
              <w:jc w:val="center"/>
            </w:pPr>
            <w:r>
              <w:t>Medium</w:t>
            </w:r>
          </w:p>
        </w:tc>
        <w:tc>
          <w:tcPr>
            <w:tcW w:w="992" w:type="dxa"/>
            <w:vAlign w:val="center"/>
          </w:tcPr>
          <w:p w14:paraId="7CA1A45C" w14:textId="77777777" w:rsidR="005D76E3" w:rsidRDefault="005D76E3" w:rsidP="00B667E5">
            <w:pPr>
              <w:pStyle w:val="Tablecontent"/>
              <w:jc w:val="center"/>
            </w:pPr>
            <w:r>
              <w:t>Medium</w:t>
            </w:r>
          </w:p>
        </w:tc>
      </w:tr>
      <w:tr w:rsidR="005D76E3" w14:paraId="7F65AA66" w14:textId="77777777" w:rsidTr="00B667E5">
        <w:trPr>
          <w:jc w:val="center"/>
        </w:trPr>
        <w:tc>
          <w:tcPr>
            <w:tcW w:w="1560" w:type="dxa"/>
            <w:vAlign w:val="center"/>
          </w:tcPr>
          <w:p w14:paraId="7A91166C" w14:textId="77777777" w:rsidR="005D76E3" w:rsidRDefault="005D76E3" w:rsidP="00B667E5">
            <w:pPr>
              <w:pStyle w:val="Tablecontent"/>
            </w:pPr>
            <w:r>
              <w:t>ALVE_ros004</w:t>
            </w:r>
          </w:p>
        </w:tc>
        <w:tc>
          <w:tcPr>
            <w:tcW w:w="1134" w:type="dxa"/>
            <w:vAlign w:val="center"/>
          </w:tcPr>
          <w:p w14:paraId="2B1618AF" w14:textId="3D56162D" w:rsidR="005D76E3" w:rsidRPr="00A062CC" w:rsidRDefault="005D76E3" w:rsidP="00B667E5">
            <w:pPr>
              <w:pStyle w:val="Tablecontent"/>
              <w:jc w:val="center"/>
            </w:pPr>
            <w:r>
              <w:t>-</w:t>
            </w:r>
          </w:p>
        </w:tc>
        <w:tc>
          <w:tcPr>
            <w:tcW w:w="992" w:type="dxa"/>
            <w:vAlign w:val="center"/>
          </w:tcPr>
          <w:p w14:paraId="09BDB756" w14:textId="04EBEBA3" w:rsidR="005D76E3" w:rsidRPr="00A062CC" w:rsidRDefault="005D76E3" w:rsidP="00B667E5">
            <w:pPr>
              <w:pStyle w:val="Tablecontent"/>
              <w:jc w:val="center"/>
            </w:pPr>
            <w:r>
              <w:t>-</w:t>
            </w:r>
          </w:p>
        </w:tc>
        <w:tc>
          <w:tcPr>
            <w:tcW w:w="992" w:type="dxa"/>
            <w:vAlign w:val="center"/>
          </w:tcPr>
          <w:p w14:paraId="4E2F15D7" w14:textId="6B9A3B04" w:rsidR="005D76E3" w:rsidRDefault="005D76E3" w:rsidP="00B667E5">
            <w:pPr>
              <w:pStyle w:val="Tablecontent"/>
              <w:jc w:val="center"/>
            </w:pPr>
            <w:r>
              <w:t>High</w:t>
            </w:r>
          </w:p>
        </w:tc>
      </w:tr>
      <w:tr w:rsidR="005D76E3" w14:paraId="4124F59A" w14:textId="77777777" w:rsidTr="00B667E5">
        <w:trPr>
          <w:jc w:val="center"/>
        </w:trPr>
        <w:tc>
          <w:tcPr>
            <w:tcW w:w="1560" w:type="dxa"/>
            <w:vAlign w:val="center"/>
          </w:tcPr>
          <w:p w14:paraId="7A470E53" w14:textId="77777777" w:rsidR="005D76E3" w:rsidRDefault="005D76E3" w:rsidP="00B667E5">
            <w:pPr>
              <w:pStyle w:val="Tablecontent"/>
            </w:pPr>
            <w:r>
              <w:t>ALVE_ros005</w:t>
            </w:r>
          </w:p>
        </w:tc>
        <w:tc>
          <w:tcPr>
            <w:tcW w:w="1134" w:type="dxa"/>
            <w:vAlign w:val="center"/>
          </w:tcPr>
          <w:p w14:paraId="12FD8F59" w14:textId="77777777" w:rsidR="005D76E3" w:rsidRDefault="005D76E3" w:rsidP="00B667E5">
            <w:pPr>
              <w:pStyle w:val="Tablecontent"/>
              <w:jc w:val="center"/>
            </w:pPr>
            <w:r>
              <w:t>-</w:t>
            </w:r>
          </w:p>
        </w:tc>
        <w:tc>
          <w:tcPr>
            <w:tcW w:w="992" w:type="dxa"/>
            <w:vAlign w:val="center"/>
          </w:tcPr>
          <w:p w14:paraId="2471134A" w14:textId="77777777" w:rsidR="005D76E3" w:rsidRDefault="005D76E3" w:rsidP="00B667E5">
            <w:pPr>
              <w:pStyle w:val="Tablecontent"/>
              <w:jc w:val="center"/>
            </w:pPr>
            <w:r>
              <w:t>-</w:t>
            </w:r>
          </w:p>
        </w:tc>
        <w:tc>
          <w:tcPr>
            <w:tcW w:w="992" w:type="dxa"/>
            <w:vAlign w:val="center"/>
          </w:tcPr>
          <w:p w14:paraId="20FDBC13" w14:textId="34767055" w:rsidR="005D76E3" w:rsidRDefault="002443EB" w:rsidP="00B667E5">
            <w:pPr>
              <w:pStyle w:val="Tablecontent"/>
              <w:jc w:val="center"/>
            </w:pPr>
            <w:r>
              <w:t>Low</w:t>
            </w:r>
          </w:p>
        </w:tc>
      </w:tr>
      <w:tr w:rsidR="005D76E3" w14:paraId="3A177051" w14:textId="77777777" w:rsidTr="00B667E5">
        <w:trPr>
          <w:jc w:val="center"/>
        </w:trPr>
        <w:tc>
          <w:tcPr>
            <w:tcW w:w="1560" w:type="dxa"/>
            <w:vAlign w:val="center"/>
          </w:tcPr>
          <w:p w14:paraId="41EEE079" w14:textId="77777777" w:rsidR="005D76E3" w:rsidRPr="00850E0E" w:rsidRDefault="005D76E3" w:rsidP="00B667E5">
            <w:pPr>
              <w:pStyle w:val="Tablecontent"/>
            </w:pPr>
            <w:r>
              <w:t>ALVE-NSAC3</w:t>
            </w:r>
          </w:p>
        </w:tc>
        <w:tc>
          <w:tcPr>
            <w:tcW w:w="1134" w:type="dxa"/>
            <w:vAlign w:val="center"/>
          </w:tcPr>
          <w:p w14:paraId="04265F66" w14:textId="77777777" w:rsidR="005D76E3" w:rsidRPr="00A062CC" w:rsidRDefault="005D76E3" w:rsidP="00B667E5">
            <w:pPr>
              <w:pStyle w:val="Tablecontent"/>
              <w:jc w:val="center"/>
            </w:pPr>
            <w:r>
              <w:t>Medium</w:t>
            </w:r>
          </w:p>
        </w:tc>
        <w:tc>
          <w:tcPr>
            <w:tcW w:w="992" w:type="dxa"/>
            <w:vAlign w:val="center"/>
          </w:tcPr>
          <w:p w14:paraId="4F266C93" w14:textId="77777777" w:rsidR="005D76E3" w:rsidRPr="00A062CC" w:rsidRDefault="005D76E3" w:rsidP="00B667E5">
            <w:pPr>
              <w:pStyle w:val="Tablecontent"/>
              <w:jc w:val="center"/>
            </w:pPr>
            <w:r>
              <w:t>Low</w:t>
            </w:r>
          </w:p>
        </w:tc>
        <w:tc>
          <w:tcPr>
            <w:tcW w:w="992" w:type="dxa"/>
            <w:vAlign w:val="center"/>
          </w:tcPr>
          <w:p w14:paraId="102016CD" w14:textId="77777777" w:rsidR="005D76E3" w:rsidRDefault="005D76E3" w:rsidP="00B667E5">
            <w:pPr>
              <w:pStyle w:val="Tablecontent"/>
              <w:jc w:val="center"/>
            </w:pPr>
            <w:r>
              <w:t>-</w:t>
            </w:r>
          </w:p>
        </w:tc>
      </w:tr>
      <w:tr w:rsidR="005D76E3" w14:paraId="16F5B605" w14:textId="77777777" w:rsidTr="00B667E5">
        <w:trPr>
          <w:jc w:val="center"/>
        </w:trPr>
        <w:tc>
          <w:tcPr>
            <w:tcW w:w="1560" w:type="dxa"/>
            <w:vAlign w:val="center"/>
          </w:tcPr>
          <w:p w14:paraId="303CB5F5" w14:textId="77777777" w:rsidR="005D76E3" w:rsidRDefault="005D76E3" w:rsidP="00B667E5">
            <w:pPr>
              <w:pStyle w:val="Tablecontent"/>
            </w:pPr>
            <w:r>
              <w:t>ALVE_ros006</w:t>
            </w:r>
          </w:p>
        </w:tc>
        <w:tc>
          <w:tcPr>
            <w:tcW w:w="1134" w:type="dxa"/>
            <w:vAlign w:val="center"/>
          </w:tcPr>
          <w:p w14:paraId="241D4C60" w14:textId="77777777" w:rsidR="005D76E3" w:rsidRDefault="005D76E3" w:rsidP="00B667E5">
            <w:pPr>
              <w:pStyle w:val="Tablecontent"/>
              <w:jc w:val="center"/>
            </w:pPr>
            <w:r>
              <w:t>-</w:t>
            </w:r>
          </w:p>
        </w:tc>
        <w:tc>
          <w:tcPr>
            <w:tcW w:w="992" w:type="dxa"/>
            <w:vAlign w:val="center"/>
          </w:tcPr>
          <w:p w14:paraId="1307C696" w14:textId="77777777" w:rsidR="005D76E3" w:rsidRDefault="005D76E3" w:rsidP="00B667E5">
            <w:pPr>
              <w:pStyle w:val="Tablecontent"/>
              <w:jc w:val="center"/>
            </w:pPr>
            <w:r>
              <w:t>-</w:t>
            </w:r>
          </w:p>
        </w:tc>
        <w:tc>
          <w:tcPr>
            <w:tcW w:w="992" w:type="dxa"/>
            <w:vAlign w:val="center"/>
          </w:tcPr>
          <w:p w14:paraId="2C5A1573" w14:textId="77777777" w:rsidR="005D76E3" w:rsidRDefault="005D76E3" w:rsidP="00B667E5">
            <w:pPr>
              <w:pStyle w:val="Tablecontent"/>
              <w:jc w:val="center"/>
            </w:pPr>
            <w:r>
              <w:t>Medium</w:t>
            </w:r>
          </w:p>
        </w:tc>
      </w:tr>
      <w:tr w:rsidR="005D76E3" w14:paraId="796A5FEA" w14:textId="77777777" w:rsidTr="00B667E5">
        <w:trPr>
          <w:jc w:val="center"/>
        </w:trPr>
        <w:tc>
          <w:tcPr>
            <w:tcW w:w="1560" w:type="dxa"/>
            <w:vAlign w:val="center"/>
          </w:tcPr>
          <w:p w14:paraId="6B549E1A" w14:textId="77777777" w:rsidR="005D76E3" w:rsidRDefault="005D76E3" w:rsidP="00B667E5">
            <w:pPr>
              <w:pStyle w:val="Tablecontent"/>
            </w:pPr>
            <w:r>
              <w:t>ALVE_ros007</w:t>
            </w:r>
          </w:p>
        </w:tc>
        <w:tc>
          <w:tcPr>
            <w:tcW w:w="1134" w:type="dxa"/>
            <w:vAlign w:val="center"/>
          </w:tcPr>
          <w:p w14:paraId="284245CE" w14:textId="77777777" w:rsidR="005D76E3" w:rsidRDefault="005D76E3" w:rsidP="00B667E5">
            <w:pPr>
              <w:pStyle w:val="Tablecontent"/>
              <w:jc w:val="center"/>
            </w:pPr>
            <w:r>
              <w:t>-</w:t>
            </w:r>
          </w:p>
        </w:tc>
        <w:tc>
          <w:tcPr>
            <w:tcW w:w="992" w:type="dxa"/>
            <w:vAlign w:val="center"/>
          </w:tcPr>
          <w:p w14:paraId="117CBB24" w14:textId="77777777" w:rsidR="005D76E3" w:rsidRDefault="005D76E3" w:rsidP="00B667E5">
            <w:pPr>
              <w:pStyle w:val="Tablecontent"/>
              <w:jc w:val="center"/>
            </w:pPr>
            <w:r>
              <w:t>-</w:t>
            </w:r>
          </w:p>
        </w:tc>
        <w:tc>
          <w:tcPr>
            <w:tcW w:w="992" w:type="dxa"/>
            <w:vAlign w:val="center"/>
          </w:tcPr>
          <w:p w14:paraId="79241C9B" w14:textId="77777777" w:rsidR="005D76E3" w:rsidRDefault="005D76E3" w:rsidP="00B667E5">
            <w:pPr>
              <w:pStyle w:val="Tablecontent"/>
              <w:jc w:val="center"/>
            </w:pPr>
            <w:r>
              <w:t>Medium</w:t>
            </w:r>
          </w:p>
        </w:tc>
      </w:tr>
      <w:tr w:rsidR="005D76E3" w14:paraId="00AD044E" w14:textId="77777777" w:rsidTr="00B667E5">
        <w:trPr>
          <w:jc w:val="center"/>
        </w:trPr>
        <w:tc>
          <w:tcPr>
            <w:tcW w:w="1560" w:type="dxa"/>
            <w:vAlign w:val="center"/>
          </w:tcPr>
          <w:p w14:paraId="00EE8CB9" w14:textId="77777777" w:rsidR="005D76E3" w:rsidRDefault="005D76E3" w:rsidP="00B667E5">
            <w:pPr>
              <w:pStyle w:val="Tablecontent"/>
            </w:pPr>
            <w:r>
              <w:t>ALVE_ros009</w:t>
            </w:r>
          </w:p>
        </w:tc>
        <w:tc>
          <w:tcPr>
            <w:tcW w:w="1134" w:type="dxa"/>
            <w:vAlign w:val="center"/>
          </w:tcPr>
          <w:p w14:paraId="5A993A4C" w14:textId="77777777" w:rsidR="005D76E3" w:rsidRPr="00A062CC" w:rsidRDefault="005D76E3" w:rsidP="00B667E5">
            <w:pPr>
              <w:pStyle w:val="Tablecontent"/>
              <w:jc w:val="center"/>
            </w:pPr>
            <w:r>
              <w:t>-</w:t>
            </w:r>
          </w:p>
        </w:tc>
        <w:tc>
          <w:tcPr>
            <w:tcW w:w="992" w:type="dxa"/>
            <w:vAlign w:val="center"/>
          </w:tcPr>
          <w:p w14:paraId="435E4C14" w14:textId="77777777" w:rsidR="005D76E3" w:rsidRPr="00A062CC" w:rsidRDefault="005D76E3" w:rsidP="00B667E5">
            <w:pPr>
              <w:pStyle w:val="Tablecontent"/>
              <w:jc w:val="center"/>
            </w:pPr>
            <w:r>
              <w:t>Medium</w:t>
            </w:r>
          </w:p>
        </w:tc>
        <w:tc>
          <w:tcPr>
            <w:tcW w:w="992" w:type="dxa"/>
            <w:vAlign w:val="center"/>
          </w:tcPr>
          <w:p w14:paraId="139971BC" w14:textId="77777777" w:rsidR="005D76E3" w:rsidRDefault="005D76E3" w:rsidP="00B667E5">
            <w:pPr>
              <w:pStyle w:val="Tablecontent"/>
              <w:jc w:val="center"/>
            </w:pPr>
            <w:r>
              <w:t>-</w:t>
            </w:r>
          </w:p>
        </w:tc>
      </w:tr>
      <w:tr w:rsidR="005D76E3" w14:paraId="1C8DAF37" w14:textId="77777777" w:rsidTr="00B667E5">
        <w:trPr>
          <w:jc w:val="center"/>
        </w:trPr>
        <w:tc>
          <w:tcPr>
            <w:tcW w:w="1560" w:type="dxa"/>
            <w:vAlign w:val="center"/>
          </w:tcPr>
          <w:p w14:paraId="088AD0FF" w14:textId="77777777" w:rsidR="005D76E3" w:rsidRDefault="005D76E3" w:rsidP="00B667E5">
            <w:pPr>
              <w:pStyle w:val="Tablecontent"/>
            </w:pPr>
            <w:r>
              <w:t>ALVE-NSAC7</w:t>
            </w:r>
          </w:p>
        </w:tc>
        <w:tc>
          <w:tcPr>
            <w:tcW w:w="1134" w:type="dxa"/>
            <w:vAlign w:val="center"/>
          </w:tcPr>
          <w:p w14:paraId="50808401" w14:textId="00C20FBF" w:rsidR="005D76E3" w:rsidRPr="00A062CC" w:rsidRDefault="00B667E5" w:rsidP="00B667E5">
            <w:pPr>
              <w:pStyle w:val="Tablecontent"/>
              <w:jc w:val="center"/>
            </w:pPr>
            <w:r>
              <w:t>Fixed</w:t>
            </w:r>
          </w:p>
        </w:tc>
        <w:tc>
          <w:tcPr>
            <w:tcW w:w="992" w:type="dxa"/>
            <w:vAlign w:val="center"/>
          </w:tcPr>
          <w:p w14:paraId="6D54F6A3" w14:textId="77777777" w:rsidR="005D76E3" w:rsidRPr="00A062CC" w:rsidRDefault="005D76E3" w:rsidP="00B667E5">
            <w:pPr>
              <w:pStyle w:val="Tablecontent"/>
              <w:jc w:val="center"/>
            </w:pPr>
            <w:r>
              <w:t>High</w:t>
            </w:r>
          </w:p>
        </w:tc>
        <w:tc>
          <w:tcPr>
            <w:tcW w:w="992" w:type="dxa"/>
            <w:vAlign w:val="center"/>
          </w:tcPr>
          <w:p w14:paraId="6F86AC52" w14:textId="77777777" w:rsidR="005D76E3" w:rsidRDefault="005D76E3" w:rsidP="00B667E5">
            <w:pPr>
              <w:pStyle w:val="Tablecontent"/>
              <w:jc w:val="center"/>
            </w:pPr>
            <w:r>
              <w:t>-</w:t>
            </w:r>
          </w:p>
        </w:tc>
      </w:tr>
      <w:tr w:rsidR="005D76E3" w14:paraId="0B4AA544" w14:textId="77777777" w:rsidTr="00B667E5">
        <w:trPr>
          <w:jc w:val="center"/>
        </w:trPr>
        <w:tc>
          <w:tcPr>
            <w:tcW w:w="1560" w:type="dxa"/>
            <w:vAlign w:val="center"/>
          </w:tcPr>
          <w:p w14:paraId="02879A57" w14:textId="77777777" w:rsidR="005D76E3" w:rsidRDefault="005D76E3" w:rsidP="00B667E5">
            <w:pPr>
              <w:pStyle w:val="Tablecontent"/>
            </w:pPr>
            <w:r>
              <w:t>ALVE_ros010</w:t>
            </w:r>
          </w:p>
        </w:tc>
        <w:tc>
          <w:tcPr>
            <w:tcW w:w="1134" w:type="dxa"/>
            <w:vAlign w:val="center"/>
          </w:tcPr>
          <w:p w14:paraId="2738A86A" w14:textId="23F7F986" w:rsidR="005D76E3" w:rsidRPr="00A062CC" w:rsidRDefault="00B667E5" w:rsidP="00B667E5">
            <w:pPr>
              <w:pStyle w:val="Tablecontent"/>
              <w:jc w:val="center"/>
            </w:pPr>
            <w:r>
              <w:t>-</w:t>
            </w:r>
          </w:p>
        </w:tc>
        <w:tc>
          <w:tcPr>
            <w:tcW w:w="992" w:type="dxa"/>
            <w:vAlign w:val="center"/>
          </w:tcPr>
          <w:p w14:paraId="43A1B5D0" w14:textId="77777777" w:rsidR="005D76E3" w:rsidRPr="00A062CC" w:rsidRDefault="005D76E3" w:rsidP="00B667E5">
            <w:pPr>
              <w:pStyle w:val="Tablecontent"/>
              <w:jc w:val="center"/>
            </w:pPr>
            <w:r>
              <w:t>-</w:t>
            </w:r>
          </w:p>
        </w:tc>
        <w:tc>
          <w:tcPr>
            <w:tcW w:w="992" w:type="dxa"/>
            <w:vAlign w:val="center"/>
          </w:tcPr>
          <w:p w14:paraId="2DC8CC19" w14:textId="4A649328" w:rsidR="005D76E3" w:rsidRDefault="00B667E5" w:rsidP="00B667E5">
            <w:pPr>
              <w:pStyle w:val="Tablecontent"/>
              <w:jc w:val="center"/>
            </w:pPr>
            <w:r>
              <w:t>Medium</w:t>
            </w:r>
          </w:p>
        </w:tc>
      </w:tr>
      <w:tr w:rsidR="005D76E3" w14:paraId="775103E9" w14:textId="77777777" w:rsidTr="00B667E5">
        <w:trPr>
          <w:jc w:val="center"/>
        </w:trPr>
        <w:tc>
          <w:tcPr>
            <w:tcW w:w="1560" w:type="dxa"/>
            <w:vAlign w:val="center"/>
          </w:tcPr>
          <w:p w14:paraId="49B2CE6F" w14:textId="77777777" w:rsidR="005D76E3" w:rsidRDefault="005D76E3" w:rsidP="00B667E5">
            <w:pPr>
              <w:pStyle w:val="Tablecontent"/>
            </w:pPr>
            <w:r>
              <w:t>ALVE3</w:t>
            </w:r>
          </w:p>
        </w:tc>
        <w:tc>
          <w:tcPr>
            <w:tcW w:w="1134" w:type="dxa"/>
            <w:vAlign w:val="center"/>
          </w:tcPr>
          <w:p w14:paraId="6BA66305" w14:textId="77777777" w:rsidR="005D76E3" w:rsidRDefault="005D76E3" w:rsidP="00B667E5">
            <w:pPr>
              <w:pStyle w:val="Tablecontent"/>
              <w:jc w:val="center"/>
            </w:pPr>
            <w:r>
              <w:t>-</w:t>
            </w:r>
          </w:p>
        </w:tc>
        <w:tc>
          <w:tcPr>
            <w:tcW w:w="992" w:type="dxa"/>
            <w:vAlign w:val="center"/>
          </w:tcPr>
          <w:p w14:paraId="6931A9D4" w14:textId="77777777" w:rsidR="005D76E3" w:rsidRDefault="005D76E3" w:rsidP="00B667E5">
            <w:pPr>
              <w:pStyle w:val="Tablecontent"/>
              <w:jc w:val="center"/>
            </w:pPr>
            <w:r>
              <w:t>-</w:t>
            </w:r>
          </w:p>
        </w:tc>
        <w:tc>
          <w:tcPr>
            <w:tcW w:w="992" w:type="dxa"/>
            <w:vAlign w:val="center"/>
          </w:tcPr>
          <w:p w14:paraId="314D2353" w14:textId="221FA445" w:rsidR="005D76E3" w:rsidRDefault="00B667E5" w:rsidP="00B667E5">
            <w:pPr>
              <w:pStyle w:val="Tablecontent"/>
              <w:jc w:val="center"/>
            </w:pPr>
            <w:r>
              <w:t>Rare *</w:t>
            </w:r>
          </w:p>
        </w:tc>
      </w:tr>
      <w:tr w:rsidR="005D76E3" w14:paraId="73DF5398" w14:textId="77777777" w:rsidTr="00B667E5">
        <w:trPr>
          <w:jc w:val="center"/>
        </w:trPr>
        <w:tc>
          <w:tcPr>
            <w:tcW w:w="1560" w:type="dxa"/>
            <w:tcBorders>
              <w:bottom w:val="single" w:sz="4" w:space="0" w:color="auto"/>
            </w:tcBorders>
            <w:vAlign w:val="center"/>
          </w:tcPr>
          <w:p w14:paraId="7A0FFCE6" w14:textId="77777777" w:rsidR="005D76E3" w:rsidRDefault="005D76E3" w:rsidP="00B667E5">
            <w:pPr>
              <w:pStyle w:val="Tablecontent"/>
            </w:pPr>
            <w:r w:rsidRPr="00850E0E">
              <w:t>ALVE21</w:t>
            </w:r>
          </w:p>
        </w:tc>
        <w:tc>
          <w:tcPr>
            <w:tcW w:w="1134" w:type="dxa"/>
            <w:tcBorders>
              <w:bottom w:val="single" w:sz="4" w:space="0" w:color="auto"/>
            </w:tcBorders>
            <w:vAlign w:val="center"/>
          </w:tcPr>
          <w:p w14:paraId="5265FC1D" w14:textId="77777777" w:rsidR="005D76E3" w:rsidRPr="00A062CC" w:rsidRDefault="005D76E3" w:rsidP="00B667E5">
            <w:pPr>
              <w:pStyle w:val="Tablecontent"/>
              <w:jc w:val="center"/>
            </w:pPr>
            <w:r>
              <w:t>Fixed</w:t>
            </w:r>
          </w:p>
        </w:tc>
        <w:tc>
          <w:tcPr>
            <w:tcW w:w="992" w:type="dxa"/>
            <w:tcBorders>
              <w:bottom w:val="single" w:sz="4" w:space="0" w:color="auto"/>
            </w:tcBorders>
            <w:vAlign w:val="center"/>
          </w:tcPr>
          <w:p w14:paraId="2D85C86B" w14:textId="77777777" w:rsidR="005D76E3" w:rsidRPr="00A062CC" w:rsidRDefault="005D76E3" w:rsidP="00B667E5">
            <w:pPr>
              <w:pStyle w:val="Tablecontent"/>
              <w:jc w:val="center"/>
            </w:pPr>
            <w:r>
              <w:t>Fixed</w:t>
            </w:r>
          </w:p>
        </w:tc>
        <w:tc>
          <w:tcPr>
            <w:tcW w:w="992" w:type="dxa"/>
            <w:tcBorders>
              <w:bottom w:val="single" w:sz="4" w:space="0" w:color="auto"/>
            </w:tcBorders>
            <w:vAlign w:val="center"/>
          </w:tcPr>
          <w:p w14:paraId="00666939" w14:textId="77777777" w:rsidR="005D76E3" w:rsidRDefault="005D76E3" w:rsidP="00B667E5">
            <w:pPr>
              <w:pStyle w:val="Tablecontent"/>
              <w:jc w:val="center"/>
            </w:pPr>
            <w:r>
              <w:t>-</w:t>
            </w:r>
          </w:p>
        </w:tc>
      </w:tr>
    </w:tbl>
    <w:p w14:paraId="09BC4890" w14:textId="0188C66A" w:rsidR="0049607E" w:rsidRPr="002C549C" w:rsidRDefault="0049607E" w:rsidP="00BB2A7A">
      <w:pPr>
        <w:pStyle w:val="ListParagraph"/>
      </w:pPr>
      <w:r>
        <w:lastRenderedPageBreak/>
        <w:t>The RIR exhibited no fixed inserts, with most inserts having medium frequency and two with low frequency (</w:t>
      </w:r>
      <w:r>
        <w:fldChar w:fldCharType="begin" w:fldLock="1"/>
      </w:r>
      <w:r>
        <w:instrText xml:space="preserve"> REF _Ref479005296 \h </w:instrText>
      </w:r>
      <w:r w:rsidR="00BB2A7A">
        <w:instrText xml:space="preserve"> \* MERGEFORMAT </w:instrText>
      </w:r>
      <w:r>
        <w:fldChar w:fldCharType="separate"/>
      </w:r>
      <w:r w:rsidR="002C549C">
        <w:t>Table</w:t>
      </w:r>
      <w:r w:rsidR="002C549C">
        <w:rPr>
          <w:noProof/>
        </w:rPr>
        <w:t xml:space="preserve"> 6</w:t>
      </w:r>
      <w:r w:rsidR="002C549C">
        <w:t>.</w:t>
      </w:r>
      <w:r w:rsidR="002C549C">
        <w:rPr>
          <w:noProof/>
        </w:rPr>
        <w:t>7</w:t>
      </w:r>
      <w:r>
        <w:fldChar w:fldCharType="end"/>
      </w:r>
      <w:r>
        <w:t>). As with WPR1, the application of all developed KASPs to all lines enabled the detection of ALVE3 in the RIR. This is an insert shared with three WLs and not with the WPRs, the other brown egg layer lines. However, the frequency of this insert is very low, as it was only found in one heterozygous individual. Again, full genome mapping did not support this insertion, despite the region having 36.5X coverage, more than double the genome average. This exemplifies the potential for allele specific amplification during sequencing library preparation, as homogeneous amplification should result in one or two ALVE-homologous reads. Detection modelling for this site suggested a 44.0 % chan</w:t>
      </w:r>
      <w:r w:rsidR="00083395">
        <w:t xml:space="preserve">ce of identifying ALVE3 in the </w:t>
      </w:r>
      <w:r>
        <w:t xml:space="preserve">data. </w:t>
      </w:r>
    </w:p>
    <w:p w14:paraId="41C18D33" w14:textId="77777777" w:rsidR="0049607E" w:rsidRDefault="0049607E" w:rsidP="00391005">
      <w:pPr>
        <w:pStyle w:val="ListParagraph"/>
      </w:pPr>
    </w:p>
    <w:p w14:paraId="2A8ADFED" w14:textId="46A95382" w:rsidR="00440166" w:rsidRDefault="00440166" w:rsidP="00440166">
      <w:pPr>
        <w:pStyle w:val="Heading4"/>
      </w:pPr>
      <w:r>
        <w:t>Probability of detecting insertions with the HL pooled sequencing data</w:t>
      </w:r>
    </w:p>
    <w:p w14:paraId="2CBD5D57" w14:textId="77777777" w:rsidR="00440166" w:rsidRDefault="00440166" w:rsidP="00391005">
      <w:pPr>
        <w:pStyle w:val="ListParagraph"/>
      </w:pPr>
      <w:r>
        <w:t xml:space="preserve">The probability of insert detection in the pooled datasets is almost perfectly, positively correlated with the average genome coverage (r = 0.999, P &lt; 0.00001). However, the combination of sampling bias, variability in allele specific amplification, and relatively low coverage generates quite low detection probabilities from the model. </w:t>
      </w:r>
    </w:p>
    <w:p w14:paraId="0FDA71F4" w14:textId="363B12BB" w:rsidR="00440166" w:rsidRDefault="00440166" w:rsidP="00391005">
      <w:pPr>
        <w:pStyle w:val="ListParagraph"/>
      </w:pPr>
      <w:r>
        <w:t>Across the eight lines, 90</w:t>
      </w:r>
      <w:r w:rsidR="003D07C3">
        <w:t xml:space="preserve"> </w:t>
      </w:r>
      <w:r>
        <w:t>% detection confidence is only achieved with insertion frequencies between 0.3 (WL1) and 0.5 (WL4). At ALVE frequencies as low as 0.1, there is only a 28</w:t>
      </w:r>
      <w:r w:rsidR="003D07C3">
        <w:t xml:space="preserve"> </w:t>
      </w:r>
      <w:r>
        <w:t>-</w:t>
      </w:r>
      <w:r w:rsidR="003D07C3">
        <w:t xml:space="preserve"> </w:t>
      </w:r>
      <w:r>
        <w:t>45</w:t>
      </w:r>
      <w:r w:rsidR="003D07C3">
        <w:t xml:space="preserve"> </w:t>
      </w:r>
      <w:r>
        <w:t>% chance of detecting that insert across the lines. This means</w:t>
      </w:r>
      <w:r w:rsidR="00FC34C8">
        <w:t xml:space="preserve"> that there is a high probability</w:t>
      </w:r>
      <w:r>
        <w:t xml:space="preserve"> that rare ALVEs will be missed from the pooled sequencing data. This is particularly important when ALVE insertions are line specific, and therefore cannot be identified using assays developed from detection in other lines. As coverage and sequencing variability largely determine detection probability, increasing the number of sampled individuals</w:t>
      </w:r>
      <w:r w:rsidR="000A3296">
        <w:t xml:space="preserve"> in the pool</w:t>
      </w:r>
      <w:r>
        <w:t xml:space="preserve"> does not improve the rate of detection. </w:t>
      </w:r>
      <w:r w:rsidR="00E86F44">
        <w:t xml:space="preserve"> </w:t>
      </w:r>
    </w:p>
    <w:p w14:paraId="4921AE65" w14:textId="77777777" w:rsidR="00440166" w:rsidRDefault="00440166" w:rsidP="00391005">
      <w:pPr>
        <w:pStyle w:val="ListParagraph"/>
      </w:pPr>
    </w:p>
    <w:p w14:paraId="4E99248E" w14:textId="55069B92" w:rsidR="006F42F5" w:rsidRDefault="006F42F5" w:rsidP="00AE3685">
      <w:pPr>
        <w:pStyle w:val="Heading3"/>
      </w:pPr>
      <w:bookmarkStart w:id="460" w:name="_Toc485721646"/>
      <w:bookmarkStart w:id="461" w:name="_Toc486787226"/>
      <w:bookmarkStart w:id="462" w:name="_Toc486787374"/>
      <w:r>
        <w:t>Multi-generation genotyping of line males</w:t>
      </w:r>
      <w:bookmarkEnd w:id="460"/>
      <w:bookmarkEnd w:id="461"/>
      <w:bookmarkEnd w:id="462"/>
    </w:p>
    <w:p w14:paraId="1E20DB09" w14:textId="613CFA71" w:rsidR="009E4920" w:rsidRDefault="009E4920" w:rsidP="00391005">
      <w:pPr>
        <w:pStyle w:val="ListParagraph"/>
      </w:pPr>
      <w:r>
        <w:t xml:space="preserve">In addition to the eighty individuals used for </w:t>
      </w:r>
      <w:r w:rsidR="00BA4F1B">
        <w:t>re</w:t>
      </w:r>
      <w:r>
        <w:t xml:space="preserve">sequencing, DNA was also available for all the males of each of the eight lines for fifteen generations, totalling over nine thousand samples. This enabled the detection of insert frequency changes over time, as well as the </w:t>
      </w:r>
      <w:r>
        <w:lastRenderedPageBreak/>
        <w:t>potential discovery of inserts present in lines when the birds use</w:t>
      </w:r>
      <w:r w:rsidR="000A3296">
        <w:t>d for resequencing did not contain</w:t>
      </w:r>
      <w:r>
        <w:t xml:space="preserve"> those inserts. However, this would only detect inserts found in at least one of the lines from the resequencing data, not </w:t>
      </w:r>
      <w:r w:rsidR="00E70CE1">
        <w:t xml:space="preserve">unidentified </w:t>
      </w:r>
      <w:r w:rsidR="00BA4F1B">
        <w:t>line-</w:t>
      </w:r>
      <w:r w:rsidR="00706581">
        <w:t>specific</w:t>
      </w:r>
      <w:r>
        <w:t xml:space="preserve"> inserts, as a KASP assay would not have been developed for them. </w:t>
      </w:r>
    </w:p>
    <w:p w14:paraId="7363B33D" w14:textId="4F52800B" w:rsidR="003B67AC" w:rsidRDefault="00706581" w:rsidP="00391005">
      <w:pPr>
        <w:pStyle w:val="ListParagraph"/>
      </w:pPr>
      <w:r>
        <w:t>The multi-generation data for the WLs matche</w:t>
      </w:r>
      <w:r w:rsidR="00E70CE1">
        <w:t>d</w:t>
      </w:r>
      <w:r w:rsidR="00A76DDE">
        <w:t xml:space="preserve"> the </w:t>
      </w:r>
      <w:r w:rsidR="00BE24C7">
        <w:t>sequenced</w:t>
      </w:r>
      <w:r>
        <w:t xml:space="preserve"> indi</w:t>
      </w:r>
      <w:r w:rsidR="00E70CE1">
        <w:t>viduals very well</w:t>
      </w:r>
      <w:r w:rsidR="005D76E3">
        <w:t>, with each frequency category matching those from the 2008 resequenced individuals (</w:t>
      </w:r>
      <w:r w:rsidR="005D76E3">
        <w:fldChar w:fldCharType="begin" w:fldLock="1"/>
      </w:r>
      <w:r w:rsidR="005D76E3">
        <w:instrText xml:space="preserve"> REF _Ref479004776 \h </w:instrText>
      </w:r>
      <w:r w:rsidR="005D76E3">
        <w:fldChar w:fldCharType="separate"/>
      </w:r>
      <w:r w:rsidR="002C549C">
        <w:t xml:space="preserve">Table </w:t>
      </w:r>
      <w:r w:rsidR="002C549C">
        <w:rPr>
          <w:noProof/>
        </w:rPr>
        <w:t>6</w:t>
      </w:r>
      <w:r w:rsidR="002C549C">
        <w:t>.</w:t>
      </w:r>
      <w:r w:rsidR="002C549C">
        <w:rPr>
          <w:noProof/>
        </w:rPr>
        <w:t>6</w:t>
      </w:r>
      <w:r w:rsidR="005D76E3">
        <w:fldChar w:fldCharType="end"/>
      </w:r>
      <w:r w:rsidR="005D76E3">
        <w:t>)</w:t>
      </w:r>
      <w:r w:rsidR="00E70CE1">
        <w:t xml:space="preserve">. One </w:t>
      </w:r>
      <w:r w:rsidR="00FC34C8">
        <w:t>difference wa</w:t>
      </w:r>
      <w:r>
        <w:t>s that the ob</w:t>
      </w:r>
      <w:r w:rsidR="00FC34C8">
        <w:t>served ALVE1 frequency for WL3 wa</w:t>
      </w:r>
      <w:r>
        <w:t xml:space="preserve">s half that observed </w:t>
      </w:r>
      <w:r w:rsidR="005D76E3">
        <w:t>in the sequenced individuals</w:t>
      </w:r>
      <w:r>
        <w:t>. This frequency remains in the ‘medium’ category, but is rarer than the original sampling would suggest.</w:t>
      </w:r>
      <w:r w:rsidR="00476379">
        <w:t xml:space="preserve"> Interestingly, ALVE3 frequency has been gradually increasing in WL2, </w:t>
      </w:r>
      <w:r w:rsidR="007A3DC1">
        <w:t>WL3 and WL4, but not in the RIR</w:t>
      </w:r>
      <w:r w:rsidR="00476379">
        <w:t>.</w:t>
      </w:r>
      <w:r w:rsidR="003B67AC">
        <w:t xml:space="preserve"> </w:t>
      </w:r>
      <w:r w:rsidR="00946A11">
        <w:t>ALVE3 is an intronic insertion, within the sixth intron the HCK tyrosine protein kinase gene, and is centred in a 200 kb region containing twenty genes (</w:t>
      </w:r>
      <w:r w:rsidR="00FC34C8">
        <w:fldChar w:fldCharType="begin" w:fldLock="1"/>
      </w:r>
      <w:r w:rsidR="00FC34C8">
        <w:instrText xml:space="preserve"> REF _Ref486659285 \h </w:instrText>
      </w:r>
      <w:r w:rsidR="00FC34C8">
        <w:fldChar w:fldCharType="separate"/>
      </w:r>
      <w:r w:rsidR="002C549C">
        <w:t xml:space="preserve">Figure </w:t>
      </w:r>
      <w:r w:rsidR="002C549C">
        <w:rPr>
          <w:noProof/>
        </w:rPr>
        <w:t>6</w:t>
      </w:r>
      <w:r w:rsidR="002C549C">
        <w:t>.</w:t>
      </w:r>
      <w:r w:rsidR="002C549C">
        <w:rPr>
          <w:noProof/>
        </w:rPr>
        <w:t>8</w:t>
      </w:r>
      <w:r w:rsidR="00FC34C8">
        <w:fldChar w:fldCharType="end"/>
      </w:r>
      <w:r w:rsidR="00946A11">
        <w:t>). T</w:t>
      </w:r>
      <w:r w:rsidR="003B67AC" w:rsidRPr="007E40B1">
        <w:t>his</w:t>
      </w:r>
      <w:r w:rsidR="00946A11">
        <w:t xml:space="preserve"> region</w:t>
      </w:r>
      <w:r w:rsidR="003B67AC" w:rsidRPr="007E40B1">
        <w:t xml:space="preserve"> includes the immune gene IRF9 (interferon regulatory factor 9)</w:t>
      </w:r>
      <w:r w:rsidR="009321F8">
        <w:t>,</w:t>
      </w:r>
      <w:r w:rsidR="003B67AC" w:rsidRPr="007E40B1">
        <w:t xml:space="preserve"> and the apoptosis regulator BCL2L1 (B-cell lym</w:t>
      </w:r>
      <w:r w:rsidR="009321F8">
        <w:t>phoma 2 like protein 1), which has</w:t>
      </w:r>
      <w:r w:rsidR="003B67AC" w:rsidRPr="007E40B1">
        <w:t xml:space="preserve"> been identif</w:t>
      </w:r>
      <w:r w:rsidR="009321F8">
        <w:t>ied as a candidate in differential response</w:t>
      </w:r>
      <w:r w:rsidR="00A23DF1">
        <w:t xml:space="preserve"> to MDV</w:t>
      </w:r>
      <w:r w:rsidR="009321F8">
        <w:t xml:space="preserve"> </w:t>
      </w:r>
      <w:r w:rsidR="009321F8">
        <w:fldChar w:fldCharType="begin" w:fldLock="1"/>
      </w:r>
      <w:r w:rsidR="0066550B">
        <w:instrText>ADDIN CSL_CITATION { "citationItems" : [ { "id" : "ITEM-1", "itemData" : { "author" : [ { "dropping-particle" : "", "family" : "Ohashi", "given" : "K", "non-dropping-particle" : "", "parse-names" : false, "suffix" : "" }, { "dropping-particle" : "", "family" : "Morimura", "given" : "T", "non-dropping-particle" : "", "parse-names" : false, "suffix" : "" }, { "dropping-particle" : "", "family" : "Takagi", "given" : "M", "non-dropping-particle" : "", "parse-names" : false, "suffix" : "" }, { "dropping-particle" : "", "family" : "Lee", "given" : "SI", "non-dropping-particle" : "", "parse-names" : false, "suffix" : "" }, { "dropping-particle" : "", "family" : "Cho", "given" : "KO", "non-dropping-particle" : "", "parse-names" : false, "suffix" : "" }, { "dropping-particle" : "", "family" : "Takahashi", "given" : "H", "non-dropping-particle" : "", "parse-names" : false, "suffix" : "" }, { "dropping-particle" : "", "family" : "Meda", "given" : "Y", "non-dropping-particle" : "", "parse-names" : false, "suffix" : "" }, { "dropping-particle" : "", "family" : "Sugimoto", "given" : "C", "non-dropping-particle" : "", "parse-names" : false, "suffix" : "" }, { "dropping-particle" : "", "family" : "Onuma", "given" : "M", "non-dropping-particle" : "", "parse-names" : false, "suffix" : "" } ], "container-title" : "Acta virologica", "id" : "ITEM-1", "issue" : "2-3", "issued" : { "date-parts" : [ [ "1998" ] ] }, "page" : "128-132", "title" : "Expression of bcl-2 and bcl-x genes in lymphocytes and tumor cell lines derived from MDV-infected chickens.", "type" : "article-journal", "volume" : "43" }, "uris" : [ "http://www.mendeley.com/documents/?uuid=c2cbc821-8763-46e7-af09-2fac560082a5" ] } ], "mendeley" : { "formattedCitation" : "(Ohashi et al. 1998)", "plainTextFormattedCitation" : "(Ohashi et al. 1998)", "previouslyFormattedCitation" : "(Ohashi et al. 1998)" }, "properties" : { "noteIndex" : 0 }, "schema" : "https://github.com/citation-style-language/schema/raw/master/csl-citation.json" }</w:instrText>
      </w:r>
      <w:r w:rsidR="009321F8">
        <w:fldChar w:fldCharType="separate"/>
      </w:r>
      <w:r w:rsidR="009321F8" w:rsidRPr="009321F8">
        <w:rPr>
          <w:noProof/>
        </w:rPr>
        <w:t>(Ohashi et al. 1998)</w:t>
      </w:r>
      <w:r w:rsidR="009321F8">
        <w:fldChar w:fldCharType="end"/>
      </w:r>
      <w:r w:rsidR="003B67AC" w:rsidRPr="007E40B1">
        <w:t xml:space="preserve">. </w:t>
      </w:r>
    </w:p>
    <w:p w14:paraId="52E0315B" w14:textId="77777777" w:rsidR="003B67AC" w:rsidRPr="003A3EAD" w:rsidRDefault="003B67AC" w:rsidP="00391005">
      <w:pPr>
        <w:pStyle w:val="ListParagraph"/>
      </w:pPr>
    </w:p>
    <w:p w14:paraId="7DD2562F" w14:textId="77777777" w:rsidR="003B67AC" w:rsidRDefault="003B67AC" w:rsidP="00391005">
      <w:pPr>
        <w:pStyle w:val="ListParagraph"/>
      </w:pPr>
      <w:r>
        <w:rPr>
          <w:noProof/>
          <w:lang w:eastAsia="en-GB"/>
        </w:rPr>
        <w:drawing>
          <wp:inline distT="0" distB="0" distL="0" distR="0" wp14:anchorId="263536AE" wp14:editId="627F7E16">
            <wp:extent cx="5217209" cy="985652"/>
            <wp:effectExtent l="0" t="0" r="254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1942" cy="990325"/>
                    </a:xfrm>
                    <a:prstGeom prst="rect">
                      <a:avLst/>
                    </a:prstGeom>
                    <a:noFill/>
                  </pic:spPr>
                </pic:pic>
              </a:graphicData>
            </a:graphic>
          </wp:inline>
        </w:drawing>
      </w:r>
    </w:p>
    <w:p w14:paraId="09413905" w14:textId="221EABAC" w:rsidR="003B67AC" w:rsidRDefault="003B67AC" w:rsidP="003B67AC">
      <w:pPr>
        <w:pStyle w:val="Figure"/>
      </w:pPr>
      <w:bookmarkStart w:id="463" w:name="_Ref486659285"/>
      <w:bookmarkStart w:id="464" w:name="_Toc486785453"/>
      <w:r>
        <w:t xml:space="preserve">Figure </w:t>
      </w:r>
      <w:fldSimple w:instr=" STYLEREF 1 \s " w:fldLock="1">
        <w:r w:rsidR="002C549C">
          <w:rPr>
            <w:noProof/>
          </w:rPr>
          <w:t>6</w:t>
        </w:r>
      </w:fldSimple>
      <w:r w:rsidR="001167C6">
        <w:t>.</w:t>
      </w:r>
      <w:fldSimple w:instr=" SEQ Figure \* ARABIC \s 1 " w:fldLock="1">
        <w:r w:rsidR="002C549C">
          <w:rPr>
            <w:noProof/>
          </w:rPr>
          <w:t>8</w:t>
        </w:r>
      </w:fldSimple>
      <w:bookmarkEnd w:id="463"/>
      <w:r>
        <w:t xml:space="preserve"> Ensembl view of the 200 kb genomic region centred on the</w:t>
      </w:r>
      <w:r w:rsidR="00FC34C8">
        <w:t xml:space="preserve"> ALVE3-containing HCK gene. Tracks have</w:t>
      </w:r>
      <w:r>
        <w:t xml:space="preserve"> been collapsed down to genes (red) and</w:t>
      </w:r>
      <w:r w:rsidR="00FC34C8">
        <w:t xml:space="preserve"> predicted lncRNA (grey). The image</w:t>
      </w:r>
      <w:r>
        <w:t xml:space="preserve"> is a screenshot from the Ensembl website.</w:t>
      </w:r>
      <w:bookmarkEnd w:id="464"/>
    </w:p>
    <w:p w14:paraId="7AD6CE20" w14:textId="18D78AEE" w:rsidR="000A3296" w:rsidRPr="000A3296" w:rsidRDefault="00706581" w:rsidP="000A3296">
      <w:pPr>
        <w:pStyle w:val="ListParagraph"/>
      </w:pPr>
      <w:r>
        <w:t xml:space="preserve">The WPR sequenced individuals </w:t>
      </w:r>
      <w:r w:rsidR="000A3296">
        <w:t>were far less representative of</w:t>
      </w:r>
      <w:r>
        <w:t xml:space="preserve"> the</w:t>
      </w:r>
      <w:r w:rsidR="005100E1">
        <w:t xml:space="preserve"> multi-generation data. ALVEB5 wa</w:t>
      </w:r>
      <w:r>
        <w:t xml:space="preserve">s rarer </w:t>
      </w:r>
      <w:r w:rsidR="00BE24C7">
        <w:t xml:space="preserve">overall </w:t>
      </w:r>
      <w:r>
        <w:t>in both lines than in the sequenced individuals</w:t>
      </w:r>
      <w:r w:rsidR="00E70CE1">
        <w:t>,</w:t>
      </w:r>
      <w:r>
        <w:t xml:space="preserve"> and ALVE-NSAC</w:t>
      </w:r>
      <w:r w:rsidR="00E70CE1">
        <w:t>7</w:t>
      </w:r>
      <w:r w:rsidR="005100E1">
        <w:t xml:space="preserve"> wa</w:t>
      </w:r>
      <w:r>
        <w:t>s not fixed in WPR1</w:t>
      </w:r>
      <w:r w:rsidR="00E70CE1">
        <w:t>,</w:t>
      </w:r>
      <w:r>
        <w:t xml:space="preserve"> as was suggested</w:t>
      </w:r>
      <w:r w:rsidR="00E70CE1">
        <w:t xml:space="preserve"> above</w:t>
      </w:r>
      <w:r w:rsidR="005100E1">
        <w:t>, but wa</w:t>
      </w:r>
      <w:r>
        <w:t>s 25% rarer</w:t>
      </w:r>
      <w:r w:rsidR="000A3296">
        <w:t>,</w:t>
      </w:r>
      <w:r>
        <w:t xml:space="preserve"> with a fre</w:t>
      </w:r>
      <w:r w:rsidR="00E70CE1">
        <w:t>quency bordering medium to high, lower than observed in WPR2</w:t>
      </w:r>
      <w:r w:rsidR="00B667E5">
        <w:t xml:space="preserve"> (</w:t>
      </w:r>
      <w:r w:rsidR="00785763">
        <w:fldChar w:fldCharType="begin" w:fldLock="1"/>
      </w:r>
      <w:r w:rsidR="00785763">
        <w:instrText xml:space="preserve"> REF _Ref479005902 \h </w:instrText>
      </w:r>
      <w:r w:rsidR="00785763">
        <w:fldChar w:fldCharType="separate"/>
      </w:r>
      <w:r w:rsidR="002C549C">
        <w:t xml:space="preserve">Table </w:t>
      </w:r>
      <w:r w:rsidR="002C549C">
        <w:rPr>
          <w:noProof/>
        </w:rPr>
        <w:t>6</w:t>
      </w:r>
      <w:r w:rsidR="002C549C">
        <w:t>.</w:t>
      </w:r>
      <w:r w:rsidR="002C549C">
        <w:rPr>
          <w:noProof/>
        </w:rPr>
        <w:t>8</w:t>
      </w:r>
      <w:r w:rsidR="00785763">
        <w:fldChar w:fldCharType="end"/>
      </w:r>
      <w:r w:rsidR="00B667E5">
        <w:t>)</w:t>
      </w:r>
      <w:r w:rsidR="00704261">
        <w:t>. Additionally, three</w:t>
      </w:r>
      <w:r w:rsidR="00E70CE1">
        <w:t xml:space="preserve"> insertions identified in the RIR were identified in the WPRs. Both lines had </w:t>
      </w:r>
      <w:r w:rsidR="003D07C3">
        <w:t>ALVE_ros004</w:t>
      </w:r>
      <w:r w:rsidR="00E70CE1">
        <w:t xml:space="preserve"> at a rare frequency and WPR1 also exhibited </w:t>
      </w:r>
      <w:r w:rsidR="00704261">
        <w:t xml:space="preserve">ALVE_ros005 at a rare frequency and </w:t>
      </w:r>
      <w:r w:rsidR="003D07C3">
        <w:t>ALVE_ros010</w:t>
      </w:r>
      <w:r w:rsidR="00E70CE1">
        <w:t xml:space="preserve"> at a low frequency.</w:t>
      </w:r>
      <w:r w:rsidR="00B667E5">
        <w:t xml:space="preserve"> In WPR1</w:t>
      </w:r>
      <w:r w:rsidR="00E70CE1">
        <w:t xml:space="preserve"> </w:t>
      </w:r>
      <w:r w:rsidR="00B667E5">
        <w:t>t</w:t>
      </w:r>
      <w:r w:rsidR="00704261">
        <w:t xml:space="preserve">he frequencies of </w:t>
      </w:r>
      <w:r w:rsidR="00704261">
        <w:lastRenderedPageBreak/>
        <w:t>all three</w:t>
      </w:r>
      <w:r w:rsidR="00E70CE1">
        <w:t xml:space="preserve"> </w:t>
      </w:r>
      <w:r w:rsidR="005100E1">
        <w:t>had</w:t>
      </w:r>
      <w:r w:rsidR="00E70CE1">
        <w:t xml:space="preserve"> remained </w:t>
      </w:r>
      <w:r w:rsidR="00BE24C7">
        <w:t>consistent over the sampled generations</w:t>
      </w:r>
      <w:r w:rsidR="00E70CE1">
        <w:t xml:space="preserve">, but the WPR2 </w:t>
      </w:r>
      <w:r w:rsidR="003D07C3">
        <w:t>ALVE_ros004</w:t>
      </w:r>
      <w:r w:rsidR="005100E1">
        <w:t xml:space="preserve"> frequency</w:t>
      </w:r>
      <w:r w:rsidR="00E70CE1">
        <w:t xml:space="preserve"> dropped rapidly over the last </w:t>
      </w:r>
      <w:r w:rsidR="00BE24C7">
        <w:t xml:space="preserve">eleven generations from medium to rare frequency. </w:t>
      </w:r>
      <w:r w:rsidR="003D07C3">
        <w:t>ALVE_ros004</w:t>
      </w:r>
      <w:r w:rsidR="00BE24C7">
        <w:t xml:space="preserve"> is intergenic: over 40kb upstream from the reverse strand gene MMP16 (</w:t>
      </w:r>
      <w:r w:rsidR="00BE24C7" w:rsidRPr="000A3296">
        <w:t>matrix metallopeptidase 16</w:t>
      </w:r>
      <w:r w:rsidR="00BE24C7">
        <w:t>), and 450kb upstream of the forward strand gene RIPK2 (</w:t>
      </w:r>
      <w:r w:rsidR="00BE24C7" w:rsidRPr="000A3296">
        <w:t>receptor interacting serine/threonine kinase 2</w:t>
      </w:r>
      <w:r w:rsidR="00BE24C7">
        <w:t xml:space="preserve">). </w:t>
      </w:r>
      <w:r w:rsidR="00887D29">
        <w:t>Additionally, ALVE_ros009 was also found in WPR1 in the 1996-1998 generations at rare frequencies, but was then lost from the population, so was</w:t>
      </w:r>
      <w:r w:rsidR="005100E1">
        <w:t xml:space="preserve"> no</w:t>
      </w:r>
      <w:r w:rsidR="00887D29">
        <w:t>t counted in the 2010 frequency data. The frequency of</w:t>
      </w:r>
      <w:r w:rsidR="005100E1">
        <w:t xml:space="preserve"> ALVE_ros009 in WPR2 did not have</w:t>
      </w:r>
      <w:r w:rsidR="00887D29">
        <w:t xml:space="preserve"> a similar decline, so the loss from WPR1 was likely due to drift.</w:t>
      </w:r>
      <w:r w:rsidR="00CA2289">
        <w:t xml:space="preserve"> </w:t>
      </w:r>
      <w:bookmarkStart w:id="465" w:name="_Ref479005902"/>
    </w:p>
    <w:p w14:paraId="1E8C9C9D" w14:textId="2FC517D0" w:rsidR="00625E83" w:rsidRPr="00BB2A7A" w:rsidRDefault="00B667E5" w:rsidP="000A3296">
      <w:pPr>
        <w:pStyle w:val="Caption"/>
        <w:spacing w:before="0"/>
        <w:rPr>
          <w:sz w:val="18"/>
        </w:rPr>
      </w:pPr>
      <w:bookmarkStart w:id="466" w:name="_Toc486786331"/>
      <w:r>
        <w:t xml:space="preserve">Table </w:t>
      </w:r>
      <w:fldSimple w:instr=" STYLEREF 1 \s " w:fldLock="1">
        <w:r w:rsidR="00A64FF2">
          <w:rPr>
            <w:noProof/>
          </w:rPr>
          <w:t>6</w:t>
        </w:r>
      </w:fldSimple>
      <w:r w:rsidR="001167C6">
        <w:t>.</w:t>
      </w:r>
      <w:fldSimple w:instr=" SEQ Table \* ARABIC \s 1 " w:fldLock="1">
        <w:r w:rsidR="00A64FF2">
          <w:rPr>
            <w:noProof/>
          </w:rPr>
          <w:t>8</w:t>
        </w:r>
      </w:fldSimple>
      <w:bookmarkEnd w:id="465"/>
      <w:r>
        <w:t xml:space="preserve"> Observed</w:t>
      </w:r>
      <w:r w:rsidRPr="005D76E3">
        <w:t xml:space="preserve"> frequency categories fo</w:t>
      </w:r>
      <w:r>
        <w:t xml:space="preserve">r each identified </w:t>
      </w:r>
      <w:r w:rsidRPr="005D76E3">
        <w:t xml:space="preserve">ALVE in the </w:t>
      </w:r>
      <w:r>
        <w:t>three</w:t>
      </w:r>
      <w:r w:rsidRPr="005D76E3">
        <w:t xml:space="preserve"> Hy-L</w:t>
      </w:r>
      <w:r>
        <w:t xml:space="preserve">ine </w:t>
      </w:r>
      <w:r w:rsidR="00785763">
        <w:t>brown</w:t>
      </w:r>
      <w:r>
        <w:t xml:space="preserve"> egg elite layer lines, using the most recently available, 2010 fu</w:t>
      </w:r>
      <w:r w:rsidR="00FF1160">
        <w:t>ll generation of male birds. Entries indicated by asterisk were</w:t>
      </w:r>
      <w:r>
        <w:t xml:space="preserve"> ALVEs present in the lines but absent from the 2008 reseq</w:t>
      </w:r>
      <w:r w:rsidR="00FF1160">
        <w:t>uenced birds, and the entries indicated by</w:t>
      </w:r>
      <w:r>
        <w:t xml:space="preserve"> the </w:t>
      </w:r>
      <w:r w:rsidR="00785763">
        <w:t>circumflex</w:t>
      </w:r>
      <w:r w:rsidR="00FF1160">
        <w:t xml:space="preserve"> were ALVEs</w:t>
      </w:r>
      <w:r>
        <w:t xml:space="preserve"> with frequency categories different from</w:t>
      </w:r>
      <w:r w:rsidR="00A64FF2">
        <w:t xml:space="preserve"> Table 6.7</w:t>
      </w:r>
      <w:r>
        <w:t>.</w:t>
      </w:r>
      <w:bookmarkEnd w:id="466"/>
    </w:p>
    <w:tbl>
      <w:tblPr>
        <w:tblStyle w:val="TableGrid"/>
        <w:tblW w:w="46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134"/>
        <w:gridCol w:w="992"/>
        <w:gridCol w:w="992"/>
      </w:tblGrid>
      <w:tr w:rsidR="00CA2289" w14:paraId="2F771CA3" w14:textId="29C0435A" w:rsidTr="00CA2289">
        <w:trPr>
          <w:trHeight w:val="515"/>
          <w:jc w:val="center"/>
        </w:trPr>
        <w:tc>
          <w:tcPr>
            <w:tcW w:w="1560" w:type="dxa"/>
            <w:tcBorders>
              <w:top w:val="single" w:sz="4" w:space="0" w:color="auto"/>
              <w:bottom w:val="single" w:sz="4" w:space="0" w:color="auto"/>
            </w:tcBorders>
            <w:vAlign w:val="center"/>
          </w:tcPr>
          <w:p w14:paraId="0A40095E" w14:textId="77777777" w:rsidR="00CA2289" w:rsidRDefault="00CA2289" w:rsidP="00B667E5">
            <w:pPr>
              <w:pStyle w:val="Tablecontent"/>
            </w:pPr>
            <w:r>
              <w:t>Name</w:t>
            </w:r>
          </w:p>
        </w:tc>
        <w:tc>
          <w:tcPr>
            <w:tcW w:w="1134" w:type="dxa"/>
            <w:tcBorders>
              <w:top w:val="single" w:sz="4" w:space="0" w:color="auto"/>
              <w:bottom w:val="single" w:sz="4" w:space="0" w:color="auto"/>
            </w:tcBorders>
            <w:vAlign w:val="center"/>
          </w:tcPr>
          <w:p w14:paraId="55B423C1" w14:textId="7DD859A5" w:rsidR="00CA2289" w:rsidRDefault="00CA2289" w:rsidP="00B667E5">
            <w:pPr>
              <w:pStyle w:val="Tablecontent"/>
              <w:jc w:val="center"/>
            </w:pPr>
            <w:r>
              <w:t>WPR1</w:t>
            </w:r>
          </w:p>
        </w:tc>
        <w:tc>
          <w:tcPr>
            <w:tcW w:w="992" w:type="dxa"/>
            <w:tcBorders>
              <w:top w:val="single" w:sz="4" w:space="0" w:color="auto"/>
              <w:bottom w:val="single" w:sz="4" w:space="0" w:color="auto"/>
            </w:tcBorders>
            <w:vAlign w:val="center"/>
          </w:tcPr>
          <w:p w14:paraId="7ACC7D53" w14:textId="57090F6A" w:rsidR="00CA2289" w:rsidRDefault="00CA2289" w:rsidP="00B667E5">
            <w:pPr>
              <w:pStyle w:val="Tablecontent"/>
              <w:jc w:val="center"/>
            </w:pPr>
            <w:r>
              <w:t>WPR2</w:t>
            </w:r>
          </w:p>
        </w:tc>
        <w:tc>
          <w:tcPr>
            <w:tcW w:w="992" w:type="dxa"/>
            <w:tcBorders>
              <w:top w:val="single" w:sz="4" w:space="0" w:color="auto"/>
              <w:bottom w:val="single" w:sz="4" w:space="0" w:color="auto"/>
            </w:tcBorders>
            <w:vAlign w:val="center"/>
          </w:tcPr>
          <w:p w14:paraId="4FE48D51" w14:textId="7D5DCAC8" w:rsidR="00CA2289" w:rsidRDefault="00CA2289" w:rsidP="00CA2289">
            <w:pPr>
              <w:pStyle w:val="Tablecontent"/>
              <w:jc w:val="center"/>
            </w:pPr>
            <w:r>
              <w:t>RIR</w:t>
            </w:r>
          </w:p>
        </w:tc>
      </w:tr>
      <w:tr w:rsidR="00CA2289" w14:paraId="2D6C21D5" w14:textId="0E0E2A0E" w:rsidTr="00CA2289">
        <w:trPr>
          <w:jc w:val="center"/>
        </w:trPr>
        <w:tc>
          <w:tcPr>
            <w:tcW w:w="1560" w:type="dxa"/>
            <w:tcBorders>
              <w:top w:val="single" w:sz="4" w:space="0" w:color="auto"/>
            </w:tcBorders>
            <w:vAlign w:val="center"/>
          </w:tcPr>
          <w:p w14:paraId="079271B5" w14:textId="402D2D81" w:rsidR="00CA2289" w:rsidRDefault="00CA2289" w:rsidP="00B667E5">
            <w:pPr>
              <w:pStyle w:val="Tablecontent"/>
            </w:pPr>
            <w:r>
              <w:t>ALVEB5</w:t>
            </w:r>
          </w:p>
        </w:tc>
        <w:tc>
          <w:tcPr>
            <w:tcW w:w="1134" w:type="dxa"/>
            <w:tcBorders>
              <w:top w:val="single" w:sz="4" w:space="0" w:color="auto"/>
            </w:tcBorders>
            <w:vAlign w:val="center"/>
          </w:tcPr>
          <w:p w14:paraId="1820F417" w14:textId="58039889" w:rsidR="00CA2289" w:rsidRDefault="00CA2289" w:rsidP="00B667E5">
            <w:pPr>
              <w:pStyle w:val="Tablecontent"/>
              <w:jc w:val="center"/>
            </w:pPr>
            <w:r>
              <w:t>Rare</w:t>
            </w:r>
          </w:p>
        </w:tc>
        <w:tc>
          <w:tcPr>
            <w:tcW w:w="992" w:type="dxa"/>
            <w:tcBorders>
              <w:top w:val="single" w:sz="4" w:space="0" w:color="auto"/>
            </w:tcBorders>
            <w:vAlign w:val="center"/>
          </w:tcPr>
          <w:p w14:paraId="4340C6D6" w14:textId="5CB3554C" w:rsidR="00CA2289" w:rsidRDefault="00CA2289" w:rsidP="00B667E5">
            <w:pPr>
              <w:pStyle w:val="Tablecontent"/>
              <w:jc w:val="center"/>
            </w:pPr>
            <w:r>
              <w:t>Medium</w:t>
            </w:r>
          </w:p>
        </w:tc>
        <w:tc>
          <w:tcPr>
            <w:tcW w:w="992" w:type="dxa"/>
            <w:tcBorders>
              <w:top w:val="single" w:sz="4" w:space="0" w:color="auto"/>
            </w:tcBorders>
            <w:vAlign w:val="center"/>
          </w:tcPr>
          <w:p w14:paraId="50701574" w14:textId="48196712" w:rsidR="00CA2289" w:rsidRDefault="00CA2289" w:rsidP="00CA2289">
            <w:pPr>
              <w:pStyle w:val="Tablecontent"/>
              <w:jc w:val="center"/>
            </w:pPr>
            <w:r>
              <w:t>Low</w:t>
            </w:r>
            <w:r w:rsidR="00B667E5">
              <w:t xml:space="preserve"> </w:t>
            </w:r>
            <w:r w:rsidR="00785763">
              <w:t>^</w:t>
            </w:r>
          </w:p>
        </w:tc>
      </w:tr>
      <w:tr w:rsidR="00CA2289" w14:paraId="4E43F439" w14:textId="77777777" w:rsidTr="00CA2289">
        <w:trPr>
          <w:jc w:val="center"/>
        </w:trPr>
        <w:tc>
          <w:tcPr>
            <w:tcW w:w="1560" w:type="dxa"/>
            <w:vAlign w:val="center"/>
          </w:tcPr>
          <w:p w14:paraId="1F6C137E" w14:textId="59C614C0" w:rsidR="00CA2289" w:rsidRDefault="00CA2289" w:rsidP="00B667E5">
            <w:pPr>
              <w:pStyle w:val="Tablecontent"/>
            </w:pPr>
            <w:r>
              <w:t>ALVE</w:t>
            </w:r>
            <w:r w:rsidR="005D76E3">
              <w:t>_ros</w:t>
            </w:r>
            <w:r>
              <w:t>001</w:t>
            </w:r>
          </w:p>
        </w:tc>
        <w:tc>
          <w:tcPr>
            <w:tcW w:w="1134" w:type="dxa"/>
            <w:vAlign w:val="center"/>
          </w:tcPr>
          <w:p w14:paraId="1034865E" w14:textId="50889D59" w:rsidR="00CA2289" w:rsidRDefault="00CA2289" w:rsidP="00B667E5">
            <w:pPr>
              <w:pStyle w:val="Tablecontent"/>
              <w:jc w:val="center"/>
            </w:pPr>
            <w:r>
              <w:t>-</w:t>
            </w:r>
          </w:p>
        </w:tc>
        <w:tc>
          <w:tcPr>
            <w:tcW w:w="992" w:type="dxa"/>
            <w:vAlign w:val="center"/>
          </w:tcPr>
          <w:p w14:paraId="4A138376" w14:textId="6B5BDAF2" w:rsidR="00CA2289" w:rsidRDefault="00CA2289" w:rsidP="00B667E5">
            <w:pPr>
              <w:pStyle w:val="Tablecontent"/>
              <w:jc w:val="center"/>
            </w:pPr>
            <w:r>
              <w:t>-</w:t>
            </w:r>
          </w:p>
        </w:tc>
        <w:tc>
          <w:tcPr>
            <w:tcW w:w="992" w:type="dxa"/>
            <w:vAlign w:val="center"/>
          </w:tcPr>
          <w:p w14:paraId="69A7325C" w14:textId="10793BC4" w:rsidR="00CA2289" w:rsidRDefault="00CA2289" w:rsidP="00CA2289">
            <w:pPr>
              <w:pStyle w:val="Tablecontent"/>
              <w:jc w:val="center"/>
            </w:pPr>
            <w:r>
              <w:t>Low</w:t>
            </w:r>
            <w:r w:rsidR="00B667E5">
              <w:t xml:space="preserve"> </w:t>
            </w:r>
            <w:r w:rsidR="00785763">
              <w:t>^</w:t>
            </w:r>
          </w:p>
        </w:tc>
      </w:tr>
      <w:tr w:rsidR="00CA2289" w14:paraId="5290EBD7" w14:textId="77777777" w:rsidTr="00CA2289">
        <w:trPr>
          <w:jc w:val="center"/>
        </w:trPr>
        <w:tc>
          <w:tcPr>
            <w:tcW w:w="1560" w:type="dxa"/>
            <w:vAlign w:val="center"/>
          </w:tcPr>
          <w:p w14:paraId="136CB271" w14:textId="4ECC4B01" w:rsidR="00CA2289" w:rsidRDefault="00CA2289" w:rsidP="00B667E5">
            <w:pPr>
              <w:pStyle w:val="Tablecontent"/>
            </w:pPr>
            <w:r>
              <w:t>ALVE</w:t>
            </w:r>
            <w:r w:rsidR="005D76E3">
              <w:t>_ros</w:t>
            </w:r>
            <w:r>
              <w:t>002</w:t>
            </w:r>
          </w:p>
        </w:tc>
        <w:tc>
          <w:tcPr>
            <w:tcW w:w="1134" w:type="dxa"/>
            <w:vAlign w:val="center"/>
          </w:tcPr>
          <w:p w14:paraId="4C0667BA" w14:textId="00C94E29" w:rsidR="00CA2289" w:rsidRDefault="00CA2289" w:rsidP="00B667E5">
            <w:pPr>
              <w:pStyle w:val="Tablecontent"/>
              <w:jc w:val="center"/>
            </w:pPr>
            <w:r>
              <w:t>-</w:t>
            </w:r>
          </w:p>
        </w:tc>
        <w:tc>
          <w:tcPr>
            <w:tcW w:w="992" w:type="dxa"/>
            <w:vAlign w:val="center"/>
          </w:tcPr>
          <w:p w14:paraId="2CC619C5" w14:textId="646BA390" w:rsidR="00CA2289" w:rsidRDefault="00CA2289" w:rsidP="00B667E5">
            <w:pPr>
              <w:pStyle w:val="Tablecontent"/>
              <w:jc w:val="center"/>
            </w:pPr>
            <w:r>
              <w:t>-</w:t>
            </w:r>
          </w:p>
        </w:tc>
        <w:tc>
          <w:tcPr>
            <w:tcW w:w="992" w:type="dxa"/>
            <w:vAlign w:val="center"/>
          </w:tcPr>
          <w:p w14:paraId="46D7742E" w14:textId="416D7520" w:rsidR="00CA2289" w:rsidRDefault="00CA2289" w:rsidP="00CA2289">
            <w:pPr>
              <w:pStyle w:val="Tablecontent"/>
              <w:jc w:val="center"/>
            </w:pPr>
            <w:r>
              <w:t>Low</w:t>
            </w:r>
            <w:r w:rsidR="00B667E5">
              <w:t xml:space="preserve"> </w:t>
            </w:r>
            <w:r w:rsidR="00785763">
              <w:t>^</w:t>
            </w:r>
          </w:p>
        </w:tc>
      </w:tr>
      <w:tr w:rsidR="00CA2289" w14:paraId="194B3259" w14:textId="77777777" w:rsidTr="00CA2289">
        <w:trPr>
          <w:jc w:val="center"/>
        </w:trPr>
        <w:tc>
          <w:tcPr>
            <w:tcW w:w="1560" w:type="dxa"/>
            <w:vAlign w:val="center"/>
          </w:tcPr>
          <w:p w14:paraId="0EA75817" w14:textId="073C9568" w:rsidR="00CA2289" w:rsidRDefault="00CA2289" w:rsidP="00B667E5">
            <w:pPr>
              <w:pStyle w:val="Tablecontent"/>
            </w:pPr>
            <w:r>
              <w:t>ALVE</w:t>
            </w:r>
            <w:r w:rsidR="005D76E3">
              <w:t>_ros</w:t>
            </w:r>
            <w:r>
              <w:t>003</w:t>
            </w:r>
          </w:p>
        </w:tc>
        <w:tc>
          <w:tcPr>
            <w:tcW w:w="1134" w:type="dxa"/>
            <w:vAlign w:val="center"/>
          </w:tcPr>
          <w:p w14:paraId="44EB331C" w14:textId="1A61A9F0" w:rsidR="00CA2289" w:rsidRDefault="00CA2289" w:rsidP="00B667E5">
            <w:pPr>
              <w:pStyle w:val="Tablecontent"/>
              <w:jc w:val="center"/>
            </w:pPr>
            <w:r>
              <w:t>-</w:t>
            </w:r>
          </w:p>
        </w:tc>
        <w:tc>
          <w:tcPr>
            <w:tcW w:w="992" w:type="dxa"/>
            <w:vAlign w:val="center"/>
          </w:tcPr>
          <w:p w14:paraId="0E14A153" w14:textId="0EC8A2E9" w:rsidR="00CA2289" w:rsidRDefault="00CA2289" w:rsidP="00B667E5">
            <w:pPr>
              <w:pStyle w:val="Tablecontent"/>
              <w:jc w:val="center"/>
            </w:pPr>
            <w:r>
              <w:t>-</w:t>
            </w:r>
          </w:p>
        </w:tc>
        <w:tc>
          <w:tcPr>
            <w:tcW w:w="992" w:type="dxa"/>
            <w:vAlign w:val="center"/>
          </w:tcPr>
          <w:p w14:paraId="487DB30F" w14:textId="0FEE471A" w:rsidR="00CA2289" w:rsidRDefault="00805E7F" w:rsidP="00CA2289">
            <w:pPr>
              <w:pStyle w:val="Tablecontent"/>
              <w:jc w:val="center"/>
            </w:pPr>
            <w:r>
              <w:t>Low</w:t>
            </w:r>
          </w:p>
        </w:tc>
      </w:tr>
      <w:tr w:rsidR="00CA2289" w14:paraId="2BB0C972" w14:textId="76F3F015" w:rsidTr="00CA2289">
        <w:trPr>
          <w:jc w:val="center"/>
        </w:trPr>
        <w:tc>
          <w:tcPr>
            <w:tcW w:w="1560" w:type="dxa"/>
            <w:vAlign w:val="center"/>
          </w:tcPr>
          <w:p w14:paraId="285AC6F1" w14:textId="6A47A460" w:rsidR="00CA2289" w:rsidRDefault="00CA2289" w:rsidP="00B667E5">
            <w:pPr>
              <w:pStyle w:val="Tablecontent"/>
            </w:pPr>
            <w:r>
              <w:t>ALVE-TYR</w:t>
            </w:r>
          </w:p>
        </w:tc>
        <w:tc>
          <w:tcPr>
            <w:tcW w:w="1134" w:type="dxa"/>
            <w:vAlign w:val="center"/>
          </w:tcPr>
          <w:p w14:paraId="3D8EC7DE" w14:textId="1A99FE03" w:rsidR="00CA2289" w:rsidRPr="00A062CC" w:rsidRDefault="00CA2289" w:rsidP="00B667E5">
            <w:pPr>
              <w:pStyle w:val="Tablecontent"/>
              <w:jc w:val="center"/>
            </w:pPr>
            <w:r>
              <w:t>Fixed</w:t>
            </w:r>
          </w:p>
        </w:tc>
        <w:tc>
          <w:tcPr>
            <w:tcW w:w="992" w:type="dxa"/>
            <w:vAlign w:val="center"/>
          </w:tcPr>
          <w:p w14:paraId="299671F5" w14:textId="06FB7EC8" w:rsidR="00CA2289" w:rsidRPr="00A062CC" w:rsidRDefault="00CA2289" w:rsidP="00B667E5">
            <w:pPr>
              <w:pStyle w:val="Tablecontent"/>
              <w:jc w:val="center"/>
            </w:pPr>
            <w:r>
              <w:t>Fixed</w:t>
            </w:r>
          </w:p>
        </w:tc>
        <w:tc>
          <w:tcPr>
            <w:tcW w:w="992" w:type="dxa"/>
            <w:vAlign w:val="center"/>
          </w:tcPr>
          <w:p w14:paraId="074E59E2" w14:textId="3E686235" w:rsidR="00CA2289" w:rsidRDefault="00CA2289" w:rsidP="00CA2289">
            <w:pPr>
              <w:pStyle w:val="Tablecontent"/>
              <w:jc w:val="center"/>
            </w:pPr>
            <w:r>
              <w:t>-</w:t>
            </w:r>
          </w:p>
        </w:tc>
      </w:tr>
      <w:tr w:rsidR="00CA2289" w14:paraId="6A2BAE44" w14:textId="63DAD724" w:rsidTr="00CA2289">
        <w:trPr>
          <w:jc w:val="center"/>
        </w:trPr>
        <w:tc>
          <w:tcPr>
            <w:tcW w:w="1560" w:type="dxa"/>
            <w:vAlign w:val="center"/>
          </w:tcPr>
          <w:p w14:paraId="382CF228" w14:textId="08203895" w:rsidR="00CA2289" w:rsidRDefault="00CA2289" w:rsidP="00B667E5">
            <w:pPr>
              <w:pStyle w:val="Tablecontent"/>
            </w:pPr>
            <w:r>
              <w:t>ALVE-NSAC1</w:t>
            </w:r>
          </w:p>
        </w:tc>
        <w:tc>
          <w:tcPr>
            <w:tcW w:w="1134" w:type="dxa"/>
            <w:vAlign w:val="center"/>
          </w:tcPr>
          <w:p w14:paraId="2F52B6E8" w14:textId="59DCDDB0" w:rsidR="00CA2289" w:rsidRPr="00A062CC" w:rsidRDefault="00CA2289" w:rsidP="00B667E5">
            <w:pPr>
              <w:pStyle w:val="Tablecontent"/>
              <w:jc w:val="center"/>
            </w:pPr>
            <w:r>
              <w:t>Medium</w:t>
            </w:r>
          </w:p>
        </w:tc>
        <w:tc>
          <w:tcPr>
            <w:tcW w:w="992" w:type="dxa"/>
            <w:vAlign w:val="center"/>
          </w:tcPr>
          <w:p w14:paraId="133FBBF9" w14:textId="25D0F82B" w:rsidR="00CA2289" w:rsidRPr="00A062CC" w:rsidRDefault="00CA2289" w:rsidP="00B667E5">
            <w:pPr>
              <w:pStyle w:val="Tablecontent"/>
              <w:jc w:val="center"/>
            </w:pPr>
            <w:r>
              <w:t>Medium</w:t>
            </w:r>
          </w:p>
        </w:tc>
        <w:tc>
          <w:tcPr>
            <w:tcW w:w="992" w:type="dxa"/>
            <w:vAlign w:val="center"/>
          </w:tcPr>
          <w:p w14:paraId="5D7C6814" w14:textId="2DDD33E0" w:rsidR="00CA2289" w:rsidRDefault="00CA2289" w:rsidP="00CA2289">
            <w:pPr>
              <w:pStyle w:val="Tablecontent"/>
              <w:jc w:val="center"/>
            </w:pPr>
            <w:r>
              <w:t>Medium</w:t>
            </w:r>
          </w:p>
        </w:tc>
      </w:tr>
      <w:tr w:rsidR="00CA2289" w14:paraId="4C59D222" w14:textId="08B1A59B" w:rsidTr="00CA2289">
        <w:trPr>
          <w:jc w:val="center"/>
        </w:trPr>
        <w:tc>
          <w:tcPr>
            <w:tcW w:w="1560" w:type="dxa"/>
            <w:vAlign w:val="center"/>
          </w:tcPr>
          <w:p w14:paraId="28C95BF8" w14:textId="3A9739B8" w:rsidR="00CA2289" w:rsidRDefault="00CA2289" w:rsidP="00B667E5">
            <w:pPr>
              <w:pStyle w:val="Tablecontent"/>
            </w:pPr>
            <w:r>
              <w:t>ALVE</w:t>
            </w:r>
            <w:r w:rsidR="005D76E3">
              <w:t>_ros</w:t>
            </w:r>
            <w:r>
              <w:t>004</w:t>
            </w:r>
          </w:p>
        </w:tc>
        <w:tc>
          <w:tcPr>
            <w:tcW w:w="1134" w:type="dxa"/>
            <w:vAlign w:val="center"/>
          </w:tcPr>
          <w:p w14:paraId="4FD9F6D6" w14:textId="32C70619" w:rsidR="00CA2289" w:rsidRPr="00A062CC" w:rsidRDefault="00CA2289" w:rsidP="00B667E5">
            <w:pPr>
              <w:pStyle w:val="Tablecontent"/>
              <w:jc w:val="center"/>
            </w:pPr>
            <w:r>
              <w:t>Rare</w:t>
            </w:r>
            <w:r w:rsidR="00B667E5">
              <w:t xml:space="preserve"> *</w:t>
            </w:r>
          </w:p>
        </w:tc>
        <w:tc>
          <w:tcPr>
            <w:tcW w:w="992" w:type="dxa"/>
            <w:vAlign w:val="center"/>
          </w:tcPr>
          <w:p w14:paraId="77DF3CFD" w14:textId="3D9B2560" w:rsidR="00CA2289" w:rsidRPr="00A062CC" w:rsidRDefault="00CA2289" w:rsidP="00B667E5">
            <w:pPr>
              <w:pStyle w:val="Tablecontent"/>
              <w:jc w:val="center"/>
            </w:pPr>
            <w:r>
              <w:t>Rare</w:t>
            </w:r>
            <w:r w:rsidR="00B667E5">
              <w:t xml:space="preserve"> *</w:t>
            </w:r>
          </w:p>
        </w:tc>
        <w:tc>
          <w:tcPr>
            <w:tcW w:w="992" w:type="dxa"/>
            <w:vAlign w:val="center"/>
          </w:tcPr>
          <w:p w14:paraId="222AD2B9" w14:textId="1DF333EC" w:rsidR="00CA2289" w:rsidRDefault="00CA2289" w:rsidP="00CA2289">
            <w:pPr>
              <w:pStyle w:val="Tablecontent"/>
              <w:jc w:val="center"/>
            </w:pPr>
            <w:r>
              <w:t>Medium</w:t>
            </w:r>
          </w:p>
        </w:tc>
      </w:tr>
      <w:tr w:rsidR="00CA2289" w14:paraId="5C399179" w14:textId="77777777" w:rsidTr="00CA2289">
        <w:trPr>
          <w:jc w:val="center"/>
        </w:trPr>
        <w:tc>
          <w:tcPr>
            <w:tcW w:w="1560" w:type="dxa"/>
            <w:vAlign w:val="center"/>
          </w:tcPr>
          <w:p w14:paraId="07B643AA" w14:textId="23FFDBA6" w:rsidR="00CA2289" w:rsidRDefault="00CA2289" w:rsidP="00B667E5">
            <w:pPr>
              <w:pStyle w:val="Tablecontent"/>
            </w:pPr>
            <w:r>
              <w:t>ALVE</w:t>
            </w:r>
            <w:r w:rsidR="005D76E3">
              <w:t>_ros</w:t>
            </w:r>
            <w:r>
              <w:t>005</w:t>
            </w:r>
          </w:p>
        </w:tc>
        <w:tc>
          <w:tcPr>
            <w:tcW w:w="1134" w:type="dxa"/>
            <w:vAlign w:val="center"/>
          </w:tcPr>
          <w:p w14:paraId="764E8A73" w14:textId="7846576A" w:rsidR="00CA2289" w:rsidRDefault="002443EB" w:rsidP="00B667E5">
            <w:pPr>
              <w:pStyle w:val="Tablecontent"/>
              <w:jc w:val="center"/>
            </w:pPr>
            <w:r>
              <w:t>Rare *</w:t>
            </w:r>
          </w:p>
        </w:tc>
        <w:tc>
          <w:tcPr>
            <w:tcW w:w="992" w:type="dxa"/>
            <w:vAlign w:val="center"/>
          </w:tcPr>
          <w:p w14:paraId="3E2258BC" w14:textId="5AB01B33" w:rsidR="00CA2289" w:rsidRDefault="00CA2289" w:rsidP="00B667E5">
            <w:pPr>
              <w:pStyle w:val="Tablecontent"/>
              <w:jc w:val="center"/>
            </w:pPr>
            <w:r>
              <w:t>-</w:t>
            </w:r>
          </w:p>
        </w:tc>
        <w:tc>
          <w:tcPr>
            <w:tcW w:w="992" w:type="dxa"/>
            <w:vAlign w:val="center"/>
          </w:tcPr>
          <w:p w14:paraId="46B300FC" w14:textId="5A49A1A6" w:rsidR="00CA2289" w:rsidRDefault="002443EB" w:rsidP="00CA2289">
            <w:pPr>
              <w:pStyle w:val="Tablecontent"/>
              <w:jc w:val="center"/>
            </w:pPr>
            <w:r>
              <w:t>Rare ^</w:t>
            </w:r>
          </w:p>
        </w:tc>
      </w:tr>
      <w:tr w:rsidR="00CA2289" w14:paraId="4E877089" w14:textId="5FE2CB83" w:rsidTr="00CA2289">
        <w:trPr>
          <w:jc w:val="center"/>
        </w:trPr>
        <w:tc>
          <w:tcPr>
            <w:tcW w:w="1560" w:type="dxa"/>
            <w:vAlign w:val="center"/>
          </w:tcPr>
          <w:p w14:paraId="2CDF3812" w14:textId="00149467" w:rsidR="00CA2289" w:rsidRPr="00850E0E" w:rsidRDefault="00CA2289" w:rsidP="00B667E5">
            <w:pPr>
              <w:pStyle w:val="Tablecontent"/>
            </w:pPr>
            <w:r>
              <w:t>ALVE</w:t>
            </w:r>
            <w:r w:rsidR="005D76E3">
              <w:t>-</w:t>
            </w:r>
            <w:r>
              <w:t>NSAC3</w:t>
            </w:r>
          </w:p>
        </w:tc>
        <w:tc>
          <w:tcPr>
            <w:tcW w:w="1134" w:type="dxa"/>
            <w:vAlign w:val="center"/>
          </w:tcPr>
          <w:p w14:paraId="0A76DC97" w14:textId="6B772F98" w:rsidR="00CA2289" w:rsidRPr="00A062CC" w:rsidRDefault="00CA2289" w:rsidP="00B667E5">
            <w:pPr>
              <w:pStyle w:val="Tablecontent"/>
              <w:jc w:val="center"/>
            </w:pPr>
            <w:r>
              <w:t>Medium</w:t>
            </w:r>
          </w:p>
        </w:tc>
        <w:tc>
          <w:tcPr>
            <w:tcW w:w="992" w:type="dxa"/>
            <w:vAlign w:val="center"/>
          </w:tcPr>
          <w:p w14:paraId="0CF93C5D" w14:textId="1D05300A" w:rsidR="00CA2289" w:rsidRPr="00A062CC" w:rsidRDefault="00CA2289" w:rsidP="00B667E5">
            <w:pPr>
              <w:pStyle w:val="Tablecontent"/>
              <w:jc w:val="center"/>
            </w:pPr>
            <w:r>
              <w:t>Low</w:t>
            </w:r>
          </w:p>
        </w:tc>
        <w:tc>
          <w:tcPr>
            <w:tcW w:w="992" w:type="dxa"/>
            <w:vAlign w:val="center"/>
          </w:tcPr>
          <w:p w14:paraId="1AA6454C" w14:textId="00D23A9A" w:rsidR="00CA2289" w:rsidRDefault="00CA2289" w:rsidP="00CA2289">
            <w:pPr>
              <w:pStyle w:val="Tablecontent"/>
              <w:jc w:val="center"/>
            </w:pPr>
            <w:r>
              <w:t>-</w:t>
            </w:r>
          </w:p>
        </w:tc>
      </w:tr>
      <w:tr w:rsidR="00CA2289" w14:paraId="5F5224D7" w14:textId="77777777" w:rsidTr="00CA2289">
        <w:trPr>
          <w:jc w:val="center"/>
        </w:trPr>
        <w:tc>
          <w:tcPr>
            <w:tcW w:w="1560" w:type="dxa"/>
            <w:vAlign w:val="center"/>
          </w:tcPr>
          <w:p w14:paraId="5A38E1AE" w14:textId="19CA9D9B" w:rsidR="00CA2289" w:rsidRDefault="00CA2289" w:rsidP="00B667E5">
            <w:pPr>
              <w:pStyle w:val="Tablecontent"/>
            </w:pPr>
            <w:r>
              <w:t>ALVE</w:t>
            </w:r>
            <w:r w:rsidR="005D76E3">
              <w:t>_ros</w:t>
            </w:r>
            <w:r>
              <w:t>006</w:t>
            </w:r>
          </w:p>
        </w:tc>
        <w:tc>
          <w:tcPr>
            <w:tcW w:w="1134" w:type="dxa"/>
            <w:vAlign w:val="center"/>
          </w:tcPr>
          <w:p w14:paraId="5336A9AD" w14:textId="4AC8E870" w:rsidR="00CA2289" w:rsidRDefault="00CA2289" w:rsidP="00B667E5">
            <w:pPr>
              <w:pStyle w:val="Tablecontent"/>
              <w:jc w:val="center"/>
            </w:pPr>
            <w:r>
              <w:t>-</w:t>
            </w:r>
          </w:p>
        </w:tc>
        <w:tc>
          <w:tcPr>
            <w:tcW w:w="992" w:type="dxa"/>
            <w:vAlign w:val="center"/>
          </w:tcPr>
          <w:p w14:paraId="7318270A" w14:textId="313D05A4" w:rsidR="00CA2289" w:rsidRDefault="00CA2289" w:rsidP="00B667E5">
            <w:pPr>
              <w:pStyle w:val="Tablecontent"/>
              <w:jc w:val="center"/>
            </w:pPr>
            <w:r>
              <w:t>-</w:t>
            </w:r>
          </w:p>
        </w:tc>
        <w:tc>
          <w:tcPr>
            <w:tcW w:w="992" w:type="dxa"/>
            <w:vAlign w:val="center"/>
          </w:tcPr>
          <w:p w14:paraId="009E98A2" w14:textId="699A59F9" w:rsidR="00CA2289" w:rsidRDefault="00CA2289" w:rsidP="00CA2289">
            <w:pPr>
              <w:pStyle w:val="Tablecontent"/>
              <w:jc w:val="center"/>
            </w:pPr>
            <w:r>
              <w:t>Medium</w:t>
            </w:r>
          </w:p>
        </w:tc>
      </w:tr>
      <w:tr w:rsidR="00CA2289" w14:paraId="59F20D6E" w14:textId="77777777" w:rsidTr="00CA2289">
        <w:trPr>
          <w:jc w:val="center"/>
        </w:trPr>
        <w:tc>
          <w:tcPr>
            <w:tcW w:w="1560" w:type="dxa"/>
            <w:vAlign w:val="center"/>
          </w:tcPr>
          <w:p w14:paraId="6B15209A" w14:textId="47B4740D" w:rsidR="00CA2289" w:rsidRDefault="00CA2289" w:rsidP="00B667E5">
            <w:pPr>
              <w:pStyle w:val="Tablecontent"/>
            </w:pPr>
            <w:r>
              <w:t>ALVE</w:t>
            </w:r>
            <w:r w:rsidR="005D76E3">
              <w:t>_ros</w:t>
            </w:r>
            <w:r>
              <w:t>007</w:t>
            </w:r>
          </w:p>
        </w:tc>
        <w:tc>
          <w:tcPr>
            <w:tcW w:w="1134" w:type="dxa"/>
            <w:vAlign w:val="center"/>
          </w:tcPr>
          <w:p w14:paraId="249094BF" w14:textId="39AC1329" w:rsidR="00CA2289" w:rsidRDefault="00CA2289" w:rsidP="00B667E5">
            <w:pPr>
              <w:pStyle w:val="Tablecontent"/>
              <w:jc w:val="center"/>
            </w:pPr>
            <w:r>
              <w:t>-</w:t>
            </w:r>
          </w:p>
        </w:tc>
        <w:tc>
          <w:tcPr>
            <w:tcW w:w="992" w:type="dxa"/>
            <w:vAlign w:val="center"/>
          </w:tcPr>
          <w:p w14:paraId="59A721CD" w14:textId="1C210EAE" w:rsidR="00CA2289" w:rsidRDefault="00CA2289" w:rsidP="00B667E5">
            <w:pPr>
              <w:pStyle w:val="Tablecontent"/>
              <w:jc w:val="center"/>
            </w:pPr>
            <w:r>
              <w:t>-</w:t>
            </w:r>
          </w:p>
        </w:tc>
        <w:tc>
          <w:tcPr>
            <w:tcW w:w="992" w:type="dxa"/>
            <w:vAlign w:val="center"/>
          </w:tcPr>
          <w:p w14:paraId="7BC89B12" w14:textId="0A0FFEBB" w:rsidR="00CA2289" w:rsidRDefault="00CA2289" w:rsidP="00CA2289">
            <w:pPr>
              <w:pStyle w:val="Tablecontent"/>
              <w:jc w:val="center"/>
            </w:pPr>
            <w:r>
              <w:t>Medium</w:t>
            </w:r>
          </w:p>
        </w:tc>
      </w:tr>
      <w:tr w:rsidR="00CA2289" w14:paraId="6EFCF9C7" w14:textId="77BD2CE1" w:rsidTr="00CA2289">
        <w:trPr>
          <w:jc w:val="center"/>
        </w:trPr>
        <w:tc>
          <w:tcPr>
            <w:tcW w:w="1560" w:type="dxa"/>
            <w:vAlign w:val="center"/>
          </w:tcPr>
          <w:p w14:paraId="195EEE43" w14:textId="334E9F4C" w:rsidR="00CA2289" w:rsidRDefault="00CA2289" w:rsidP="00B667E5">
            <w:pPr>
              <w:pStyle w:val="Tablecontent"/>
            </w:pPr>
            <w:r>
              <w:t>ALVE</w:t>
            </w:r>
            <w:r w:rsidR="005D76E3">
              <w:t>_ros</w:t>
            </w:r>
            <w:r>
              <w:t>009</w:t>
            </w:r>
          </w:p>
        </w:tc>
        <w:tc>
          <w:tcPr>
            <w:tcW w:w="1134" w:type="dxa"/>
            <w:vAlign w:val="center"/>
          </w:tcPr>
          <w:p w14:paraId="69E747D2" w14:textId="56D1B870" w:rsidR="00CA2289" w:rsidRPr="00A062CC" w:rsidRDefault="00CA2289" w:rsidP="00B667E5">
            <w:pPr>
              <w:pStyle w:val="Tablecontent"/>
              <w:jc w:val="center"/>
            </w:pPr>
            <w:r>
              <w:t>-</w:t>
            </w:r>
          </w:p>
        </w:tc>
        <w:tc>
          <w:tcPr>
            <w:tcW w:w="992" w:type="dxa"/>
            <w:vAlign w:val="center"/>
          </w:tcPr>
          <w:p w14:paraId="68BB2811" w14:textId="3D1BDE2B" w:rsidR="00CA2289" w:rsidRPr="00A062CC" w:rsidRDefault="00CA2289" w:rsidP="00B667E5">
            <w:pPr>
              <w:pStyle w:val="Tablecontent"/>
              <w:jc w:val="center"/>
            </w:pPr>
            <w:r>
              <w:t>Medium</w:t>
            </w:r>
          </w:p>
        </w:tc>
        <w:tc>
          <w:tcPr>
            <w:tcW w:w="992" w:type="dxa"/>
            <w:vAlign w:val="center"/>
          </w:tcPr>
          <w:p w14:paraId="2F6F9D63" w14:textId="2036AEC5" w:rsidR="00CA2289" w:rsidRDefault="00CA2289" w:rsidP="00CA2289">
            <w:pPr>
              <w:pStyle w:val="Tablecontent"/>
              <w:jc w:val="center"/>
            </w:pPr>
            <w:r>
              <w:t>-</w:t>
            </w:r>
          </w:p>
        </w:tc>
      </w:tr>
      <w:tr w:rsidR="00CA2289" w14:paraId="4B83CD1A" w14:textId="67F5BD4C" w:rsidTr="00CA2289">
        <w:trPr>
          <w:jc w:val="center"/>
        </w:trPr>
        <w:tc>
          <w:tcPr>
            <w:tcW w:w="1560" w:type="dxa"/>
            <w:vAlign w:val="center"/>
          </w:tcPr>
          <w:p w14:paraId="036D2CE8" w14:textId="0DF5CFF9" w:rsidR="00CA2289" w:rsidRDefault="00CA2289" w:rsidP="00B667E5">
            <w:pPr>
              <w:pStyle w:val="Tablecontent"/>
            </w:pPr>
            <w:r>
              <w:t>ALVE-NSAC7</w:t>
            </w:r>
          </w:p>
        </w:tc>
        <w:tc>
          <w:tcPr>
            <w:tcW w:w="1134" w:type="dxa"/>
            <w:vAlign w:val="center"/>
          </w:tcPr>
          <w:p w14:paraId="0E607482" w14:textId="4043A25E" w:rsidR="00CA2289" w:rsidRPr="00A062CC" w:rsidRDefault="00CA2289" w:rsidP="00B667E5">
            <w:pPr>
              <w:pStyle w:val="Tablecontent"/>
              <w:jc w:val="center"/>
            </w:pPr>
            <w:r>
              <w:t>High</w:t>
            </w:r>
            <w:r w:rsidR="00785763">
              <w:t xml:space="preserve"> ^</w:t>
            </w:r>
          </w:p>
        </w:tc>
        <w:tc>
          <w:tcPr>
            <w:tcW w:w="992" w:type="dxa"/>
            <w:vAlign w:val="center"/>
          </w:tcPr>
          <w:p w14:paraId="256269DB" w14:textId="52E8A371" w:rsidR="00CA2289" w:rsidRPr="00A062CC" w:rsidRDefault="00CA2289" w:rsidP="00B667E5">
            <w:pPr>
              <w:pStyle w:val="Tablecontent"/>
              <w:jc w:val="center"/>
            </w:pPr>
            <w:r>
              <w:t>High</w:t>
            </w:r>
          </w:p>
        </w:tc>
        <w:tc>
          <w:tcPr>
            <w:tcW w:w="992" w:type="dxa"/>
            <w:vAlign w:val="center"/>
          </w:tcPr>
          <w:p w14:paraId="596C00BF" w14:textId="28E05945" w:rsidR="00CA2289" w:rsidRDefault="00CA2289" w:rsidP="00CA2289">
            <w:pPr>
              <w:pStyle w:val="Tablecontent"/>
              <w:jc w:val="center"/>
            </w:pPr>
            <w:r>
              <w:t>-</w:t>
            </w:r>
          </w:p>
        </w:tc>
      </w:tr>
      <w:tr w:rsidR="00CA2289" w14:paraId="2D055BE0" w14:textId="1F658E0F" w:rsidTr="00CA2289">
        <w:trPr>
          <w:jc w:val="center"/>
        </w:trPr>
        <w:tc>
          <w:tcPr>
            <w:tcW w:w="1560" w:type="dxa"/>
            <w:vAlign w:val="center"/>
          </w:tcPr>
          <w:p w14:paraId="27BCC70D" w14:textId="7F859F8D" w:rsidR="00CA2289" w:rsidRDefault="00CA2289" w:rsidP="00B667E5">
            <w:pPr>
              <w:pStyle w:val="Tablecontent"/>
            </w:pPr>
            <w:r>
              <w:t>ALVE</w:t>
            </w:r>
            <w:r w:rsidR="005D76E3">
              <w:t>_ros</w:t>
            </w:r>
            <w:r>
              <w:t>010</w:t>
            </w:r>
          </w:p>
        </w:tc>
        <w:tc>
          <w:tcPr>
            <w:tcW w:w="1134" w:type="dxa"/>
            <w:vAlign w:val="center"/>
          </w:tcPr>
          <w:p w14:paraId="102CF8C5" w14:textId="31BC93DC" w:rsidR="00CA2289" w:rsidRPr="00A062CC" w:rsidRDefault="00CA2289" w:rsidP="00B667E5">
            <w:pPr>
              <w:pStyle w:val="Tablecontent"/>
              <w:jc w:val="center"/>
            </w:pPr>
            <w:r>
              <w:t>Low</w:t>
            </w:r>
            <w:r w:rsidR="00B667E5">
              <w:t xml:space="preserve"> *</w:t>
            </w:r>
          </w:p>
        </w:tc>
        <w:tc>
          <w:tcPr>
            <w:tcW w:w="992" w:type="dxa"/>
            <w:vAlign w:val="center"/>
          </w:tcPr>
          <w:p w14:paraId="28505624" w14:textId="7B6D94E7" w:rsidR="00CA2289" w:rsidRPr="00A062CC" w:rsidRDefault="00CA2289" w:rsidP="00B667E5">
            <w:pPr>
              <w:pStyle w:val="Tablecontent"/>
              <w:jc w:val="center"/>
            </w:pPr>
            <w:r>
              <w:t>-</w:t>
            </w:r>
          </w:p>
        </w:tc>
        <w:tc>
          <w:tcPr>
            <w:tcW w:w="992" w:type="dxa"/>
            <w:vAlign w:val="center"/>
          </w:tcPr>
          <w:p w14:paraId="160793CB" w14:textId="31537422" w:rsidR="00CA2289" w:rsidRDefault="00CA2289" w:rsidP="00CA2289">
            <w:pPr>
              <w:pStyle w:val="Tablecontent"/>
              <w:jc w:val="center"/>
            </w:pPr>
            <w:r>
              <w:t>High</w:t>
            </w:r>
          </w:p>
        </w:tc>
      </w:tr>
      <w:tr w:rsidR="00CA2289" w14:paraId="322AB88D" w14:textId="77777777" w:rsidTr="00CA2289">
        <w:trPr>
          <w:jc w:val="center"/>
        </w:trPr>
        <w:tc>
          <w:tcPr>
            <w:tcW w:w="1560" w:type="dxa"/>
            <w:vAlign w:val="center"/>
          </w:tcPr>
          <w:p w14:paraId="5B9CD249" w14:textId="0488E811" w:rsidR="00CA2289" w:rsidRDefault="00CA2289" w:rsidP="00B667E5">
            <w:pPr>
              <w:pStyle w:val="Tablecontent"/>
            </w:pPr>
            <w:r>
              <w:t>ALVE3</w:t>
            </w:r>
          </w:p>
        </w:tc>
        <w:tc>
          <w:tcPr>
            <w:tcW w:w="1134" w:type="dxa"/>
            <w:vAlign w:val="center"/>
          </w:tcPr>
          <w:p w14:paraId="2A3C28BE" w14:textId="1A090035" w:rsidR="00CA2289" w:rsidRDefault="00CA2289" w:rsidP="00B667E5">
            <w:pPr>
              <w:pStyle w:val="Tablecontent"/>
              <w:jc w:val="center"/>
            </w:pPr>
            <w:r>
              <w:t>-</w:t>
            </w:r>
          </w:p>
        </w:tc>
        <w:tc>
          <w:tcPr>
            <w:tcW w:w="992" w:type="dxa"/>
            <w:vAlign w:val="center"/>
          </w:tcPr>
          <w:p w14:paraId="60F3BBEA" w14:textId="65CCD79C" w:rsidR="00CA2289" w:rsidRDefault="00CA2289" w:rsidP="00B667E5">
            <w:pPr>
              <w:pStyle w:val="Tablecontent"/>
              <w:jc w:val="center"/>
            </w:pPr>
            <w:r>
              <w:t>-</w:t>
            </w:r>
          </w:p>
        </w:tc>
        <w:tc>
          <w:tcPr>
            <w:tcW w:w="992" w:type="dxa"/>
            <w:vAlign w:val="center"/>
          </w:tcPr>
          <w:p w14:paraId="017CF75F" w14:textId="7E5E70E1" w:rsidR="00CA2289" w:rsidRDefault="00CA2289" w:rsidP="00CA2289">
            <w:pPr>
              <w:pStyle w:val="Tablecontent"/>
              <w:jc w:val="center"/>
            </w:pPr>
            <w:r>
              <w:t>Low</w:t>
            </w:r>
            <w:r w:rsidR="00785763">
              <w:t xml:space="preserve"> ^</w:t>
            </w:r>
          </w:p>
        </w:tc>
      </w:tr>
      <w:tr w:rsidR="00CA2289" w14:paraId="2A7D1FD1" w14:textId="3BBD8B05" w:rsidTr="00CA2289">
        <w:trPr>
          <w:jc w:val="center"/>
        </w:trPr>
        <w:tc>
          <w:tcPr>
            <w:tcW w:w="1560" w:type="dxa"/>
            <w:tcBorders>
              <w:bottom w:val="single" w:sz="4" w:space="0" w:color="auto"/>
            </w:tcBorders>
            <w:vAlign w:val="center"/>
          </w:tcPr>
          <w:p w14:paraId="3CF515A8" w14:textId="77777777" w:rsidR="00CA2289" w:rsidRDefault="00CA2289" w:rsidP="00B667E5">
            <w:pPr>
              <w:pStyle w:val="Tablecontent"/>
            </w:pPr>
            <w:r w:rsidRPr="00850E0E">
              <w:t>ALVE21</w:t>
            </w:r>
          </w:p>
        </w:tc>
        <w:tc>
          <w:tcPr>
            <w:tcW w:w="1134" w:type="dxa"/>
            <w:tcBorders>
              <w:bottom w:val="single" w:sz="4" w:space="0" w:color="auto"/>
            </w:tcBorders>
            <w:vAlign w:val="center"/>
          </w:tcPr>
          <w:p w14:paraId="214C985D" w14:textId="17566A43" w:rsidR="00CA2289" w:rsidRPr="00A062CC" w:rsidRDefault="00CA2289" w:rsidP="00B667E5">
            <w:pPr>
              <w:pStyle w:val="Tablecontent"/>
              <w:jc w:val="center"/>
            </w:pPr>
            <w:r>
              <w:t>Fixed</w:t>
            </w:r>
          </w:p>
        </w:tc>
        <w:tc>
          <w:tcPr>
            <w:tcW w:w="992" w:type="dxa"/>
            <w:tcBorders>
              <w:bottom w:val="single" w:sz="4" w:space="0" w:color="auto"/>
            </w:tcBorders>
            <w:vAlign w:val="center"/>
          </w:tcPr>
          <w:p w14:paraId="127DE275" w14:textId="5B9A3FAD" w:rsidR="00CA2289" w:rsidRPr="00A062CC" w:rsidRDefault="00CA2289" w:rsidP="00B667E5">
            <w:pPr>
              <w:pStyle w:val="Tablecontent"/>
              <w:jc w:val="center"/>
            </w:pPr>
            <w:r>
              <w:t>Fixed</w:t>
            </w:r>
          </w:p>
        </w:tc>
        <w:tc>
          <w:tcPr>
            <w:tcW w:w="992" w:type="dxa"/>
            <w:tcBorders>
              <w:bottom w:val="single" w:sz="4" w:space="0" w:color="auto"/>
            </w:tcBorders>
            <w:vAlign w:val="center"/>
          </w:tcPr>
          <w:p w14:paraId="718B0219" w14:textId="05D9222A" w:rsidR="00CA2289" w:rsidRDefault="00CA2289" w:rsidP="00CA2289">
            <w:pPr>
              <w:pStyle w:val="Tablecontent"/>
              <w:jc w:val="center"/>
            </w:pPr>
            <w:r>
              <w:t>-</w:t>
            </w:r>
          </w:p>
        </w:tc>
      </w:tr>
    </w:tbl>
    <w:p w14:paraId="29133687" w14:textId="3B3842D0" w:rsidR="000A3296" w:rsidRDefault="000A3296" w:rsidP="000A3296">
      <w:pPr>
        <w:pStyle w:val="ListParagraph"/>
      </w:pPr>
      <w:r>
        <w:lastRenderedPageBreak/>
        <w:t>The RIR frequencies matched the resequenced individuals well, despite category changes for four ALVEs (</w:t>
      </w:r>
      <w:r>
        <w:fldChar w:fldCharType="begin" w:fldLock="1"/>
      </w:r>
      <w:r>
        <w:instrText xml:space="preserve"> REF _Ref479005902 \h </w:instrText>
      </w:r>
      <w:r>
        <w:fldChar w:fldCharType="separate"/>
      </w:r>
      <w:r w:rsidR="002C549C">
        <w:t xml:space="preserve">Table </w:t>
      </w:r>
      <w:r w:rsidR="002C549C">
        <w:rPr>
          <w:noProof/>
        </w:rPr>
        <w:t>6</w:t>
      </w:r>
      <w:r w:rsidR="002C549C">
        <w:t>.</w:t>
      </w:r>
      <w:r w:rsidR="002C549C">
        <w:rPr>
          <w:noProof/>
        </w:rPr>
        <w:t>8</w:t>
      </w:r>
      <w:r>
        <w:fldChar w:fldCharType="end"/>
      </w:r>
      <w:r>
        <w:t xml:space="preserve">). ALVE3, which was not originally identified in the bioinformatics pipeline, had a higher frequency than in the resequenced individuals, but the observed frequency was consistently low across the generations. </w:t>
      </w:r>
    </w:p>
    <w:p w14:paraId="064433D0" w14:textId="77777777" w:rsidR="000A3296" w:rsidRDefault="000A3296" w:rsidP="00391005">
      <w:pPr>
        <w:pStyle w:val="ListParagraph"/>
      </w:pPr>
    </w:p>
    <w:p w14:paraId="325EA64A" w14:textId="28105966" w:rsidR="00CA4C03" w:rsidRDefault="00CA4C03" w:rsidP="00CA4C03">
      <w:pPr>
        <w:pStyle w:val="Heading3"/>
      </w:pPr>
      <w:bookmarkStart w:id="467" w:name="_Toc485721647"/>
      <w:bookmarkStart w:id="468" w:name="_Toc486787227"/>
      <w:bookmarkStart w:id="469" w:name="_Toc486787375"/>
      <w:r>
        <w:t>Final list of identified ALVEs in the Hy-Line lines</w:t>
      </w:r>
      <w:bookmarkEnd w:id="467"/>
      <w:bookmarkEnd w:id="468"/>
      <w:bookmarkEnd w:id="469"/>
    </w:p>
    <w:p w14:paraId="62E15DA7" w14:textId="694ADBC1" w:rsidR="0097405D" w:rsidRDefault="0097405D" w:rsidP="00391005">
      <w:pPr>
        <w:pStyle w:val="ListParagraph"/>
      </w:pPr>
      <w:r>
        <w:t>Overall, two to four</w:t>
      </w:r>
      <w:r w:rsidR="00CF2684">
        <w:t xml:space="preserve"> ALVEs</w:t>
      </w:r>
      <w:r w:rsidR="000A3296">
        <w:t xml:space="preserve"> were identified in</w:t>
      </w:r>
      <w:r>
        <w:t xml:space="preserve"> the five WL lines, </w:t>
      </w:r>
      <w:r w:rsidR="00704261">
        <w:t xml:space="preserve">nine were identified in WPR1 and </w:t>
      </w:r>
      <w:r>
        <w:t>eight</w:t>
      </w:r>
      <w:r w:rsidR="00704261">
        <w:t xml:space="preserve"> in WPR2,</w:t>
      </w:r>
      <w:r w:rsidR="00CF2684">
        <w:t xml:space="preserve"> seven of which were shared, and eleven ALVEs were identified in the RIR. This totals twent</w:t>
      </w:r>
      <w:r w:rsidR="00704261">
        <w:t>y different ALVEs with forty-two</w:t>
      </w:r>
      <w:r w:rsidR="00CF2684">
        <w:t xml:space="preserve"> occurrences. </w:t>
      </w:r>
      <w:r w:rsidR="000A3296">
        <w:t xml:space="preserve">The predicted gain and loss of ALVEs within the lines is represented in </w:t>
      </w:r>
      <w:r w:rsidR="000A3296">
        <w:fldChar w:fldCharType="begin" w:fldLock="1"/>
      </w:r>
      <w:r w:rsidR="000A3296">
        <w:instrText xml:space="preserve"> REF _Ref479054535 \h </w:instrText>
      </w:r>
      <w:r w:rsidR="000A3296">
        <w:fldChar w:fldCharType="separate"/>
      </w:r>
      <w:r w:rsidR="002C549C">
        <w:t xml:space="preserve">Figure </w:t>
      </w:r>
      <w:r w:rsidR="002C549C">
        <w:rPr>
          <w:noProof/>
        </w:rPr>
        <w:t>6</w:t>
      </w:r>
      <w:r w:rsidR="002C549C">
        <w:t>.</w:t>
      </w:r>
      <w:r w:rsidR="002C549C">
        <w:rPr>
          <w:noProof/>
        </w:rPr>
        <w:t>9</w:t>
      </w:r>
      <w:r w:rsidR="000A3296">
        <w:fldChar w:fldCharType="end"/>
      </w:r>
      <w:r w:rsidR="000A3296">
        <w:t>.</w:t>
      </w:r>
    </w:p>
    <w:p w14:paraId="78987718" w14:textId="5CA8E76B" w:rsidR="00CF2684" w:rsidRDefault="00CF2684" w:rsidP="00391005">
      <w:pPr>
        <w:pStyle w:val="ListParagraph"/>
      </w:pPr>
      <w:r>
        <w:t>The two brown egg</w:t>
      </w:r>
      <w:r w:rsidR="00704261">
        <w:t xml:space="preserve"> breeds (WPR and RIR) share</w:t>
      </w:r>
      <w:r w:rsidR="000A3296">
        <w:t>d</w:t>
      </w:r>
      <w:r w:rsidR="00704261">
        <w:t xml:space="preserve"> five</w:t>
      </w:r>
      <w:r>
        <w:t xml:space="preserve"> A</w:t>
      </w:r>
      <w:r w:rsidR="00704261">
        <w:t>LV</w:t>
      </w:r>
      <w:r w:rsidR="005100E1">
        <w:t>Es: ALVEB5, ALVE-NSAC1 and the novel ALVE_ros004, ALVE_ros005 and ALVE_ros010</w:t>
      </w:r>
      <w:r>
        <w:t>. The RIR and three WL lines share</w:t>
      </w:r>
      <w:r w:rsidR="000A3296">
        <w:t>d ALVE3, and there wa</w:t>
      </w:r>
      <w:r>
        <w:t xml:space="preserve">s at least one documented occasion in the RIR line history where there has been a </w:t>
      </w:r>
      <w:r w:rsidR="000A3296">
        <w:t xml:space="preserve">WL </w:t>
      </w:r>
      <w:r>
        <w:t>cross, likely introducing this typically white egg layer ALVE into the RIR. ALVE21 is the only other cross-egg-colour ALVE, but as this is associated with the commercially important slow feathering locus it was li</w:t>
      </w:r>
      <w:r w:rsidR="005100E1">
        <w:t>kely introduced when breeding for this phenotype</w:t>
      </w:r>
      <w:r w:rsidR="00D71AFE">
        <w:t xml:space="preserve">. </w:t>
      </w:r>
    </w:p>
    <w:p w14:paraId="1D347ACF" w14:textId="3157EF2A" w:rsidR="0097405D" w:rsidRDefault="0097405D" w:rsidP="00391005">
      <w:pPr>
        <w:pStyle w:val="ListParagraph"/>
      </w:pPr>
    </w:p>
    <w:p w14:paraId="2AF5174D" w14:textId="77777777" w:rsidR="000A3296" w:rsidRDefault="000A3296" w:rsidP="000A3296">
      <w:pPr>
        <w:pStyle w:val="Heading4"/>
      </w:pPr>
      <w:r>
        <w:t>Unidentified ALVEs within the Hy-Line lines</w:t>
      </w:r>
    </w:p>
    <w:p w14:paraId="178B9BF9" w14:textId="085E7A5C" w:rsidR="000A3296" w:rsidRDefault="000A3296" w:rsidP="000A3296">
      <w:pPr>
        <w:pStyle w:val="ListParagraph"/>
      </w:pPr>
      <w:r>
        <w:t>BAM files for the Hy-Line lines were also manually inspected for a whole range of additional ALVEs with known insertion sites (</w:t>
      </w:r>
      <w:r>
        <w:fldChar w:fldCharType="begin" w:fldLock="1"/>
      </w:r>
      <w:r>
        <w:instrText xml:space="preserve"> REF _Ref479008490 \h </w:instrText>
      </w:r>
      <w:r>
        <w:fldChar w:fldCharType="separate"/>
      </w:r>
      <w:r w:rsidR="002C549C">
        <w:t xml:space="preserve">Table </w:t>
      </w:r>
      <w:r w:rsidR="002C549C">
        <w:rPr>
          <w:noProof/>
        </w:rPr>
        <w:t>6</w:t>
      </w:r>
      <w:r w:rsidR="002C549C">
        <w:t>.</w:t>
      </w:r>
      <w:r w:rsidR="002C549C">
        <w:rPr>
          <w:noProof/>
        </w:rPr>
        <w:t>9</w:t>
      </w:r>
      <w:r>
        <w:fldChar w:fldCharType="end"/>
      </w:r>
      <w:r>
        <w:t xml:space="preserve">). These were identified using existing diagnostic assay primers, flanking information and insertion hexamers, as well as information kindly shared by Professor Bernhard Benkel. However, no additional ALVEs were identified beyond those discovered by the pipeline. </w:t>
      </w:r>
    </w:p>
    <w:p w14:paraId="157EFE52" w14:textId="2D35F84C" w:rsidR="000A3296" w:rsidRPr="003A3EAD" w:rsidRDefault="000A3296" w:rsidP="00391005">
      <w:pPr>
        <w:pStyle w:val="ListParagraph"/>
      </w:pPr>
      <w:r>
        <w:t xml:space="preserve">There was no evidence in any of the eight lines for the two ALVEs in the chicken reference genome assembly: ALVE6 and ALVE-RJF </w:t>
      </w:r>
      <w:r>
        <w:fldChar w:fldCharType="begin" w:fldLock="1"/>
      </w:r>
      <w:r>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fldChar w:fldCharType="separate"/>
      </w:r>
      <w:r w:rsidRPr="006D5470">
        <w:rPr>
          <w:noProof/>
        </w:rPr>
        <w:t>(Benkel &amp; Rutherford 2014)</w:t>
      </w:r>
      <w:r>
        <w:fldChar w:fldCharType="end"/>
      </w:r>
      <w:r>
        <w:t>. Whilst ALVE-RJF (</w:t>
      </w:r>
      <w:r>
        <w:fldChar w:fldCharType="begin" w:fldLock="1"/>
      </w:r>
      <w:r>
        <w:instrText xml:space="preserve"> REF _Ref479074078 \h </w:instrText>
      </w:r>
      <w:r>
        <w:fldChar w:fldCharType="separate"/>
      </w:r>
      <w:r w:rsidR="002C549C">
        <w:t xml:space="preserve">Figure </w:t>
      </w:r>
      <w:r w:rsidR="002C549C">
        <w:rPr>
          <w:noProof/>
        </w:rPr>
        <w:t>6</w:t>
      </w:r>
      <w:r w:rsidR="002C549C">
        <w:t>.</w:t>
      </w:r>
      <w:r w:rsidR="002C549C">
        <w:rPr>
          <w:noProof/>
        </w:rPr>
        <w:t>10</w:t>
      </w:r>
      <w:r>
        <w:fldChar w:fldCharType="end"/>
      </w:r>
      <w:r>
        <w:t xml:space="preserve">) has not been identified in any ‘modern’ chicken breeds </w:t>
      </w:r>
      <w:r>
        <w:fldChar w:fldCharType="begin" w:fldLock="1"/>
      </w:r>
      <w:r>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fldChar w:fldCharType="separate"/>
      </w:r>
      <w:r w:rsidRPr="0046286E">
        <w:rPr>
          <w:noProof/>
        </w:rPr>
        <w:t>(Benkel &amp; Rutherford 2014)</w:t>
      </w:r>
      <w:r>
        <w:fldChar w:fldCharType="end"/>
      </w:r>
      <w:r>
        <w:t xml:space="preserve">, the literature for ALVE6 states that it is common in layers </w:t>
      </w:r>
      <w:r>
        <w:fldChar w:fldCharType="begin" w:fldLock="1"/>
      </w:r>
      <w:r>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fldChar w:fldCharType="separate"/>
      </w:r>
      <w:r w:rsidRPr="002E6F1F">
        <w:rPr>
          <w:noProof/>
        </w:rPr>
        <w:t>(Benkel 1998)</w:t>
      </w:r>
      <w:r>
        <w:fldChar w:fldCharType="end"/>
      </w:r>
      <w:r>
        <w:t xml:space="preserve">, so it was surprising that it was not identified by the pipeline, particularly </w:t>
      </w:r>
      <w:r>
        <w:lastRenderedPageBreak/>
        <w:t>after successful detection via preliminary gel-based PCR assays completed by Hy-Line in WL4 and WPR1. However, the ALVE6 insertion site is at the very start of chromosome 1 (</w:t>
      </w:r>
      <w:r>
        <w:fldChar w:fldCharType="begin" w:fldLock="1"/>
      </w:r>
      <w:r>
        <w:instrText xml:space="preserve"> REF _Ref479075025 \h </w:instrText>
      </w:r>
      <w:r>
        <w:fldChar w:fldCharType="separate"/>
      </w:r>
      <w:r w:rsidR="002C549C">
        <w:t xml:space="preserve">Figure </w:t>
      </w:r>
      <w:r w:rsidR="002C549C">
        <w:rPr>
          <w:noProof/>
        </w:rPr>
        <w:t>6</w:t>
      </w:r>
      <w:r w:rsidR="002C549C">
        <w:t>.</w:t>
      </w:r>
      <w:r w:rsidR="002C549C">
        <w:rPr>
          <w:noProof/>
        </w:rPr>
        <w:t>11</w:t>
      </w:r>
      <w:r>
        <w:fldChar w:fldCharType="end"/>
      </w:r>
      <w:r>
        <w:t>), and, concordantly, read mapping is poor even for normal</w:t>
      </w:r>
      <w:r>
        <w:br/>
        <w:t xml:space="preserve"> </w:t>
      </w:r>
    </w:p>
    <w:p w14:paraId="5D166CBF" w14:textId="6A41D0FA" w:rsidR="00724AA7" w:rsidRDefault="00D06B86" w:rsidP="000A3296">
      <w:pPr>
        <w:pStyle w:val="ListParagraph"/>
        <w:jc w:val="center"/>
      </w:pPr>
      <w:r>
        <w:rPr>
          <w:noProof/>
          <w:lang w:eastAsia="en-GB"/>
        </w:rPr>
        <w:drawing>
          <wp:inline distT="0" distB="0" distL="0" distR="0" wp14:anchorId="47F2C018" wp14:editId="368C907C">
            <wp:extent cx="4835909" cy="5454595"/>
            <wp:effectExtent l="0" t="0" r="317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7">
                      <a:extLst>
                        <a:ext uri="{28A0092B-C50C-407E-A947-70E740481C1C}">
                          <a14:useLocalDpi xmlns:a14="http://schemas.microsoft.com/office/drawing/2010/main" val="0"/>
                        </a:ext>
                      </a:extLst>
                    </a:blip>
                    <a:srcRect l="1546" t="1022" r="1845" b="2944"/>
                    <a:stretch/>
                  </pic:blipFill>
                  <pic:spPr bwMode="auto">
                    <a:xfrm>
                      <a:off x="0" y="0"/>
                      <a:ext cx="4843863" cy="5463567"/>
                    </a:xfrm>
                    <a:prstGeom prst="rect">
                      <a:avLst/>
                    </a:prstGeom>
                    <a:noFill/>
                    <a:ln>
                      <a:noFill/>
                    </a:ln>
                    <a:extLst>
                      <a:ext uri="{53640926-AAD7-44D8-BBD7-CCE9431645EC}">
                        <a14:shadowObscured xmlns:a14="http://schemas.microsoft.com/office/drawing/2010/main"/>
                      </a:ext>
                    </a:extLst>
                  </pic:spPr>
                </pic:pic>
              </a:graphicData>
            </a:graphic>
          </wp:inline>
        </w:drawing>
      </w:r>
    </w:p>
    <w:p w14:paraId="53FAF0A0" w14:textId="6F692C72" w:rsidR="00724AA7" w:rsidRPr="00724AA7" w:rsidRDefault="00724AA7" w:rsidP="00201C5B">
      <w:pPr>
        <w:pStyle w:val="Figure"/>
      </w:pPr>
      <w:bookmarkStart w:id="470" w:name="_Ref479054535"/>
      <w:bookmarkStart w:id="471" w:name="_Toc486785454"/>
      <w:r>
        <w:t xml:space="preserve">Figure </w:t>
      </w:r>
      <w:fldSimple w:instr=" STYLEREF 1 \s " w:fldLock="1">
        <w:r w:rsidR="002C549C">
          <w:rPr>
            <w:noProof/>
          </w:rPr>
          <w:t>6</w:t>
        </w:r>
      </w:fldSimple>
      <w:r w:rsidR="001167C6">
        <w:t>.</w:t>
      </w:r>
      <w:fldSimple w:instr=" SEQ Figure \* ARABIC \s 1 " w:fldLock="1">
        <w:r w:rsidR="002C549C">
          <w:rPr>
            <w:noProof/>
          </w:rPr>
          <w:t>9</w:t>
        </w:r>
      </w:fldSimple>
      <w:bookmarkEnd w:id="470"/>
      <w:r>
        <w:t xml:space="preserve"> Network map of shared ALVEs in the Hy-Line elite layer lines. </w:t>
      </w:r>
      <w:r w:rsidR="001F1B22">
        <w:t xml:space="preserve">Gains and losses have been plotted in the most parsimonious manner, so the white and brown egg layer groups are independent. Each ALVE is shown by a different colour in each lineage, with the number of different coloured lines reaching each HL line representing the total number of ALVEs identified. No line inter-relatedness has been included for the WLs and the presence/absence of ALVE3 and ALVE15 was assumed to be due to incomplete lineage sorting. </w:t>
      </w:r>
      <w:r w:rsidR="007A5A13">
        <w:t>The ALVE_ros009</w:t>
      </w:r>
      <w:r w:rsidR="002201F5">
        <w:t xml:space="preserve"> WPR1</w:t>
      </w:r>
      <w:r w:rsidR="007A5A13">
        <w:t xml:space="preserve"> line does not reach the end as it was present in the 1996-1998 generations</w:t>
      </w:r>
      <w:r w:rsidR="002201F5">
        <w:t>,</w:t>
      </w:r>
      <w:r w:rsidR="007A5A13">
        <w:t xml:space="preserve"> then lost.</w:t>
      </w:r>
      <w:bookmarkEnd w:id="471"/>
      <w:r w:rsidR="007A5A13">
        <w:t xml:space="preserve"> </w:t>
      </w:r>
    </w:p>
    <w:p w14:paraId="7D2E997F" w14:textId="5327AF44" w:rsidR="0094388F" w:rsidRDefault="00A3327E" w:rsidP="00A3327E">
      <w:pPr>
        <w:pStyle w:val="Caption"/>
      </w:pPr>
      <w:bookmarkStart w:id="472" w:name="_Ref479008490"/>
      <w:bookmarkStart w:id="473" w:name="_Toc486786332"/>
      <w:r>
        <w:lastRenderedPageBreak/>
        <w:t xml:space="preserve">Table </w:t>
      </w:r>
      <w:fldSimple w:instr=" STYLEREF 1 \s " w:fldLock="1">
        <w:r w:rsidR="002C549C">
          <w:rPr>
            <w:noProof/>
          </w:rPr>
          <w:t>6</w:t>
        </w:r>
      </w:fldSimple>
      <w:r w:rsidR="001167C6">
        <w:t>.</w:t>
      </w:r>
      <w:fldSimple w:instr=" SEQ Table \* ARABIC \s 1 " w:fldLock="1">
        <w:r w:rsidR="002C549C">
          <w:rPr>
            <w:noProof/>
          </w:rPr>
          <w:t>9</w:t>
        </w:r>
      </w:fldSimple>
      <w:bookmarkEnd w:id="472"/>
      <w:r>
        <w:t xml:space="preserve"> ALVEs with</w:t>
      </w:r>
      <w:r w:rsidR="000A3296">
        <w:t xml:space="preserve"> previously published insertion sites, insertion hexamers or diagnostic assays</w:t>
      </w:r>
      <w:r>
        <w:t xml:space="preserve"> which were manually checked across the Hy-Line lines.</w:t>
      </w:r>
      <w:bookmarkEnd w:id="473"/>
    </w:p>
    <w:tbl>
      <w:tblPr>
        <w:tblStyle w:val="TableGrid"/>
        <w:tblW w:w="453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843"/>
        <w:gridCol w:w="1134"/>
      </w:tblGrid>
      <w:tr w:rsidR="0094388F" w14:paraId="49604B95" w14:textId="77777777" w:rsidTr="0094388F">
        <w:trPr>
          <w:trHeight w:val="515"/>
          <w:jc w:val="center"/>
        </w:trPr>
        <w:tc>
          <w:tcPr>
            <w:tcW w:w="1560" w:type="dxa"/>
            <w:tcBorders>
              <w:top w:val="single" w:sz="4" w:space="0" w:color="auto"/>
              <w:bottom w:val="single" w:sz="4" w:space="0" w:color="auto"/>
            </w:tcBorders>
            <w:vAlign w:val="center"/>
          </w:tcPr>
          <w:p w14:paraId="0F444DE0" w14:textId="77777777" w:rsidR="0094388F" w:rsidRDefault="0094388F" w:rsidP="00A3327E">
            <w:pPr>
              <w:pStyle w:val="Tablecontent"/>
            </w:pPr>
            <w:r>
              <w:t>Name</w:t>
            </w:r>
          </w:p>
        </w:tc>
        <w:tc>
          <w:tcPr>
            <w:tcW w:w="1843" w:type="dxa"/>
            <w:tcBorders>
              <w:top w:val="single" w:sz="4" w:space="0" w:color="auto"/>
              <w:bottom w:val="single" w:sz="4" w:space="0" w:color="auto"/>
            </w:tcBorders>
            <w:vAlign w:val="center"/>
          </w:tcPr>
          <w:p w14:paraId="37D52B9D" w14:textId="77777777" w:rsidR="0094388F" w:rsidRDefault="0094388F" w:rsidP="00A3327E">
            <w:pPr>
              <w:pStyle w:val="Tablecontent"/>
            </w:pPr>
            <w:r>
              <w:t>Location</w:t>
            </w:r>
          </w:p>
        </w:tc>
        <w:tc>
          <w:tcPr>
            <w:tcW w:w="1134" w:type="dxa"/>
            <w:tcBorders>
              <w:top w:val="single" w:sz="4" w:space="0" w:color="auto"/>
              <w:bottom w:val="single" w:sz="4" w:space="0" w:color="auto"/>
            </w:tcBorders>
            <w:vAlign w:val="center"/>
          </w:tcPr>
          <w:p w14:paraId="07F706D9" w14:textId="77777777" w:rsidR="0094388F" w:rsidRDefault="0094388F" w:rsidP="00A3327E">
            <w:pPr>
              <w:pStyle w:val="Tablecontent"/>
            </w:pPr>
            <w:r>
              <w:t>Hexamer</w:t>
            </w:r>
          </w:p>
        </w:tc>
      </w:tr>
      <w:tr w:rsidR="00A3327E" w14:paraId="46E62B7F" w14:textId="77777777" w:rsidTr="00A3327E">
        <w:trPr>
          <w:jc w:val="center"/>
        </w:trPr>
        <w:tc>
          <w:tcPr>
            <w:tcW w:w="1560" w:type="dxa"/>
            <w:tcBorders>
              <w:top w:val="single" w:sz="4" w:space="0" w:color="auto"/>
            </w:tcBorders>
            <w:vAlign w:val="center"/>
          </w:tcPr>
          <w:p w14:paraId="0E405DD6" w14:textId="7B3B3789" w:rsidR="00A3327E" w:rsidRDefault="00A3327E" w:rsidP="00A3327E">
            <w:pPr>
              <w:pStyle w:val="Tablecontent"/>
            </w:pPr>
            <w:r w:rsidRPr="00CA3CA1">
              <w:t>ALVE6</w:t>
            </w:r>
          </w:p>
        </w:tc>
        <w:tc>
          <w:tcPr>
            <w:tcW w:w="1843" w:type="dxa"/>
            <w:tcBorders>
              <w:top w:val="single" w:sz="4" w:space="0" w:color="auto"/>
            </w:tcBorders>
            <w:vAlign w:val="center"/>
          </w:tcPr>
          <w:p w14:paraId="3855A5AE" w14:textId="1B4EC4DF" w:rsidR="00A3327E" w:rsidRDefault="00A16843" w:rsidP="00A3327E">
            <w:pPr>
              <w:pStyle w:val="Tablecontent"/>
            </w:pPr>
            <w:r>
              <w:t>1: 576</w:t>
            </w:r>
          </w:p>
        </w:tc>
        <w:tc>
          <w:tcPr>
            <w:tcW w:w="1134" w:type="dxa"/>
            <w:tcBorders>
              <w:top w:val="single" w:sz="4" w:space="0" w:color="auto"/>
            </w:tcBorders>
            <w:vAlign w:val="center"/>
          </w:tcPr>
          <w:p w14:paraId="48C1D37C" w14:textId="73AB6EF5" w:rsidR="00A3327E" w:rsidRDefault="00A3327E" w:rsidP="00A3327E">
            <w:pPr>
              <w:pStyle w:val="Tablecontent"/>
              <w:jc w:val="center"/>
            </w:pPr>
            <w:r w:rsidRPr="00CA3CA1">
              <w:t>GGCGCT</w:t>
            </w:r>
          </w:p>
        </w:tc>
      </w:tr>
      <w:tr w:rsidR="00A3327E" w14:paraId="1DACD11C" w14:textId="77777777" w:rsidTr="00A3327E">
        <w:trPr>
          <w:jc w:val="center"/>
        </w:trPr>
        <w:tc>
          <w:tcPr>
            <w:tcW w:w="1560" w:type="dxa"/>
            <w:vAlign w:val="center"/>
          </w:tcPr>
          <w:p w14:paraId="071F8D45" w14:textId="12CC91DC" w:rsidR="00A3327E" w:rsidRDefault="00A3327E" w:rsidP="00A3327E">
            <w:pPr>
              <w:pStyle w:val="Tablecontent"/>
            </w:pPr>
            <w:r w:rsidRPr="00CA3CA1">
              <w:t>ALVE-RJF</w:t>
            </w:r>
          </w:p>
        </w:tc>
        <w:tc>
          <w:tcPr>
            <w:tcW w:w="1843" w:type="dxa"/>
            <w:vAlign w:val="center"/>
          </w:tcPr>
          <w:p w14:paraId="716B393B" w14:textId="4D046B47" w:rsidR="00A3327E" w:rsidRPr="00A062CC" w:rsidRDefault="00A3327E" w:rsidP="00A3327E">
            <w:pPr>
              <w:pStyle w:val="Tablecontent"/>
            </w:pPr>
            <w:r w:rsidRPr="00CA3CA1">
              <w:t>1: 32,603,304</w:t>
            </w:r>
          </w:p>
        </w:tc>
        <w:tc>
          <w:tcPr>
            <w:tcW w:w="1134" w:type="dxa"/>
            <w:vAlign w:val="center"/>
          </w:tcPr>
          <w:p w14:paraId="397F71BD" w14:textId="3D947223" w:rsidR="00A3327E" w:rsidRPr="00A062CC" w:rsidRDefault="00A3327E" w:rsidP="00A3327E">
            <w:pPr>
              <w:pStyle w:val="Tablecontent"/>
              <w:jc w:val="center"/>
            </w:pPr>
            <w:r w:rsidRPr="00CA3CA1">
              <w:t>GGCTTG</w:t>
            </w:r>
          </w:p>
        </w:tc>
      </w:tr>
      <w:tr w:rsidR="00A3327E" w14:paraId="2D507D84" w14:textId="77777777" w:rsidTr="00A3327E">
        <w:trPr>
          <w:jc w:val="center"/>
        </w:trPr>
        <w:tc>
          <w:tcPr>
            <w:tcW w:w="1560" w:type="dxa"/>
            <w:vAlign w:val="center"/>
          </w:tcPr>
          <w:p w14:paraId="09DED9FF" w14:textId="02EB7F69" w:rsidR="00A3327E" w:rsidRDefault="00A3327E" w:rsidP="00A3327E">
            <w:pPr>
              <w:pStyle w:val="Tablecontent"/>
            </w:pPr>
            <w:r w:rsidRPr="00CA3CA1">
              <w:t>ALVE2</w:t>
            </w:r>
          </w:p>
        </w:tc>
        <w:tc>
          <w:tcPr>
            <w:tcW w:w="1843" w:type="dxa"/>
            <w:vAlign w:val="center"/>
          </w:tcPr>
          <w:p w14:paraId="361B087F" w14:textId="1F8398B1" w:rsidR="00A3327E" w:rsidRPr="00A062CC" w:rsidRDefault="00A3327E" w:rsidP="00A3327E">
            <w:pPr>
              <w:pStyle w:val="Tablecontent"/>
            </w:pPr>
            <w:r w:rsidRPr="00CA3CA1">
              <w:t>1: 36,872,528</w:t>
            </w:r>
          </w:p>
        </w:tc>
        <w:tc>
          <w:tcPr>
            <w:tcW w:w="1134" w:type="dxa"/>
            <w:vAlign w:val="center"/>
          </w:tcPr>
          <w:p w14:paraId="4621BCB7" w14:textId="168584F7" w:rsidR="00A3327E" w:rsidRPr="00A062CC" w:rsidRDefault="00A3327E" w:rsidP="00A3327E">
            <w:pPr>
              <w:pStyle w:val="Tablecontent"/>
              <w:jc w:val="center"/>
            </w:pPr>
            <w:r w:rsidRPr="00CA3CA1">
              <w:t>GAGGGG</w:t>
            </w:r>
          </w:p>
        </w:tc>
      </w:tr>
      <w:tr w:rsidR="00A3327E" w14:paraId="3164D870" w14:textId="77777777" w:rsidTr="00A3327E">
        <w:trPr>
          <w:jc w:val="center"/>
        </w:trPr>
        <w:tc>
          <w:tcPr>
            <w:tcW w:w="1560" w:type="dxa"/>
            <w:vAlign w:val="center"/>
          </w:tcPr>
          <w:p w14:paraId="03EC0999" w14:textId="1B4AA6DD" w:rsidR="00A3327E" w:rsidRDefault="00A3327E" w:rsidP="00A3327E">
            <w:pPr>
              <w:pStyle w:val="Tablecontent"/>
            </w:pPr>
            <w:r w:rsidRPr="00CA3CA1">
              <w:t>ALVE16</w:t>
            </w:r>
          </w:p>
        </w:tc>
        <w:tc>
          <w:tcPr>
            <w:tcW w:w="1843" w:type="dxa"/>
            <w:vAlign w:val="center"/>
          </w:tcPr>
          <w:p w14:paraId="4E2F4702" w14:textId="19F0296E" w:rsidR="00A3327E" w:rsidRPr="00A062CC" w:rsidRDefault="00A3327E" w:rsidP="00A3327E">
            <w:pPr>
              <w:pStyle w:val="Tablecontent"/>
            </w:pPr>
            <w:r w:rsidRPr="00CA3CA1">
              <w:t>1: 67,449,967</w:t>
            </w:r>
          </w:p>
        </w:tc>
        <w:tc>
          <w:tcPr>
            <w:tcW w:w="1134" w:type="dxa"/>
            <w:vAlign w:val="center"/>
          </w:tcPr>
          <w:p w14:paraId="06C40653" w14:textId="2D721CD5" w:rsidR="00A3327E" w:rsidRPr="00A062CC" w:rsidRDefault="00A3327E" w:rsidP="00A3327E">
            <w:pPr>
              <w:pStyle w:val="Tablecontent"/>
              <w:jc w:val="center"/>
            </w:pPr>
            <w:r w:rsidRPr="00CA3CA1">
              <w:t>CATGGC</w:t>
            </w:r>
          </w:p>
        </w:tc>
      </w:tr>
      <w:tr w:rsidR="00A3327E" w14:paraId="6A05AE9D" w14:textId="77777777" w:rsidTr="00A3327E">
        <w:trPr>
          <w:jc w:val="center"/>
        </w:trPr>
        <w:tc>
          <w:tcPr>
            <w:tcW w:w="1560" w:type="dxa"/>
            <w:vAlign w:val="center"/>
          </w:tcPr>
          <w:p w14:paraId="04D0039A" w14:textId="0DC8CFE1" w:rsidR="00A3327E" w:rsidRDefault="00A3327E" w:rsidP="00A3327E">
            <w:pPr>
              <w:pStyle w:val="Tablecontent"/>
            </w:pPr>
            <w:r w:rsidRPr="00CA3CA1">
              <w:t>ALVE12</w:t>
            </w:r>
          </w:p>
        </w:tc>
        <w:tc>
          <w:tcPr>
            <w:tcW w:w="1843" w:type="dxa"/>
            <w:vAlign w:val="center"/>
          </w:tcPr>
          <w:p w14:paraId="5E5D7953" w14:textId="6BDB9C90" w:rsidR="00A3327E" w:rsidRPr="00A062CC" w:rsidRDefault="00A3327E" w:rsidP="00A3327E">
            <w:pPr>
              <w:pStyle w:val="Tablecontent"/>
            </w:pPr>
            <w:r w:rsidRPr="00CA3CA1">
              <w:t xml:space="preserve">1: 122,259,940 </w:t>
            </w:r>
          </w:p>
        </w:tc>
        <w:tc>
          <w:tcPr>
            <w:tcW w:w="1134" w:type="dxa"/>
            <w:vAlign w:val="center"/>
          </w:tcPr>
          <w:p w14:paraId="43045A31" w14:textId="6312387F" w:rsidR="00A3327E" w:rsidRPr="00A062CC" w:rsidRDefault="00A3327E" w:rsidP="00A3327E">
            <w:pPr>
              <w:pStyle w:val="Tablecontent"/>
              <w:jc w:val="center"/>
            </w:pPr>
            <w:r w:rsidRPr="00CA3CA1">
              <w:t>GTGTTG</w:t>
            </w:r>
          </w:p>
        </w:tc>
      </w:tr>
      <w:tr w:rsidR="00A3327E" w14:paraId="6382EAEC" w14:textId="77777777" w:rsidTr="00A3327E">
        <w:trPr>
          <w:jc w:val="center"/>
        </w:trPr>
        <w:tc>
          <w:tcPr>
            <w:tcW w:w="1560" w:type="dxa"/>
            <w:vAlign w:val="center"/>
          </w:tcPr>
          <w:p w14:paraId="7708A02A" w14:textId="4D0E4776" w:rsidR="00A3327E" w:rsidRDefault="00A3327E" w:rsidP="00A3327E">
            <w:pPr>
              <w:pStyle w:val="Tablecontent"/>
            </w:pPr>
            <w:r w:rsidRPr="00CA3CA1">
              <w:t>ALVE-NSAC2</w:t>
            </w:r>
          </w:p>
        </w:tc>
        <w:tc>
          <w:tcPr>
            <w:tcW w:w="1843" w:type="dxa"/>
            <w:vAlign w:val="center"/>
          </w:tcPr>
          <w:p w14:paraId="7E31AD56" w14:textId="37D86637" w:rsidR="00A3327E" w:rsidRPr="00A062CC" w:rsidRDefault="00A3327E" w:rsidP="00A3327E">
            <w:pPr>
              <w:pStyle w:val="Tablecontent"/>
            </w:pPr>
            <w:r w:rsidRPr="00CA3CA1">
              <w:t>1: 146,108,486</w:t>
            </w:r>
          </w:p>
        </w:tc>
        <w:tc>
          <w:tcPr>
            <w:tcW w:w="1134" w:type="dxa"/>
            <w:vAlign w:val="center"/>
          </w:tcPr>
          <w:p w14:paraId="52D3C6DC" w14:textId="03D6187C" w:rsidR="00A3327E" w:rsidRPr="00A062CC" w:rsidRDefault="00A3327E" w:rsidP="00A3327E">
            <w:pPr>
              <w:pStyle w:val="Tablecontent"/>
              <w:jc w:val="center"/>
            </w:pPr>
            <w:r w:rsidRPr="00CA3CA1">
              <w:t>GGGTCC</w:t>
            </w:r>
          </w:p>
        </w:tc>
      </w:tr>
      <w:tr w:rsidR="00A3327E" w14:paraId="4E6C57AE" w14:textId="77777777" w:rsidTr="00A3327E">
        <w:trPr>
          <w:jc w:val="center"/>
        </w:trPr>
        <w:tc>
          <w:tcPr>
            <w:tcW w:w="1560" w:type="dxa"/>
            <w:vAlign w:val="center"/>
          </w:tcPr>
          <w:p w14:paraId="307B59CB" w14:textId="477611FB" w:rsidR="00A3327E" w:rsidRDefault="00A3327E" w:rsidP="00A3327E">
            <w:pPr>
              <w:pStyle w:val="Tablecontent"/>
            </w:pPr>
            <w:r w:rsidRPr="00CA3CA1">
              <w:t>ALVEB11</w:t>
            </w:r>
          </w:p>
        </w:tc>
        <w:tc>
          <w:tcPr>
            <w:tcW w:w="1843" w:type="dxa"/>
            <w:vAlign w:val="center"/>
          </w:tcPr>
          <w:p w14:paraId="6E092546" w14:textId="179CA839" w:rsidR="00A3327E" w:rsidRPr="00A062CC" w:rsidRDefault="00A3327E" w:rsidP="00A3327E">
            <w:pPr>
              <w:pStyle w:val="Tablecontent"/>
            </w:pPr>
            <w:r w:rsidRPr="00CA3CA1">
              <w:t>2: 62,587,235</w:t>
            </w:r>
          </w:p>
        </w:tc>
        <w:tc>
          <w:tcPr>
            <w:tcW w:w="1134" w:type="dxa"/>
            <w:vAlign w:val="center"/>
          </w:tcPr>
          <w:p w14:paraId="6FE7EAA9" w14:textId="6FEE449B" w:rsidR="00A3327E" w:rsidRPr="00A062CC" w:rsidRDefault="00A3327E" w:rsidP="00A3327E">
            <w:pPr>
              <w:pStyle w:val="Tablecontent"/>
              <w:jc w:val="center"/>
            </w:pPr>
            <w:r w:rsidRPr="00CA3CA1">
              <w:t>AGAGGA</w:t>
            </w:r>
          </w:p>
        </w:tc>
      </w:tr>
      <w:tr w:rsidR="00A3327E" w14:paraId="1A8B0F07" w14:textId="77777777" w:rsidTr="00A3327E">
        <w:trPr>
          <w:jc w:val="center"/>
        </w:trPr>
        <w:tc>
          <w:tcPr>
            <w:tcW w:w="1560" w:type="dxa"/>
            <w:vAlign w:val="center"/>
          </w:tcPr>
          <w:p w14:paraId="2D6C8DAC" w14:textId="22CAED77" w:rsidR="00A3327E" w:rsidRDefault="00A3327E" w:rsidP="00A3327E">
            <w:pPr>
              <w:pStyle w:val="Tablecontent"/>
            </w:pPr>
            <w:r w:rsidRPr="00CA3CA1">
              <w:t>ALVEB2</w:t>
            </w:r>
          </w:p>
        </w:tc>
        <w:tc>
          <w:tcPr>
            <w:tcW w:w="1843" w:type="dxa"/>
            <w:vAlign w:val="center"/>
          </w:tcPr>
          <w:p w14:paraId="31D0FDE2" w14:textId="5E04AB25" w:rsidR="00A3327E" w:rsidRPr="00A062CC" w:rsidRDefault="00A3327E" w:rsidP="00A3327E">
            <w:pPr>
              <w:pStyle w:val="Tablecontent"/>
            </w:pPr>
            <w:r w:rsidRPr="00CA3CA1">
              <w:t>2: 95,058,383</w:t>
            </w:r>
          </w:p>
        </w:tc>
        <w:tc>
          <w:tcPr>
            <w:tcW w:w="1134" w:type="dxa"/>
            <w:vAlign w:val="center"/>
          </w:tcPr>
          <w:p w14:paraId="39A88B10" w14:textId="74269E21" w:rsidR="00A3327E" w:rsidRPr="00A062CC" w:rsidRDefault="00A3327E" w:rsidP="00A3327E">
            <w:pPr>
              <w:pStyle w:val="Tablecontent"/>
              <w:jc w:val="center"/>
            </w:pPr>
            <w:r w:rsidRPr="00CA3CA1">
              <w:t>GACCAT</w:t>
            </w:r>
          </w:p>
        </w:tc>
      </w:tr>
      <w:tr w:rsidR="00A3327E" w14:paraId="51B63706" w14:textId="77777777" w:rsidTr="00A3327E">
        <w:trPr>
          <w:jc w:val="center"/>
        </w:trPr>
        <w:tc>
          <w:tcPr>
            <w:tcW w:w="1560" w:type="dxa"/>
            <w:vAlign w:val="center"/>
          </w:tcPr>
          <w:p w14:paraId="63CC2D19" w14:textId="088D4337" w:rsidR="00A3327E" w:rsidRDefault="00A3327E" w:rsidP="00A3327E">
            <w:pPr>
              <w:pStyle w:val="Tablecontent"/>
            </w:pPr>
            <w:r w:rsidRPr="00CA3CA1">
              <w:t>ALVE-NSAC5</w:t>
            </w:r>
          </w:p>
        </w:tc>
        <w:tc>
          <w:tcPr>
            <w:tcW w:w="1843" w:type="dxa"/>
            <w:vAlign w:val="center"/>
          </w:tcPr>
          <w:p w14:paraId="14D39F71" w14:textId="2E5845C3" w:rsidR="00A3327E" w:rsidRPr="00A062CC" w:rsidRDefault="00A3327E" w:rsidP="00A3327E">
            <w:pPr>
              <w:pStyle w:val="Tablecontent"/>
            </w:pPr>
            <w:r w:rsidRPr="00CA3CA1">
              <w:t>3: 73,338,411</w:t>
            </w:r>
          </w:p>
        </w:tc>
        <w:tc>
          <w:tcPr>
            <w:tcW w:w="1134" w:type="dxa"/>
            <w:vAlign w:val="center"/>
          </w:tcPr>
          <w:p w14:paraId="159862AF" w14:textId="0B7906D6" w:rsidR="00A3327E" w:rsidRPr="00A062CC" w:rsidRDefault="00A3327E" w:rsidP="00A3327E">
            <w:pPr>
              <w:pStyle w:val="Tablecontent"/>
              <w:jc w:val="center"/>
            </w:pPr>
            <w:r w:rsidRPr="00CA3CA1">
              <w:t>GGCTGA</w:t>
            </w:r>
          </w:p>
        </w:tc>
      </w:tr>
      <w:tr w:rsidR="00A3327E" w14:paraId="1FB16A03" w14:textId="77777777" w:rsidTr="00A3327E">
        <w:trPr>
          <w:jc w:val="center"/>
        </w:trPr>
        <w:tc>
          <w:tcPr>
            <w:tcW w:w="1560" w:type="dxa"/>
            <w:vAlign w:val="center"/>
          </w:tcPr>
          <w:p w14:paraId="5669C788" w14:textId="3D07EDAC" w:rsidR="00A3327E" w:rsidRDefault="00A3327E" w:rsidP="00A3327E">
            <w:pPr>
              <w:pStyle w:val="Tablecontent"/>
            </w:pPr>
            <w:r w:rsidRPr="00CA3CA1">
              <w:t>ALVEB10</w:t>
            </w:r>
          </w:p>
        </w:tc>
        <w:tc>
          <w:tcPr>
            <w:tcW w:w="1843" w:type="dxa"/>
            <w:vAlign w:val="center"/>
          </w:tcPr>
          <w:p w14:paraId="4F95288A" w14:textId="7435C695" w:rsidR="00A3327E" w:rsidRPr="00A062CC" w:rsidRDefault="00A3327E" w:rsidP="00A3327E">
            <w:pPr>
              <w:pStyle w:val="Tablecontent"/>
            </w:pPr>
            <w:r w:rsidRPr="00CA3CA1">
              <w:t>4: 27,829,406</w:t>
            </w:r>
          </w:p>
        </w:tc>
        <w:tc>
          <w:tcPr>
            <w:tcW w:w="1134" w:type="dxa"/>
            <w:vAlign w:val="center"/>
          </w:tcPr>
          <w:p w14:paraId="28411C90" w14:textId="4E103FEF" w:rsidR="00A3327E" w:rsidRPr="00A062CC" w:rsidRDefault="00A3327E" w:rsidP="00A3327E">
            <w:pPr>
              <w:pStyle w:val="Tablecontent"/>
              <w:jc w:val="center"/>
            </w:pPr>
            <w:r w:rsidRPr="00CA3CA1">
              <w:t>GCATTC</w:t>
            </w:r>
          </w:p>
        </w:tc>
      </w:tr>
      <w:tr w:rsidR="00A3327E" w14:paraId="14D7C536" w14:textId="77777777" w:rsidTr="00A3327E">
        <w:trPr>
          <w:jc w:val="center"/>
        </w:trPr>
        <w:tc>
          <w:tcPr>
            <w:tcW w:w="1560" w:type="dxa"/>
            <w:vAlign w:val="center"/>
          </w:tcPr>
          <w:p w14:paraId="23C7CF5F" w14:textId="60718CC3" w:rsidR="00A3327E" w:rsidRDefault="00A3327E" w:rsidP="00A3327E">
            <w:pPr>
              <w:pStyle w:val="Tablecontent"/>
            </w:pPr>
            <w:r w:rsidRPr="00CA3CA1">
              <w:t>ALVEB4</w:t>
            </w:r>
          </w:p>
        </w:tc>
        <w:tc>
          <w:tcPr>
            <w:tcW w:w="1843" w:type="dxa"/>
            <w:vAlign w:val="center"/>
          </w:tcPr>
          <w:p w14:paraId="436B23E3" w14:textId="7F3205FA" w:rsidR="00A3327E" w:rsidRPr="00A062CC" w:rsidRDefault="00A3327E" w:rsidP="00A3327E">
            <w:pPr>
              <w:pStyle w:val="Tablecontent"/>
            </w:pPr>
            <w:r w:rsidRPr="00CA3CA1">
              <w:t>4: 88,793,982</w:t>
            </w:r>
          </w:p>
        </w:tc>
        <w:tc>
          <w:tcPr>
            <w:tcW w:w="1134" w:type="dxa"/>
            <w:vAlign w:val="center"/>
          </w:tcPr>
          <w:p w14:paraId="004C9409" w14:textId="3D1C52AA" w:rsidR="00A3327E" w:rsidRPr="00A062CC" w:rsidRDefault="00A3327E" w:rsidP="00A3327E">
            <w:pPr>
              <w:pStyle w:val="Tablecontent"/>
              <w:jc w:val="center"/>
            </w:pPr>
            <w:r w:rsidRPr="00CA3CA1">
              <w:t>ATGTTT</w:t>
            </w:r>
          </w:p>
        </w:tc>
      </w:tr>
      <w:tr w:rsidR="00A3327E" w14:paraId="594411DF" w14:textId="77777777" w:rsidTr="00A3327E">
        <w:trPr>
          <w:jc w:val="center"/>
        </w:trPr>
        <w:tc>
          <w:tcPr>
            <w:tcW w:w="1560" w:type="dxa"/>
            <w:vAlign w:val="center"/>
          </w:tcPr>
          <w:p w14:paraId="743CB586" w14:textId="029C0D91" w:rsidR="00A3327E" w:rsidRDefault="00A3327E" w:rsidP="00A3327E">
            <w:pPr>
              <w:pStyle w:val="Tablecontent"/>
            </w:pPr>
            <w:r w:rsidRPr="00CA3CA1">
              <w:t>ALVEB9</w:t>
            </w:r>
          </w:p>
        </w:tc>
        <w:tc>
          <w:tcPr>
            <w:tcW w:w="1843" w:type="dxa"/>
            <w:vAlign w:val="center"/>
          </w:tcPr>
          <w:p w14:paraId="00AC82E3" w14:textId="37C123EE" w:rsidR="00A3327E" w:rsidRPr="00A062CC" w:rsidRDefault="00A3327E" w:rsidP="00A3327E">
            <w:pPr>
              <w:pStyle w:val="Tablecontent"/>
            </w:pPr>
            <w:r w:rsidRPr="00CA3CA1">
              <w:t>5: 12,126,222</w:t>
            </w:r>
          </w:p>
        </w:tc>
        <w:tc>
          <w:tcPr>
            <w:tcW w:w="1134" w:type="dxa"/>
            <w:vAlign w:val="center"/>
          </w:tcPr>
          <w:p w14:paraId="7525E161" w14:textId="078C3A68" w:rsidR="00A3327E" w:rsidRPr="00A062CC" w:rsidRDefault="00A3327E" w:rsidP="00A3327E">
            <w:pPr>
              <w:pStyle w:val="Tablecontent"/>
              <w:jc w:val="center"/>
            </w:pPr>
            <w:r w:rsidRPr="00CA3CA1">
              <w:t>GGGGAC</w:t>
            </w:r>
          </w:p>
        </w:tc>
      </w:tr>
      <w:tr w:rsidR="00A3327E" w14:paraId="68323BC2" w14:textId="77777777" w:rsidTr="00A3327E">
        <w:trPr>
          <w:jc w:val="center"/>
        </w:trPr>
        <w:tc>
          <w:tcPr>
            <w:tcW w:w="1560" w:type="dxa"/>
            <w:vAlign w:val="center"/>
          </w:tcPr>
          <w:p w14:paraId="236E8C74" w14:textId="29A96333" w:rsidR="00A3327E" w:rsidRDefault="00A3327E" w:rsidP="00A3327E">
            <w:pPr>
              <w:pStyle w:val="Tablecontent"/>
            </w:pPr>
            <w:r w:rsidRPr="00CA3CA1">
              <w:t>ALVEB1</w:t>
            </w:r>
          </w:p>
        </w:tc>
        <w:tc>
          <w:tcPr>
            <w:tcW w:w="1843" w:type="dxa"/>
            <w:vAlign w:val="center"/>
          </w:tcPr>
          <w:p w14:paraId="50E4BA39" w14:textId="624F76F0" w:rsidR="00A3327E" w:rsidRPr="00A062CC" w:rsidRDefault="00A3327E" w:rsidP="00A3327E">
            <w:pPr>
              <w:pStyle w:val="Tablecontent"/>
            </w:pPr>
            <w:r w:rsidRPr="00CA3CA1">
              <w:t>5: 23,238,400</w:t>
            </w:r>
          </w:p>
        </w:tc>
        <w:tc>
          <w:tcPr>
            <w:tcW w:w="1134" w:type="dxa"/>
            <w:vAlign w:val="center"/>
          </w:tcPr>
          <w:p w14:paraId="71C8FCD6" w14:textId="1D92C61B" w:rsidR="00A3327E" w:rsidRPr="00A062CC" w:rsidRDefault="00A3327E" w:rsidP="00A3327E">
            <w:pPr>
              <w:pStyle w:val="Tablecontent"/>
              <w:jc w:val="center"/>
            </w:pPr>
            <w:r w:rsidRPr="00CA3CA1">
              <w:t>GTTATT</w:t>
            </w:r>
          </w:p>
        </w:tc>
      </w:tr>
      <w:tr w:rsidR="00A3327E" w14:paraId="2CC4D9CD" w14:textId="77777777" w:rsidTr="00A3327E">
        <w:trPr>
          <w:jc w:val="center"/>
        </w:trPr>
        <w:tc>
          <w:tcPr>
            <w:tcW w:w="1560" w:type="dxa"/>
            <w:vAlign w:val="center"/>
          </w:tcPr>
          <w:p w14:paraId="6A2B7D1B" w14:textId="22C6C962" w:rsidR="00A3327E" w:rsidRDefault="00A3327E" w:rsidP="00A3327E">
            <w:pPr>
              <w:pStyle w:val="Tablecontent"/>
            </w:pPr>
            <w:r w:rsidRPr="00CA3CA1">
              <w:t>ALVE-NSAC6</w:t>
            </w:r>
          </w:p>
        </w:tc>
        <w:tc>
          <w:tcPr>
            <w:tcW w:w="1843" w:type="dxa"/>
            <w:vAlign w:val="center"/>
          </w:tcPr>
          <w:p w14:paraId="30C59929" w14:textId="3F288AB2" w:rsidR="00A3327E" w:rsidRPr="00A062CC" w:rsidRDefault="00A3327E" w:rsidP="00A3327E">
            <w:pPr>
              <w:pStyle w:val="Tablecontent"/>
            </w:pPr>
            <w:r w:rsidRPr="00CA3CA1">
              <w:t>5: 57,261,506</w:t>
            </w:r>
          </w:p>
        </w:tc>
        <w:tc>
          <w:tcPr>
            <w:tcW w:w="1134" w:type="dxa"/>
            <w:vAlign w:val="center"/>
          </w:tcPr>
          <w:p w14:paraId="279197A2" w14:textId="115D9D31" w:rsidR="00A3327E" w:rsidRPr="00A062CC" w:rsidRDefault="00A3327E" w:rsidP="00A3327E">
            <w:pPr>
              <w:pStyle w:val="Tablecontent"/>
              <w:jc w:val="center"/>
            </w:pPr>
            <w:r w:rsidRPr="00CA3CA1">
              <w:t>AAAACT</w:t>
            </w:r>
          </w:p>
        </w:tc>
      </w:tr>
      <w:tr w:rsidR="00A3327E" w14:paraId="3879FB26" w14:textId="77777777" w:rsidTr="00A3327E">
        <w:trPr>
          <w:jc w:val="center"/>
        </w:trPr>
        <w:tc>
          <w:tcPr>
            <w:tcW w:w="1560" w:type="dxa"/>
            <w:vAlign w:val="center"/>
          </w:tcPr>
          <w:p w14:paraId="16E448D2" w14:textId="4F642210" w:rsidR="00A3327E" w:rsidRDefault="00A3327E" w:rsidP="00A3327E">
            <w:pPr>
              <w:pStyle w:val="Tablecontent"/>
            </w:pPr>
            <w:r w:rsidRPr="00CA3CA1">
              <w:t>ALVE4</w:t>
            </w:r>
          </w:p>
        </w:tc>
        <w:tc>
          <w:tcPr>
            <w:tcW w:w="1843" w:type="dxa"/>
            <w:vAlign w:val="center"/>
          </w:tcPr>
          <w:p w14:paraId="422D6130" w14:textId="4F7BA1AB" w:rsidR="00A3327E" w:rsidRPr="00A062CC" w:rsidRDefault="00A3327E" w:rsidP="00A3327E">
            <w:pPr>
              <w:pStyle w:val="Tablecontent"/>
            </w:pPr>
            <w:r w:rsidRPr="00CA3CA1">
              <w:t>6: 33,827,722</w:t>
            </w:r>
          </w:p>
        </w:tc>
        <w:tc>
          <w:tcPr>
            <w:tcW w:w="1134" w:type="dxa"/>
            <w:vAlign w:val="center"/>
          </w:tcPr>
          <w:p w14:paraId="61F63DA3" w14:textId="54F5FF80" w:rsidR="00A3327E" w:rsidRPr="00A062CC" w:rsidRDefault="00A3327E" w:rsidP="00A3327E">
            <w:pPr>
              <w:pStyle w:val="Tablecontent"/>
              <w:jc w:val="center"/>
            </w:pPr>
            <w:r w:rsidRPr="00CA3CA1">
              <w:t>GCTGCC</w:t>
            </w:r>
          </w:p>
        </w:tc>
      </w:tr>
      <w:tr w:rsidR="00A3327E" w14:paraId="0D11A9CA" w14:textId="77777777" w:rsidTr="00A3327E">
        <w:trPr>
          <w:jc w:val="center"/>
        </w:trPr>
        <w:tc>
          <w:tcPr>
            <w:tcW w:w="1560" w:type="dxa"/>
            <w:vAlign w:val="center"/>
          </w:tcPr>
          <w:p w14:paraId="3AA4A032" w14:textId="7C57BE4B" w:rsidR="00A3327E" w:rsidRDefault="00A3327E" w:rsidP="00A3327E">
            <w:pPr>
              <w:pStyle w:val="Tablecontent"/>
            </w:pPr>
            <w:r w:rsidRPr="00CA3CA1">
              <w:t>ALVEB3</w:t>
            </w:r>
          </w:p>
        </w:tc>
        <w:tc>
          <w:tcPr>
            <w:tcW w:w="1843" w:type="dxa"/>
            <w:vAlign w:val="center"/>
          </w:tcPr>
          <w:p w14:paraId="69F9E605" w14:textId="4D2C398F" w:rsidR="00A3327E" w:rsidRPr="00A062CC" w:rsidRDefault="00A3327E" w:rsidP="00A3327E">
            <w:pPr>
              <w:pStyle w:val="Tablecontent"/>
            </w:pPr>
            <w:r w:rsidRPr="00CA3CA1">
              <w:t>7: 20,479,059</w:t>
            </w:r>
          </w:p>
        </w:tc>
        <w:tc>
          <w:tcPr>
            <w:tcW w:w="1134" w:type="dxa"/>
            <w:vAlign w:val="center"/>
          </w:tcPr>
          <w:p w14:paraId="32FA313F" w14:textId="34A8F599" w:rsidR="00A3327E" w:rsidRPr="00A062CC" w:rsidRDefault="00A3327E" w:rsidP="00A3327E">
            <w:pPr>
              <w:pStyle w:val="Tablecontent"/>
              <w:jc w:val="center"/>
            </w:pPr>
            <w:r w:rsidRPr="00CA3CA1">
              <w:t>GTAGTC</w:t>
            </w:r>
          </w:p>
        </w:tc>
      </w:tr>
      <w:tr w:rsidR="00A3327E" w14:paraId="61FAAB7B" w14:textId="77777777" w:rsidTr="00A3327E">
        <w:trPr>
          <w:jc w:val="center"/>
        </w:trPr>
        <w:tc>
          <w:tcPr>
            <w:tcW w:w="1560" w:type="dxa"/>
            <w:vAlign w:val="center"/>
          </w:tcPr>
          <w:p w14:paraId="79AB5BD5" w14:textId="50E2AF78" w:rsidR="00A3327E" w:rsidRDefault="00A3327E" w:rsidP="00A3327E">
            <w:pPr>
              <w:pStyle w:val="Tablecontent"/>
            </w:pPr>
            <w:r w:rsidRPr="00CA3CA1">
              <w:t>ALVE-NSAC4</w:t>
            </w:r>
          </w:p>
        </w:tc>
        <w:tc>
          <w:tcPr>
            <w:tcW w:w="1843" w:type="dxa"/>
            <w:vAlign w:val="center"/>
          </w:tcPr>
          <w:p w14:paraId="13637FA3" w14:textId="237273F9" w:rsidR="00A3327E" w:rsidRPr="00A062CC" w:rsidRDefault="00A3327E" w:rsidP="00A3327E">
            <w:pPr>
              <w:pStyle w:val="Tablecontent"/>
            </w:pPr>
            <w:r w:rsidRPr="00CA3CA1">
              <w:t>12: 17,625,255</w:t>
            </w:r>
          </w:p>
        </w:tc>
        <w:tc>
          <w:tcPr>
            <w:tcW w:w="1134" w:type="dxa"/>
            <w:vAlign w:val="center"/>
          </w:tcPr>
          <w:p w14:paraId="6B245B4A" w14:textId="78D7E814" w:rsidR="00A3327E" w:rsidRPr="00A062CC" w:rsidRDefault="00A3327E" w:rsidP="00A3327E">
            <w:pPr>
              <w:pStyle w:val="Tablecontent"/>
              <w:jc w:val="center"/>
            </w:pPr>
            <w:r w:rsidRPr="00CA3CA1">
              <w:t>CCTGGG</w:t>
            </w:r>
          </w:p>
        </w:tc>
      </w:tr>
      <w:tr w:rsidR="00A3327E" w14:paraId="1E49741F" w14:textId="77777777" w:rsidTr="00A3327E">
        <w:trPr>
          <w:jc w:val="center"/>
        </w:trPr>
        <w:tc>
          <w:tcPr>
            <w:tcW w:w="1560" w:type="dxa"/>
            <w:vAlign w:val="center"/>
          </w:tcPr>
          <w:p w14:paraId="689165DF" w14:textId="0DEF3231" w:rsidR="00A3327E" w:rsidRDefault="00A3327E" w:rsidP="00A3327E">
            <w:pPr>
              <w:pStyle w:val="Tablecontent"/>
            </w:pPr>
            <w:r w:rsidRPr="00CA3CA1">
              <w:t>ALVEB6</w:t>
            </w:r>
          </w:p>
        </w:tc>
        <w:tc>
          <w:tcPr>
            <w:tcW w:w="1843" w:type="dxa"/>
            <w:vAlign w:val="center"/>
          </w:tcPr>
          <w:p w14:paraId="2A59A97E" w14:textId="2C653D12" w:rsidR="00A3327E" w:rsidRPr="00A062CC" w:rsidRDefault="00A3327E" w:rsidP="00A3327E">
            <w:pPr>
              <w:pStyle w:val="Tablecontent"/>
            </w:pPr>
            <w:r w:rsidRPr="00CA3CA1">
              <w:t xml:space="preserve">14: 9,367,708 </w:t>
            </w:r>
          </w:p>
        </w:tc>
        <w:tc>
          <w:tcPr>
            <w:tcW w:w="1134" w:type="dxa"/>
            <w:vAlign w:val="center"/>
          </w:tcPr>
          <w:p w14:paraId="4CC80CC2" w14:textId="42E4A904" w:rsidR="00A3327E" w:rsidRPr="00A062CC" w:rsidRDefault="00A3327E" w:rsidP="00A3327E">
            <w:pPr>
              <w:pStyle w:val="Tablecontent"/>
              <w:jc w:val="center"/>
            </w:pPr>
            <w:r w:rsidRPr="00CA3CA1">
              <w:t>GTGTCT</w:t>
            </w:r>
          </w:p>
        </w:tc>
      </w:tr>
      <w:tr w:rsidR="00A3327E" w14:paraId="7347E6B5" w14:textId="77777777" w:rsidTr="00A3327E">
        <w:trPr>
          <w:jc w:val="center"/>
        </w:trPr>
        <w:tc>
          <w:tcPr>
            <w:tcW w:w="1560" w:type="dxa"/>
            <w:vAlign w:val="center"/>
          </w:tcPr>
          <w:p w14:paraId="02F880F0" w14:textId="5934D13F" w:rsidR="00A3327E" w:rsidRDefault="00A3327E" w:rsidP="00A3327E">
            <w:pPr>
              <w:pStyle w:val="Tablecontent"/>
            </w:pPr>
            <w:r w:rsidRPr="00CA3CA1">
              <w:t>ALVEB8</w:t>
            </w:r>
          </w:p>
        </w:tc>
        <w:tc>
          <w:tcPr>
            <w:tcW w:w="1843" w:type="dxa"/>
            <w:vAlign w:val="center"/>
          </w:tcPr>
          <w:p w14:paraId="00703027" w14:textId="5A4C5313" w:rsidR="00A3327E" w:rsidRPr="00A062CC" w:rsidRDefault="00A3327E" w:rsidP="00A3327E">
            <w:pPr>
              <w:pStyle w:val="Tablecontent"/>
            </w:pPr>
            <w:r w:rsidRPr="00CA3CA1">
              <w:t>20: 1,468,850</w:t>
            </w:r>
          </w:p>
        </w:tc>
        <w:tc>
          <w:tcPr>
            <w:tcW w:w="1134" w:type="dxa"/>
            <w:vAlign w:val="center"/>
          </w:tcPr>
          <w:p w14:paraId="6AF3F5A6" w14:textId="3D1BDD0A" w:rsidR="00A3327E" w:rsidRPr="00A062CC" w:rsidRDefault="00A3327E" w:rsidP="00A3327E">
            <w:pPr>
              <w:pStyle w:val="Tablecontent"/>
              <w:jc w:val="center"/>
            </w:pPr>
            <w:r w:rsidRPr="00CA3CA1">
              <w:t>GACTAC</w:t>
            </w:r>
          </w:p>
        </w:tc>
      </w:tr>
      <w:tr w:rsidR="00A3327E" w14:paraId="579CDC6D" w14:textId="77777777" w:rsidTr="00A3327E">
        <w:trPr>
          <w:jc w:val="center"/>
        </w:trPr>
        <w:tc>
          <w:tcPr>
            <w:tcW w:w="1560" w:type="dxa"/>
            <w:tcBorders>
              <w:bottom w:val="single" w:sz="4" w:space="0" w:color="auto"/>
            </w:tcBorders>
            <w:vAlign w:val="center"/>
          </w:tcPr>
          <w:p w14:paraId="110BD22F" w14:textId="70FB9A01" w:rsidR="00A3327E" w:rsidRDefault="00A3327E" w:rsidP="00A3327E">
            <w:pPr>
              <w:pStyle w:val="Tablecontent"/>
            </w:pPr>
            <w:r w:rsidRPr="00CA3CA1">
              <w:t>ALVE7</w:t>
            </w:r>
          </w:p>
        </w:tc>
        <w:tc>
          <w:tcPr>
            <w:tcW w:w="1843" w:type="dxa"/>
            <w:tcBorders>
              <w:bottom w:val="single" w:sz="4" w:space="0" w:color="auto"/>
            </w:tcBorders>
            <w:vAlign w:val="center"/>
          </w:tcPr>
          <w:p w14:paraId="2A8BD29F" w14:textId="7F4FFC3D" w:rsidR="00A3327E" w:rsidRPr="00A062CC" w:rsidRDefault="00A3327E" w:rsidP="00A3327E">
            <w:pPr>
              <w:pStyle w:val="Tablecontent"/>
            </w:pPr>
            <w:r w:rsidRPr="00CA3CA1">
              <w:t>Z: 14,471,852</w:t>
            </w:r>
          </w:p>
        </w:tc>
        <w:tc>
          <w:tcPr>
            <w:tcW w:w="1134" w:type="dxa"/>
            <w:tcBorders>
              <w:bottom w:val="single" w:sz="4" w:space="0" w:color="auto"/>
            </w:tcBorders>
            <w:vAlign w:val="center"/>
          </w:tcPr>
          <w:p w14:paraId="511BD595" w14:textId="3A8CB54F" w:rsidR="00A3327E" w:rsidRPr="00A062CC" w:rsidRDefault="00A3327E" w:rsidP="00A3327E">
            <w:pPr>
              <w:pStyle w:val="Tablecontent"/>
              <w:jc w:val="center"/>
            </w:pPr>
            <w:r w:rsidRPr="00CA3CA1">
              <w:t>ACCCTC</w:t>
            </w:r>
          </w:p>
        </w:tc>
      </w:tr>
    </w:tbl>
    <w:p w14:paraId="47F6FFCD" w14:textId="77777777" w:rsidR="0094388F" w:rsidRDefault="0094388F" w:rsidP="00391005">
      <w:pPr>
        <w:pStyle w:val="ListParagraph"/>
      </w:pPr>
    </w:p>
    <w:p w14:paraId="484FF9A6" w14:textId="43065BC8" w:rsidR="00355B1F" w:rsidRPr="003A3EAD" w:rsidRDefault="000A3296" w:rsidP="00391005">
      <w:pPr>
        <w:pStyle w:val="ListParagraph"/>
      </w:pPr>
      <w:r>
        <w:t>genomic reads.  It is therefore possible that ALVE6 was missed during the identification process, as were any other insertions located at the telomeres, centromeres or other difficult to sequence regions of the genome. When combined with the high probabilities of missing low frequency or line specific insertions when using pooled datasets, it is highly likely that the twenty ALVEs across the eight HL lines are an under-representation.</w:t>
      </w:r>
    </w:p>
    <w:p w14:paraId="53A2F707" w14:textId="263CFF94" w:rsidR="00355B1F" w:rsidRDefault="00355B1F" w:rsidP="00AC6BB7">
      <w:pPr>
        <w:pStyle w:val="ListParagraph"/>
        <w:jc w:val="center"/>
      </w:pPr>
      <w:r>
        <w:rPr>
          <w:noProof/>
          <w:lang w:eastAsia="en-GB"/>
        </w:rPr>
        <w:lastRenderedPageBreak/>
        <w:drawing>
          <wp:inline distT="0" distB="0" distL="0" distR="0" wp14:anchorId="200C9848" wp14:editId="1FEAB474">
            <wp:extent cx="5219981" cy="223283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30628" cy="2237391"/>
                    </a:xfrm>
                    <a:prstGeom prst="rect">
                      <a:avLst/>
                    </a:prstGeom>
                    <a:noFill/>
                  </pic:spPr>
                </pic:pic>
              </a:graphicData>
            </a:graphic>
          </wp:inline>
        </w:drawing>
      </w:r>
    </w:p>
    <w:p w14:paraId="08CD668B" w14:textId="30E84678" w:rsidR="00AC6BB7" w:rsidRPr="00AC6BB7" w:rsidRDefault="00355B1F" w:rsidP="00AC6BB7">
      <w:pPr>
        <w:pStyle w:val="Figure"/>
      </w:pPr>
      <w:bookmarkStart w:id="474" w:name="_Ref479074078"/>
      <w:bookmarkStart w:id="475" w:name="_Toc486785455"/>
      <w:r>
        <w:t xml:space="preserve">Figure </w:t>
      </w:r>
      <w:fldSimple w:instr=" STYLEREF 1 \s " w:fldLock="1">
        <w:r w:rsidR="002C549C">
          <w:rPr>
            <w:noProof/>
          </w:rPr>
          <w:t>6</w:t>
        </w:r>
      </w:fldSimple>
      <w:r w:rsidR="001167C6">
        <w:t>.</w:t>
      </w:r>
      <w:fldSimple w:instr=" SEQ Figure \* ARABIC \s 1 " w:fldLock="1">
        <w:r w:rsidR="002C549C">
          <w:rPr>
            <w:noProof/>
          </w:rPr>
          <w:t>10</w:t>
        </w:r>
      </w:fldSimple>
      <w:bookmarkEnd w:id="474"/>
      <w:r>
        <w:t xml:space="preserve"> </w:t>
      </w:r>
      <w:r w:rsidR="00A16843">
        <w:t>Hy-Line WPR1 r</w:t>
      </w:r>
      <w:r>
        <w:t>ead mapping</w:t>
      </w:r>
      <w:r w:rsidR="00A16843">
        <w:t xml:space="preserve"> (</w:t>
      </w:r>
      <w:r w:rsidR="002E6FF0">
        <w:t>with linked read</w:t>
      </w:r>
      <w:r w:rsidR="00A16843">
        <w:t xml:space="preserve"> pairs)</w:t>
      </w:r>
      <w:r>
        <w:t xml:space="preserve"> around the </w:t>
      </w:r>
      <w:r w:rsidR="00A16843">
        <w:t>Galgal5-assembled</w:t>
      </w:r>
      <w:r w:rsidR="00AC6BB7">
        <w:t xml:space="preserve"> ALVE-RJF. There wa</w:t>
      </w:r>
      <w:r>
        <w:t xml:space="preserve">s a clear demarcation between reads mapping to the reference genome </w:t>
      </w:r>
      <w:r w:rsidR="00A16843">
        <w:t>5’ of</w:t>
      </w:r>
      <w:r>
        <w:t xml:space="preserve"> the assembled ALVE-RJF, and ALVE-homologous reads mapping to ALVE-RJF itself. As no reads bridge this gap</w:t>
      </w:r>
      <w:r w:rsidR="00A16843">
        <w:t xml:space="preserve">, </w:t>
      </w:r>
      <w:r>
        <w:t>W</w:t>
      </w:r>
      <w:r w:rsidR="00A16843">
        <w:t xml:space="preserve">PR1 does not contain ALVE-RJF. In addition, the mate of read </w:t>
      </w:r>
      <w:r>
        <w:t xml:space="preserve">1 maps 13,954 bp downstream, again supporting the absence of ALVE-RJF in WPR1. </w:t>
      </w:r>
      <w:r w:rsidR="00A16843">
        <w:t>The mate of read 2 maps to the 5’ genomic region which flanks the ALVE-TYR insertion.</w:t>
      </w:r>
      <w:bookmarkEnd w:id="475"/>
    </w:p>
    <w:p w14:paraId="5B8E44C7" w14:textId="22383159" w:rsidR="00A16843" w:rsidRDefault="00A16843" w:rsidP="00AC6BB7">
      <w:pPr>
        <w:pStyle w:val="ListParagraph"/>
        <w:jc w:val="center"/>
      </w:pPr>
      <w:r>
        <w:rPr>
          <w:noProof/>
          <w:lang w:eastAsia="en-GB"/>
        </w:rPr>
        <w:drawing>
          <wp:inline distT="0" distB="0" distL="0" distR="0" wp14:anchorId="1132751A" wp14:editId="06BDB04E">
            <wp:extent cx="5208105" cy="20832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25231" cy="2090092"/>
                    </a:xfrm>
                    <a:prstGeom prst="rect">
                      <a:avLst/>
                    </a:prstGeom>
                    <a:noFill/>
                  </pic:spPr>
                </pic:pic>
              </a:graphicData>
            </a:graphic>
          </wp:inline>
        </w:drawing>
      </w:r>
    </w:p>
    <w:p w14:paraId="4790FB6B" w14:textId="38C0C468" w:rsidR="00A16843" w:rsidRDefault="00A16843" w:rsidP="00A16843">
      <w:pPr>
        <w:pStyle w:val="Figure"/>
      </w:pPr>
      <w:bookmarkStart w:id="476" w:name="_Ref479075025"/>
      <w:bookmarkStart w:id="477" w:name="_Toc486785456"/>
      <w:r>
        <w:t xml:space="preserve">Figure </w:t>
      </w:r>
      <w:fldSimple w:instr=" STYLEREF 1 \s " w:fldLock="1">
        <w:r w:rsidR="002C549C">
          <w:rPr>
            <w:noProof/>
          </w:rPr>
          <w:t>6</w:t>
        </w:r>
      </w:fldSimple>
      <w:r w:rsidR="001167C6">
        <w:t>.</w:t>
      </w:r>
      <w:fldSimple w:instr=" SEQ Figure \* ARABIC \s 1 " w:fldLock="1">
        <w:r w:rsidR="002C549C">
          <w:rPr>
            <w:noProof/>
          </w:rPr>
          <w:t>11</w:t>
        </w:r>
      </w:fldSimple>
      <w:bookmarkEnd w:id="476"/>
      <w:r>
        <w:t xml:space="preserve"> Hy-Line</w:t>
      </w:r>
      <w:r w:rsidR="00AC6BB7">
        <w:t xml:space="preserve"> WPR1 read mapping (with linked</w:t>
      </w:r>
      <w:r>
        <w:t xml:space="preserve"> read pairs) around the putative ALVE6 insertion site (red dashed line) in the first 2,000 bp of the Galgal5 chromosome 1. Read mapping is generally poor and there is no evidence of an ALVE insertion </w:t>
      </w:r>
      <w:r w:rsidR="00AC6BB7">
        <w:t>at the indicated site.</w:t>
      </w:r>
      <w:bookmarkEnd w:id="477"/>
    </w:p>
    <w:p w14:paraId="10C15D66" w14:textId="08392F21" w:rsidR="00F6639E" w:rsidRDefault="00F6639E" w:rsidP="00180BD0">
      <w:pPr>
        <w:pStyle w:val="Heading2"/>
      </w:pPr>
      <w:bookmarkStart w:id="478" w:name="_Toc485721648"/>
      <w:bookmarkStart w:id="479" w:name="_Toc486787228"/>
      <w:bookmarkStart w:id="480" w:name="_Toc486787376"/>
      <w:r>
        <w:t xml:space="preserve">Further characterisation of </w:t>
      </w:r>
      <w:r w:rsidR="00D6091C">
        <w:t>ALVE</w:t>
      </w:r>
      <w:r>
        <w:t xml:space="preserve">21 and the </w:t>
      </w:r>
      <w:r>
        <w:rPr>
          <w:i/>
        </w:rPr>
        <w:t xml:space="preserve">K </w:t>
      </w:r>
      <w:r>
        <w:t>locus</w:t>
      </w:r>
      <w:bookmarkEnd w:id="478"/>
      <w:bookmarkEnd w:id="479"/>
      <w:bookmarkEnd w:id="480"/>
    </w:p>
    <w:p w14:paraId="082455A8" w14:textId="34D39BF2" w:rsidR="00EE7235" w:rsidRDefault="006E1EE8" w:rsidP="00391005">
      <w:pPr>
        <w:pStyle w:val="ListParagraph"/>
      </w:pPr>
      <w:r>
        <w:t>ALVE21 was identified in WPR1 and WL4 as expected, but a</w:t>
      </w:r>
      <w:r w:rsidR="00387253">
        <w:t xml:space="preserve">lso in the fast feathered WPR2 (all three lines are fixed for their feathering phenotypes). </w:t>
      </w:r>
      <w:r>
        <w:t xml:space="preserve">The BAM files for the </w:t>
      </w:r>
      <w:r>
        <w:lastRenderedPageBreak/>
        <w:t>region clearly show</w:t>
      </w:r>
      <w:r w:rsidR="00F7430F">
        <w:t>ed</w:t>
      </w:r>
      <w:r>
        <w:t xml:space="preserve"> support for the ALVE21 insertion in these three lines, especially when compared to the ALVE21-, fast feathered WL5 (</w:t>
      </w:r>
      <w:r w:rsidR="00EE7235">
        <w:fldChar w:fldCharType="begin" w:fldLock="1"/>
      </w:r>
      <w:r w:rsidR="00EE7235">
        <w:instrText xml:space="preserve"> REF _Ref479080821 \h </w:instrText>
      </w:r>
      <w:r w:rsidR="00EE7235">
        <w:fldChar w:fldCharType="separate"/>
      </w:r>
      <w:r w:rsidR="002C549C">
        <w:t xml:space="preserve">Figure </w:t>
      </w:r>
      <w:r w:rsidR="002C549C">
        <w:rPr>
          <w:noProof/>
        </w:rPr>
        <w:t>6</w:t>
      </w:r>
      <w:r w:rsidR="002C549C">
        <w:t>.</w:t>
      </w:r>
      <w:r w:rsidR="002C549C">
        <w:rPr>
          <w:noProof/>
        </w:rPr>
        <w:t>12</w:t>
      </w:r>
      <w:r w:rsidR="00EE7235">
        <w:fldChar w:fldCharType="end"/>
      </w:r>
      <w:r>
        <w:t xml:space="preserve">). </w:t>
      </w:r>
    </w:p>
    <w:p w14:paraId="18177B78" w14:textId="77777777" w:rsidR="003A3EAD" w:rsidRPr="00AC6BB7" w:rsidRDefault="003A3EAD" w:rsidP="00391005">
      <w:pPr>
        <w:pStyle w:val="ListParagraph"/>
        <w:rPr>
          <w:sz w:val="2"/>
        </w:rPr>
      </w:pPr>
    </w:p>
    <w:p w14:paraId="046CE610" w14:textId="58328C18" w:rsidR="00EE7235" w:rsidRDefault="00EE7235" w:rsidP="00AC6BB7">
      <w:pPr>
        <w:pStyle w:val="ListParagraph"/>
        <w:jc w:val="center"/>
      </w:pPr>
      <w:r>
        <w:rPr>
          <w:noProof/>
          <w:lang w:eastAsia="en-GB"/>
        </w:rPr>
        <w:drawing>
          <wp:inline distT="0" distB="0" distL="0" distR="0" wp14:anchorId="56C94D11" wp14:editId="4B5DC911">
            <wp:extent cx="5200153" cy="2435673"/>
            <wp:effectExtent l="0" t="0" r="63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0">
                      <a:extLst>
                        <a:ext uri="{28A0092B-C50C-407E-A947-70E740481C1C}">
                          <a14:useLocalDpi xmlns:a14="http://schemas.microsoft.com/office/drawing/2010/main" val="0"/>
                        </a:ext>
                      </a:extLst>
                    </a:blip>
                    <a:srcRect l="1755" t="2601"/>
                    <a:stretch/>
                  </pic:blipFill>
                  <pic:spPr bwMode="auto">
                    <a:xfrm>
                      <a:off x="0" y="0"/>
                      <a:ext cx="5219585" cy="2444775"/>
                    </a:xfrm>
                    <a:prstGeom prst="rect">
                      <a:avLst/>
                    </a:prstGeom>
                    <a:noFill/>
                    <a:ln>
                      <a:noFill/>
                    </a:ln>
                    <a:extLst>
                      <a:ext uri="{53640926-AAD7-44D8-BBD7-CCE9431645EC}">
                        <a14:shadowObscured xmlns:a14="http://schemas.microsoft.com/office/drawing/2010/main"/>
                      </a:ext>
                    </a:extLst>
                  </pic:spPr>
                </pic:pic>
              </a:graphicData>
            </a:graphic>
          </wp:inline>
        </w:drawing>
      </w:r>
    </w:p>
    <w:p w14:paraId="7FB50EFC" w14:textId="79891E52" w:rsidR="00EE7235" w:rsidRDefault="00EE7235" w:rsidP="00EE7235">
      <w:pPr>
        <w:pStyle w:val="Figure"/>
      </w:pPr>
      <w:bookmarkStart w:id="481" w:name="_Ref479080821"/>
      <w:bookmarkStart w:id="482" w:name="_Toc486785457"/>
      <w:r>
        <w:t xml:space="preserve">Figure </w:t>
      </w:r>
      <w:fldSimple w:instr=" STYLEREF 1 \s " w:fldLock="1">
        <w:r w:rsidR="002C549C">
          <w:rPr>
            <w:noProof/>
          </w:rPr>
          <w:t>6</w:t>
        </w:r>
      </w:fldSimple>
      <w:r w:rsidR="001167C6">
        <w:t>.</w:t>
      </w:r>
      <w:fldSimple w:instr=" SEQ Figure \* ARABIC \s 1 " w:fldLock="1">
        <w:r w:rsidR="002C549C">
          <w:rPr>
            <w:noProof/>
          </w:rPr>
          <w:t>12</w:t>
        </w:r>
      </w:fldSimple>
      <w:bookmarkEnd w:id="481"/>
      <w:r>
        <w:t xml:space="preserve"> BAM file support for ALVE21. IGV s</w:t>
      </w:r>
      <w:r w:rsidR="00507410">
        <w:t>creenshots</w:t>
      </w:r>
      <w:r>
        <w:t xml:space="preserve"> show the clipped reads at the ALVE21 insertion site in WPR1, WPR2 and WL4, whilst reads map co</w:t>
      </w:r>
      <w:r w:rsidR="00507410">
        <w:t>rrectly across the region in WL5</w:t>
      </w:r>
      <w:r>
        <w:t xml:space="preserve"> </w:t>
      </w:r>
      <w:r w:rsidR="00507410">
        <w:t>(</w:t>
      </w:r>
      <w:r>
        <w:t>ALVE21-, fast feathered</w:t>
      </w:r>
      <w:r w:rsidR="00507410">
        <w:t>)</w:t>
      </w:r>
      <w:r>
        <w:t>. Strikingly, no reads map through the insertion site in WPR2 without clipping. However, in both WPR1 and WL4 (the expected ALVE21+ lines) approximately half the reads covering the insertion site map through the region without clipping.</w:t>
      </w:r>
      <w:r w:rsidR="00F7430F">
        <w:t xml:space="preserve"> This supports the presence of the locus duplication in WPR1 and WL4 (where one of the duplicates contains an unoccupied ALVE21 site) but not in WPR2, matching the feathering phenotype.</w:t>
      </w:r>
      <w:bookmarkEnd w:id="482"/>
    </w:p>
    <w:p w14:paraId="28A17A9D" w14:textId="699E67E3" w:rsidR="00507410" w:rsidRDefault="00387253" w:rsidP="00391005">
      <w:pPr>
        <w:pStyle w:val="ListParagraph"/>
      </w:pPr>
      <w:r>
        <w:t xml:space="preserve">Whilst ALVE21 is closely associated with the slow feathering phenotype, it is the </w:t>
      </w:r>
      <w:r>
        <w:rPr>
          <w:i/>
        </w:rPr>
        <w:t>K</w:t>
      </w:r>
      <w:r>
        <w:t xml:space="preserve"> locus duplication (</w:t>
      </w:r>
      <w:r>
        <w:fldChar w:fldCharType="begin" w:fldLock="1"/>
      </w:r>
      <w:r>
        <w:instrText xml:space="preserve"> REF _Ref479082742 \h </w:instrText>
      </w:r>
      <w:r>
        <w:fldChar w:fldCharType="separate"/>
      </w:r>
      <w:r w:rsidR="002C549C">
        <w:t xml:space="preserve">Figure </w:t>
      </w:r>
      <w:r w:rsidR="002C549C">
        <w:rPr>
          <w:noProof/>
        </w:rPr>
        <w:t>6</w:t>
      </w:r>
      <w:r w:rsidR="002C549C">
        <w:t>.</w:t>
      </w:r>
      <w:r w:rsidR="002C549C">
        <w:rPr>
          <w:noProof/>
        </w:rPr>
        <w:t>13</w:t>
      </w:r>
      <w:r>
        <w:fldChar w:fldCharType="end"/>
      </w:r>
      <w:r>
        <w:t xml:space="preserve">) which is the causative factor. However, there have been reported cases of phenotype reversion to fast feathering caused by recombination between the tandem repeated sections of the </w:t>
      </w:r>
      <w:r>
        <w:rPr>
          <w:i/>
        </w:rPr>
        <w:t xml:space="preserve">K </w:t>
      </w:r>
      <w:r>
        <w:t>locus (</w:t>
      </w:r>
      <w:r>
        <w:fldChar w:fldCharType="begin" w:fldLock="1"/>
      </w:r>
      <w:r>
        <w:instrText xml:space="preserve"> REF _Ref479082750 \h </w:instrText>
      </w:r>
      <w:r>
        <w:fldChar w:fldCharType="separate"/>
      </w:r>
      <w:r w:rsidR="002C549C">
        <w:t xml:space="preserve">Figure </w:t>
      </w:r>
      <w:r w:rsidR="002C549C">
        <w:rPr>
          <w:noProof/>
        </w:rPr>
        <w:t>6</w:t>
      </w:r>
      <w:r w:rsidR="002C549C">
        <w:t>.</w:t>
      </w:r>
      <w:r w:rsidR="002C549C">
        <w:rPr>
          <w:noProof/>
        </w:rPr>
        <w:t>14</w:t>
      </w:r>
      <w:r>
        <w:fldChar w:fldCharType="end"/>
      </w:r>
      <w:r>
        <w:t>)</w:t>
      </w:r>
      <w:r w:rsidR="00960E19">
        <w:t xml:space="preserve"> </w:t>
      </w:r>
      <w:r w:rsidR="00960E19">
        <w:fldChar w:fldCharType="begin" w:fldLock="1"/>
      </w:r>
      <w:r w:rsidR="00671B67">
        <w:instrText>ADDIN CSL_CITATION { "citationItems" : [ { "id" : "ITEM-1", "itemData" : { "author" : [ { "dropping-particle" : "", "family" : "Levin", "given" : "Elan", "non-dropping-particle" : "", "parse-names" : false, "suffix" : "" }, { "dropping-particle" : "", "family" : "Smith", "given" : "Eugene J", "non-dropping-particle" : "", "parse-names" : false, "suffix" : "" } ], "container-title" : "Poultry Science", "id" : "ITEM-1", "issued" : { "date-parts" : [ [ "1990" ] ] }, "page" : "2017-2026", "title" : "Molecular Analysis of Endogenous Virus ev21-Slow Feathering Complex of Chickens. 1. Cloning of Proviral-Cell Junction Fragment and Unoccupied Integration Site", "type" : "article-journal", "volume" : "69" }, "uris" : [ "http://www.mendeley.com/documents/?uuid=52bb11d9-b3c5-4682-ab25-1e44ce7d2a1c" ] } ], "mendeley" : { "formattedCitation" : "(Levin &amp; Smith 1990)", "plainTextFormattedCitation" : "(Levin &amp; Smith 1990)", "previouslyFormattedCitation" : "(Levin &amp; Smith 1990)" }, "properties" : { "noteIndex" : 0 }, "schema" : "https://github.com/citation-style-language/schema/raw/master/csl-citation.json" }</w:instrText>
      </w:r>
      <w:r w:rsidR="00960E19">
        <w:fldChar w:fldCharType="separate"/>
      </w:r>
      <w:r w:rsidR="00960E19" w:rsidRPr="00960E19">
        <w:rPr>
          <w:noProof/>
        </w:rPr>
        <w:t>(Levin &amp; Smith 1990)</w:t>
      </w:r>
      <w:r w:rsidR="00960E19">
        <w:fldChar w:fldCharType="end"/>
      </w:r>
      <w:r>
        <w:t>. WPR1 and WPR2 are sister lines which were separated based on the fast/slow feathering phenotype. The presence of ALVE21 in the fast feathering WPR2 suggests that the fast/slow feathering phenotype was not segregating in the WPR population at the point of separation. Rather, that fast feathering revertants were selected as the founders of the WPR2 line.</w:t>
      </w:r>
    </w:p>
    <w:p w14:paraId="3327770D" w14:textId="2AF8BA1D" w:rsidR="00387253" w:rsidRPr="003A3EAD" w:rsidRDefault="00387253" w:rsidP="00391005">
      <w:pPr>
        <w:pStyle w:val="ListParagraph"/>
      </w:pPr>
    </w:p>
    <w:p w14:paraId="2308ABCD" w14:textId="368BDE74" w:rsidR="00387253" w:rsidRDefault="0066646B" w:rsidP="00AC6BB7">
      <w:pPr>
        <w:pStyle w:val="ListParagraph"/>
      </w:pPr>
      <w:r>
        <w:rPr>
          <w:noProof/>
          <w:lang w:eastAsia="en-GB"/>
        </w:rPr>
        <w:lastRenderedPageBreak/>
        <w:drawing>
          <wp:inline distT="0" distB="0" distL="0" distR="0" wp14:anchorId="03A44C4A" wp14:editId="6C379851">
            <wp:extent cx="5263041" cy="1897812"/>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a:extLst>
                        <a:ext uri="{28A0092B-C50C-407E-A947-70E740481C1C}">
                          <a14:useLocalDpi xmlns:a14="http://schemas.microsoft.com/office/drawing/2010/main" val="0"/>
                        </a:ext>
                      </a:extLst>
                    </a:blip>
                    <a:srcRect l="1495" t="2918" b="4685"/>
                    <a:stretch/>
                  </pic:blipFill>
                  <pic:spPr bwMode="auto">
                    <a:xfrm>
                      <a:off x="0" y="0"/>
                      <a:ext cx="5293220" cy="1908694"/>
                    </a:xfrm>
                    <a:prstGeom prst="rect">
                      <a:avLst/>
                    </a:prstGeom>
                    <a:noFill/>
                    <a:ln>
                      <a:noFill/>
                    </a:ln>
                    <a:extLst>
                      <a:ext uri="{53640926-AAD7-44D8-BBD7-CCE9431645EC}">
                        <a14:shadowObscured xmlns:a14="http://schemas.microsoft.com/office/drawing/2010/main"/>
                      </a:ext>
                    </a:extLst>
                  </pic:spPr>
                </pic:pic>
              </a:graphicData>
            </a:graphic>
          </wp:inline>
        </w:drawing>
      </w:r>
    </w:p>
    <w:p w14:paraId="52A2716E" w14:textId="24148CCF" w:rsidR="00387253" w:rsidRPr="000D5782" w:rsidRDefault="00387253" w:rsidP="00387253">
      <w:pPr>
        <w:pStyle w:val="Figure"/>
      </w:pPr>
      <w:bookmarkStart w:id="483" w:name="_Ref479082742"/>
      <w:bookmarkStart w:id="484" w:name="_Toc486785458"/>
      <w:r>
        <w:t xml:space="preserve">Figure </w:t>
      </w:r>
      <w:fldSimple w:instr=" STYLEREF 1 \s " w:fldLock="1">
        <w:r w:rsidR="002C549C">
          <w:rPr>
            <w:noProof/>
          </w:rPr>
          <w:t>6</w:t>
        </w:r>
      </w:fldSimple>
      <w:r w:rsidR="001167C6">
        <w:t>.</w:t>
      </w:r>
      <w:fldSimple w:instr=" SEQ Figure \* ARABIC \s 1 " w:fldLock="1">
        <w:r w:rsidR="002C549C">
          <w:rPr>
            <w:noProof/>
          </w:rPr>
          <w:t>13</w:t>
        </w:r>
      </w:fldSimple>
      <w:bookmarkEnd w:id="483"/>
      <w:r>
        <w:t xml:space="preserve"> </w:t>
      </w:r>
      <w:r w:rsidR="0066646B">
        <w:t xml:space="preserve">Schematic for the feathering locus. The wildtype </w:t>
      </w:r>
      <w:r w:rsidR="0066646B" w:rsidRPr="00F7430F">
        <w:rPr>
          <w:i/>
        </w:rPr>
        <w:t>k</w:t>
      </w:r>
      <w:r w:rsidR="0066646B" w:rsidRPr="00F7430F">
        <w:rPr>
          <w:i/>
          <w:vertAlign w:val="superscript"/>
        </w:rPr>
        <w:t>+</w:t>
      </w:r>
      <w:r w:rsidR="0066646B">
        <w:t xml:space="preserve"> has the PRLR gene on the reverse strand, SPEF2 on the forward strand and the ALVE21 insertion site (gold bar). The duplicated region is shown with the duplicated gene sections (dSPEF2 and dPRLR) and duplicated insertion site. In the </w:t>
      </w:r>
      <w:r w:rsidR="0066646B">
        <w:rPr>
          <w:i/>
        </w:rPr>
        <w:t>K</w:t>
      </w:r>
      <w:r w:rsidR="00F7430F">
        <w:t xml:space="preserve"> allele</w:t>
      </w:r>
      <w:r w:rsidR="0066646B">
        <w:t xml:space="preserve"> </w:t>
      </w:r>
      <w:r w:rsidR="000D5782">
        <w:t xml:space="preserve">one of the </w:t>
      </w:r>
      <w:r w:rsidR="00F7430F">
        <w:t xml:space="preserve">ALVE21 </w:t>
      </w:r>
      <w:r w:rsidR="000D5782">
        <w:t xml:space="preserve">sites is occupied and the other is empty (as in </w:t>
      </w:r>
      <w:r w:rsidR="000D5782">
        <w:rPr>
          <w:i/>
        </w:rPr>
        <w:t>k</w:t>
      </w:r>
      <w:r w:rsidR="000D5782">
        <w:rPr>
          <w:i/>
          <w:vertAlign w:val="superscript"/>
        </w:rPr>
        <w:t>+</w:t>
      </w:r>
      <w:r w:rsidR="000D5782">
        <w:t xml:space="preserve">), but </w:t>
      </w:r>
      <w:r w:rsidR="00F7430F">
        <w:t>it is unknown which site is occupied</w:t>
      </w:r>
      <w:r w:rsidR="000D5782">
        <w:t>. The on</w:t>
      </w:r>
      <w:r w:rsidR="00F7430F">
        <w:t>ly unique sequence is the link</w:t>
      </w:r>
      <w:r w:rsidR="000D5782">
        <w:t xml:space="preserve"> between dSPEF2 and dPRLR.</w:t>
      </w:r>
      <w:bookmarkEnd w:id="484"/>
    </w:p>
    <w:p w14:paraId="051DEB06" w14:textId="3F61DC08" w:rsidR="00387253" w:rsidRDefault="00BE6F79" w:rsidP="00F7430F">
      <w:pPr>
        <w:pStyle w:val="ListParagraph"/>
        <w:jc w:val="center"/>
      </w:pPr>
      <w:r>
        <w:rPr>
          <w:noProof/>
          <w:lang w:eastAsia="en-GB"/>
        </w:rPr>
        <w:drawing>
          <wp:inline distT="0" distB="0" distL="0" distR="0" wp14:anchorId="1DB503D6" wp14:editId="4BA13FB0">
            <wp:extent cx="4365292" cy="10294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73952" cy="1031497"/>
                    </a:xfrm>
                    <a:prstGeom prst="rect">
                      <a:avLst/>
                    </a:prstGeom>
                    <a:noFill/>
                  </pic:spPr>
                </pic:pic>
              </a:graphicData>
            </a:graphic>
          </wp:inline>
        </w:drawing>
      </w:r>
    </w:p>
    <w:p w14:paraId="34DC5D55" w14:textId="7B21070F" w:rsidR="00387253" w:rsidRPr="00BE6F79" w:rsidRDefault="00387253" w:rsidP="00387253">
      <w:pPr>
        <w:pStyle w:val="Figure"/>
      </w:pPr>
      <w:bookmarkStart w:id="485" w:name="_Ref479082750"/>
      <w:bookmarkStart w:id="486" w:name="_Toc486785459"/>
      <w:r>
        <w:t xml:space="preserve">Figure </w:t>
      </w:r>
      <w:fldSimple w:instr=" STYLEREF 1 \s " w:fldLock="1">
        <w:r w:rsidR="002C549C">
          <w:rPr>
            <w:noProof/>
          </w:rPr>
          <w:t>6</w:t>
        </w:r>
      </w:fldSimple>
      <w:r w:rsidR="001167C6">
        <w:t>.</w:t>
      </w:r>
      <w:fldSimple w:instr=" SEQ Figure \* ARABIC \s 1 " w:fldLock="1">
        <w:r w:rsidR="002C549C">
          <w:rPr>
            <w:noProof/>
          </w:rPr>
          <w:t>14</w:t>
        </w:r>
      </w:fldSimple>
      <w:bookmarkEnd w:id="485"/>
      <w:r w:rsidR="00BE6F79">
        <w:t xml:space="preserve"> Potential </w:t>
      </w:r>
      <w:r w:rsidR="00BE6F79">
        <w:rPr>
          <w:i/>
        </w:rPr>
        <w:t>K</w:t>
      </w:r>
      <w:r w:rsidR="00BE6F79">
        <w:t xml:space="preserve"> allele revertants. The tandem repeats of the </w:t>
      </w:r>
      <w:r w:rsidR="00BE6F79">
        <w:rPr>
          <w:i/>
        </w:rPr>
        <w:t>K</w:t>
      </w:r>
      <w:r w:rsidR="00BE6F79">
        <w:t xml:space="preserve"> allele retain greater than 99 % homology so will readily recombine producing phenotypic revertants. With respect to ALVE21, there are two possible revertant genotypes, with (</w:t>
      </w:r>
      <w:r w:rsidR="00BE6F79">
        <w:rPr>
          <w:i/>
        </w:rPr>
        <w:t>k</w:t>
      </w:r>
      <w:r w:rsidR="00BE6F79">
        <w:rPr>
          <w:i/>
          <w:vertAlign w:val="superscript"/>
        </w:rPr>
        <w:t>R</w:t>
      </w:r>
      <w:r w:rsidR="00BE6F79">
        <w:t>) or without (</w:t>
      </w:r>
      <w:r w:rsidR="00BE6F79">
        <w:rPr>
          <w:i/>
        </w:rPr>
        <w:t>k</w:t>
      </w:r>
      <w:r w:rsidR="00BE6F79">
        <w:rPr>
          <w:i/>
          <w:vertAlign w:val="superscript"/>
        </w:rPr>
        <w:t>+</w:t>
      </w:r>
      <w:r w:rsidR="00BE6F79">
        <w:t>) the insertion.  These genotypes will depend on where recombination crossing over occurs.</w:t>
      </w:r>
      <w:bookmarkEnd w:id="486"/>
    </w:p>
    <w:p w14:paraId="7D0A0195" w14:textId="7A6DBBC7" w:rsidR="00507410" w:rsidRDefault="00F16055" w:rsidP="00391005">
      <w:pPr>
        <w:pStyle w:val="ListParagraph"/>
      </w:pPr>
      <w:r>
        <w:t xml:space="preserve">Duplication of the ALVE21 insertion site in the slow feathered </w:t>
      </w:r>
      <w:r>
        <w:rPr>
          <w:i/>
        </w:rPr>
        <w:t xml:space="preserve">K </w:t>
      </w:r>
      <w:r>
        <w:t>allele mea</w:t>
      </w:r>
      <w:r w:rsidR="003551B7">
        <w:t>nt that the KASP assay identified</w:t>
      </w:r>
      <w:r>
        <w:t xml:space="preserve"> all WPR1 and WL4 individuals as heterozygotes, as the ‘empty’ insertion sites were picked up by the ‘no insert’ primer pair (</w:t>
      </w:r>
      <w:r>
        <w:fldChar w:fldCharType="begin" w:fldLock="1"/>
      </w:r>
      <w:r>
        <w:instrText xml:space="preserve"> REF _Ref479081125 \h </w:instrText>
      </w:r>
      <w:r>
        <w:fldChar w:fldCharType="separate"/>
      </w:r>
      <w:r w:rsidR="002C549C">
        <w:t xml:space="preserve">Figure </w:t>
      </w:r>
      <w:r w:rsidR="002C549C">
        <w:rPr>
          <w:noProof/>
        </w:rPr>
        <w:t>6</w:t>
      </w:r>
      <w:r w:rsidR="002C549C">
        <w:t>.</w:t>
      </w:r>
      <w:r w:rsidR="002C549C">
        <w:rPr>
          <w:noProof/>
        </w:rPr>
        <w:t>15</w:t>
      </w:r>
      <w:r>
        <w:fldChar w:fldCharType="end"/>
      </w:r>
      <w:r>
        <w:t>A). In addition, the assay provided more support for the hypothesised feathering phenotype reversion</w:t>
      </w:r>
      <w:r w:rsidR="00C34E2F">
        <w:t xml:space="preserve"> (</w:t>
      </w:r>
      <w:r w:rsidR="00C20F73">
        <w:rPr>
          <w:i/>
        </w:rPr>
        <w:t>k</w:t>
      </w:r>
      <w:r w:rsidR="00C34E2F" w:rsidRPr="00C34E2F">
        <w:rPr>
          <w:i/>
          <w:vertAlign w:val="superscript"/>
        </w:rPr>
        <w:t>R</w:t>
      </w:r>
      <w:r w:rsidR="00C34E2F">
        <w:t>)</w:t>
      </w:r>
      <w:r>
        <w:t xml:space="preserve"> in WPR2, as all these individuals were homozygous for ALVE21. </w:t>
      </w:r>
      <w:r w:rsidR="008965CE">
        <w:t>Furthermore, the ALVE21 KASP was used on</w:t>
      </w:r>
      <w:r w:rsidR="007908D2">
        <w:t xml:space="preserve"> </w:t>
      </w:r>
      <w:r w:rsidR="008965CE">
        <w:t>male progeny of a</w:t>
      </w:r>
      <w:r w:rsidR="00C34E2F">
        <w:t xml:space="preserve"> WL4</w:t>
      </w:r>
      <w:r w:rsidR="008965CE">
        <w:t xml:space="preserve"> (</w:t>
      </w:r>
      <w:r w:rsidR="008965CE">
        <w:rPr>
          <w:rFonts w:ascii="Segoe UI Symbol" w:hAnsi="Segoe UI Symbol" w:cs="Segoe UI Symbol"/>
        </w:rPr>
        <w:t>♂</w:t>
      </w:r>
      <w:r w:rsidR="008965CE">
        <w:t>) x WL3 (</w:t>
      </w:r>
      <w:r w:rsidR="008965CE">
        <w:rPr>
          <w:rFonts w:ascii="Segoe UI Symbol" w:hAnsi="Segoe UI Symbol" w:cs="Segoe UI Symbol"/>
        </w:rPr>
        <w:t>♀</w:t>
      </w:r>
      <w:r w:rsidR="008965CE">
        <w:t>) cross to show that these were ‘genuine’ heterozygotes for ALVE21 (</w:t>
      </w:r>
      <w:r w:rsidR="008965CE">
        <w:fldChar w:fldCharType="begin" w:fldLock="1"/>
      </w:r>
      <w:r w:rsidR="008965CE">
        <w:instrText xml:space="preserve"> REF _Ref479081125 \h </w:instrText>
      </w:r>
      <w:r w:rsidR="008965CE">
        <w:fldChar w:fldCharType="separate"/>
      </w:r>
      <w:r w:rsidR="002C549C">
        <w:t xml:space="preserve">Figure </w:t>
      </w:r>
      <w:r w:rsidR="002C549C">
        <w:rPr>
          <w:noProof/>
        </w:rPr>
        <w:t>6</w:t>
      </w:r>
      <w:r w:rsidR="002C549C">
        <w:t>.</w:t>
      </w:r>
      <w:r w:rsidR="002C549C">
        <w:rPr>
          <w:noProof/>
        </w:rPr>
        <w:t>15</w:t>
      </w:r>
      <w:r w:rsidR="008965CE">
        <w:fldChar w:fldCharType="end"/>
      </w:r>
      <w:r w:rsidR="008965CE">
        <w:t>B</w:t>
      </w:r>
      <w:r w:rsidR="00C34E2F">
        <w:t>, grey</w:t>
      </w:r>
      <w:r w:rsidR="00960E19">
        <w:t xml:space="preserve">, </w:t>
      </w:r>
      <w:r w:rsidR="00960E19" w:rsidRPr="00960E19">
        <w:rPr>
          <w:i/>
        </w:rPr>
        <w:t>K</w:t>
      </w:r>
      <w:r w:rsidR="00960E19">
        <w:t>/</w:t>
      </w:r>
      <w:r w:rsidR="00960E19" w:rsidRPr="00960E19">
        <w:rPr>
          <w:i/>
        </w:rPr>
        <w:t>k</w:t>
      </w:r>
      <w:r w:rsidR="00960E19" w:rsidRPr="00960E19">
        <w:rPr>
          <w:i/>
          <w:vertAlign w:val="superscript"/>
        </w:rPr>
        <w:t>+</w:t>
      </w:r>
      <w:r w:rsidR="00960E19">
        <w:t xml:space="preserve"> </w:t>
      </w:r>
      <w:r w:rsidR="00C34E2F">
        <w:t>genotypes</w:t>
      </w:r>
      <w:r w:rsidR="008965CE">
        <w:t xml:space="preserve">). </w:t>
      </w:r>
    </w:p>
    <w:p w14:paraId="38AD2223" w14:textId="304021E3" w:rsidR="00507410" w:rsidRPr="003A3EAD" w:rsidRDefault="00507410" w:rsidP="00391005">
      <w:pPr>
        <w:pStyle w:val="ListParagraph"/>
      </w:pPr>
    </w:p>
    <w:p w14:paraId="3F9E243F" w14:textId="28E3664A" w:rsidR="00507410" w:rsidRDefault="001A7BB0" w:rsidP="00F7430F">
      <w:pPr>
        <w:pStyle w:val="ListParagraph"/>
        <w:jc w:val="center"/>
      </w:pPr>
      <w:r>
        <w:rPr>
          <w:noProof/>
          <w:lang w:eastAsia="en-GB"/>
        </w:rPr>
        <w:lastRenderedPageBreak/>
        <w:drawing>
          <wp:inline distT="0" distB="0" distL="0" distR="0" wp14:anchorId="64C62271" wp14:editId="23EA365C">
            <wp:extent cx="3829125" cy="1923415"/>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3">
                      <a:extLst>
                        <a:ext uri="{28A0092B-C50C-407E-A947-70E740481C1C}">
                          <a14:useLocalDpi xmlns:a14="http://schemas.microsoft.com/office/drawing/2010/main" val="0"/>
                        </a:ext>
                      </a:extLst>
                    </a:blip>
                    <a:srcRect l="1834" t="3587"/>
                    <a:stretch/>
                  </pic:blipFill>
                  <pic:spPr bwMode="auto">
                    <a:xfrm>
                      <a:off x="0" y="0"/>
                      <a:ext cx="3836459" cy="1927099"/>
                    </a:xfrm>
                    <a:prstGeom prst="rect">
                      <a:avLst/>
                    </a:prstGeom>
                    <a:noFill/>
                    <a:ln>
                      <a:noFill/>
                    </a:ln>
                    <a:extLst>
                      <a:ext uri="{53640926-AAD7-44D8-BBD7-CCE9431645EC}">
                        <a14:shadowObscured xmlns:a14="http://schemas.microsoft.com/office/drawing/2010/main"/>
                      </a:ext>
                    </a:extLst>
                  </pic:spPr>
                </pic:pic>
              </a:graphicData>
            </a:graphic>
          </wp:inline>
        </w:drawing>
      </w:r>
    </w:p>
    <w:p w14:paraId="2DE30CB7" w14:textId="0A666BB4" w:rsidR="006F42F5" w:rsidRDefault="00507410" w:rsidP="003A3EAD">
      <w:pPr>
        <w:pStyle w:val="Figure"/>
      </w:pPr>
      <w:bookmarkStart w:id="487" w:name="_Ref479081125"/>
      <w:bookmarkStart w:id="488" w:name="_Toc486785460"/>
      <w:r>
        <w:t xml:space="preserve">Figure </w:t>
      </w:r>
      <w:fldSimple w:instr=" STYLEREF 1 \s " w:fldLock="1">
        <w:r w:rsidR="002C549C">
          <w:rPr>
            <w:noProof/>
          </w:rPr>
          <w:t>6</w:t>
        </w:r>
      </w:fldSimple>
      <w:r w:rsidR="001167C6">
        <w:t>.</w:t>
      </w:r>
      <w:fldSimple w:instr=" SEQ Figure \* ARABIC \s 1 " w:fldLock="1">
        <w:r w:rsidR="002C549C">
          <w:rPr>
            <w:noProof/>
          </w:rPr>
          <w:t>15</w:t>
        </w:r>
      </w:fldSimple>
      <w:bookmarkEnd w:id="487"/>
      <w:r>
        <w:t xml:space="preserve"> </w:t>
      </w:r>
      <w:r w:rsidR="007908D2">
        <w:t>KASP assay results for ALVE21. A) Results for the 2010 males from all eight Hy-Line lines showing WPR1 and WL4 as heterozygotes, WPR2 as homozygous for the insert, and the remaining five, fast feathered lines as homozygous wildtype. B)</w:t>
      </w:r>
      <w:r w:rsidR="00C34E2F">
        <w:t xml:space="preserve"> Results for WL4</w:t>
      </w:r>
      <w:r w:rsidR="007908D2">
        <w:t xml:space="preserve"> males (</w:t>
      </w:r>
      <w:r w:rsidR="00C34E2F">
        <w:t xml:space="preserve">green, </w:t>
      </w:r>
      <w:r w:rsidR="00C34E2F" w:rsidRPr="00C34E2F">
        <w:rPr>
          <w:i/>
        </w:rPr>
        <w:t>K</w:t>
      </w:r>
      <w:r w:rsidR="00C34E2F">
        <w:t>/</w:t>
      </w:r>
      <w:r w:rsidR="00C34E2F" w:rsidRPr="00C34E2F">
        <w:rPr>
          <w:i/>
        </w:rPr>
        <w:t>K</w:t>
      </w:r>
      <w:r w:rsidR="00C34E2F">
        <w:t>), WL3 males</w:t>
      </w:r>
      <w:r w:rsidR="007908D2">
        <w:t xml:space="preserve"> (blue</w:t>
      </w:r>
      <w:r w:rsidR="00C34E2F">
        <w:t xml:space="preserve">, </w:t>
      </w:r>
      <w:r w:rsidR="00C34E2F" w:rsidRPr="00C34E2F">
        <w:rPr>
          <w:i/>
        </w:rPr>
        <w:t>k</w:t>
      </w:r>
      <w:r w:rsidR="00C34E2F" w:rsidRPr="00C34E2F">
        <w:rPr>
          <w:i/>
          <w:vertAlign w:val="superscript"/>
        </w:rPr>
        <w:t>+</w:t>
      </w:r>
      <w:r w:rsidR="00C34E2F">
        <w:t>/</w:t>
      </w:r>
      <w:r w:rsidR="00C34E2F" w:rsidRPr="00C34E2F">
        <w:rPr>
          <w:i/>
        </w:rPr>
        <w:t>k</w:t>
      </w:r>
      <w:r w:rsidR="00C34E2F" w:rsidRPr="00C34E2F">
        <w:rPr>
          <w:i/>
          <w:vertAlign w:val="superscript"/>
        </w:rPr>
        <w:t>+</w:t>
      </w:r>
      <w:r w:rsidR="007908D2">
        <w:t>), the male progeny</w:t>
      </w:r>
      <w:r w:rsidR="00C34E2F">
        <w:t xml:space="preserve"> of a WL4</w:t>
      </w:r>
      <w:r w:rsidR="007908D2" w:rsidRPr="007908D2">
        <w:t xml:space="preserve"> (♂) x WL3 (♀) cross</w:t>
      </w:r>
      <w:r w:rsidR="007908D2">
        <w:t xml:space="preserve"> (grey</w:t>
      </w:r>
      <w:r w:rsidR="00C34E2F">
        <w:t xml:space="preserve">, </w:t>
      </w:r>
      <w:r w:rsidR="00C34E2F" w:rsidRPr="00C34E2F">
        <w:rPr>
          <w:i/>
        </w:rPr>
        <w:t>K</w:t>
      </w:r>
      <w:r w:rsidR="00C34E2F">
        <w:t>/</w:t>
      </w:r>
      <w:r w:rsidR="00C34E2F" w:rsidRPr="00C34E2F">
        <w:rPr>
          <w:i/>
        </w:rPr>
        <w:t>k</w:t>
      </w:r>
      <w:r w:rsidR="00C34E2F" w:rsidRPr="00C34E2F">
        <w:rPr>
          <w:i/>
          <w:vertAlign w:val="superscript"/>
        </w:rPr>
        <w:t>+</w:t>
      </w:r>
      <w:r w:rsidR="007908D2">
        <w:t xml:space="preserve">) and </w:t>
      </w:r>
      <w:r w:rsidR="00C34E2F">
        <w:t xml:space="preserve">the female progeny of the same </w:t>
      </w:r>
      <w:r w:rsidR="00C34E2F" w:rsidRPr="007908D2">
        <w:t>cross</w:t>
      </w:r>
      <w:r w:rsidR="00C34E2F">
        <w:t xml:space="preserve"> (red, </w:t>
      </w:r>
      <w:r w:rsidR="00C34E2F" w:rsidRPr="00C34E2F">
        <w:rPr>
          <w:i/>
        </w:rPr>
        <w:t>K</w:t>
      </w:r>
      <w:r w:rsidR="00C34E2F">
        <w:t xml:space="preserve">/-). Theoretically more samples would better resolve the grey group towards the </w:t>
      </w:r>
      <w:r w:rsidR="00C34E2F">
        <w:rPr>
          <w:i/>
        </w:rPr>
        <w:t>x</w:t>
      </w:r>
      <w:r w:rsidR="00C34E2F">
        <w:t>-axis, as the ALVE21 insertion site ratio is 2 empty to 1 occupied (</w:t>
      </w:r>
      <w:r w:rsidR="00C34E2F">
        <w:rPr>
          <w:i/>
        </w:rPr>
        <w:t>K</w:t>
      </w:r>
      <w:r w:rsidR="00C34E2F">
        <w:t xml:space="preserve"> has 1 of each, </w:t>
      </w:r>
      <w:r w:rsidR="00C34E2F">
        <w:rPr>
          <w:i/>
        </w:rPr>
        <w:t>k</w:t>
      </w:r>
      <w:r w:rsidR="00C34E2F">
        <w:rPr>
          <w:i/>
          <w:vertAlign w:val="superscript"/>
        </w:rPr>
        <w:t>+</w:t>
      </w:r>
      <w:r w:rsidR="00C34E2F">
        <w:t xml:space="preserve"> has 1 empty). There were no samples available for </w:t>
      </w:r>
      <w:r w:rsidR="00AC6BB7">
        <w:t>‘</w:t>
      </w:r>
      <w:r w:rsidR="00C34E2F">
        <w:t>true</w:t>
      </w:r>
      <w:r w:rsidR="00AC6BB7">
        <w:t>’</w:t>
      </w:r>
      <w:r w:rsidR="00C34E2F">
        <w:t xml:space="preserve"> ALVE21 heterozygotes (</w:t>
      </w:r>
      <w:r w:rsidR="00C20F73">
        <w:rPr>
          <w:i/>
        </w:rPr>
        <w:t>k</w:t>
      </w:r>
      <w:r w:rsidR="00C34E2F" w:rsidRPr="00C34E2F">
        <w:rPr>
          <w:i/>
          <w:vertAlign w:val="superscript"/>
        </w:rPr>
        <w:t>R</w:t>
      </w:r>
      <w:r w:rsidR="00C34E2F">
        <w:t>/</w:t>
      </w:r>
      <w:r w:rsidR="00C34E2F" w:rsidRPr="00C34E2F">
        <w:rPr>
          <w:i/>
        </w:rPr>
        <w:t>k</w:t>
      </w:r>
      <w:r w:rsidR="00C34E2F" w:rsidRPr="00C34E2F">
        <w:rPr>
          <w:i/>
          <w:vertAlign w:val="superscript"/>
        </w:rPr>
        <w:t>+</w:t>
      </w:r>
      <w:r w:rsidR="00C34E2F">
        <w:rPr>
          <w:i/>
        </w:rPr>
        <w:t>,</w:t>
      </w:r>
      <w:r w:rsidR="00C34E2F">
        <w:t xml:space="preserve"> a WPR2 crossed with a non-WPR2 fast feathered bird).</w:t>
      </w:r>
      <w:bookmarkEnd w:id="488"/>
      <w:r w:rsidR="00C34E2F">
        <w:t xml:space="preserve"> </w:t>
      </w:r>
    </w:p>
    <w:p w14:paraId="7A6B8B8A" w14:textId="77777777" w:rsidR="006F42F5" w:rsidRDefault="006F42F5" w:rsidP="00AE3685">
      <w:pPr>
        <w:pStyle w:val="Heading3"/>
      </w:pPr>
      <w:bookmarkStart w:id="489" w:name="_Toc485721649"/>
      <w:bookmarkStart w:id="490" w:name="_Toc486787229"/>
      <w:bookmarkStart w:id="491" w:name="_Toc486787377"/>
      <w:r>
        <w:t>K locus bridging sequence KASP development</w:t>
      </w:r>
      <w:bookmarkEnd w:id="489"/>
      <w:bookmarkEnd w:id="490"/>
      <w:bookmarkEnd w:id="491"/>
    </w:p>
    <w:p w14:paraId="563EC5CC" w14:textId="4F3C123F" w:rsidR="007908D2" w:rsidRDefault="007908D2" w:rsidP="00391005">
      <w:pPr>
        <w:pStyle w:val="ListParagraph"/>
      </w:pPr>
      <w:r>
        <w:t>Whilst the ALVE21 KASP assay was viable for use with lines where the feathering phenotype</w:t>
      </w:r>
      <w:r w:rsidR="009A23CA">
        <w:t xml:space="preserve"> was known to be fixed, it cannot</w:t>
      </w:r>
      <w:r>
        <w:t xml:space="preserve"> be used reliably on segregating lines</w:t>
      </w:r>
      <w:r w:rsidR="009A23CA">
        <w:t>. Even with perfect data,</w:t>
      </w:r>
      <w:r>
        <w:t xml:space="preserve"> </w:t>
      </w:r>
      <w:r w:rsidR="009A23CA">
        <w:t xml:space="preserve">genotype </w:t>
      </w:r>
      <w:r>
        <w:t>clusters would</w:t>
      </w:r>
      <w:r w:rsidR="009A23CA">
        <w:t xml:space="preserve"> likely</w:t>
      </w:r>
      <w:r>
        <w:t xml:space="preserve"> resolve poorly </w:t>
      </w:r>
      <w:r w:rsidR="009A23CA">
        <w:t xml:space="preserve">and it would be impossible to distinguish between </w:t>
      </w:r>
      <w:r w:rsidR="009A23CA" w:rsidRPr="009A23CA">
        <w:rPr>
          <w:i/>
        </w:rPr>
        <w:t>K</w:t>
      </w:r>
      <w:r w:rsidR="009A23CA">
        <w:t>/</w:t>
      </w:r>
      <w:r w:rsidR="009A23CA" w:rsidRPr="009A23CA">
        <w:rPr>
          <w:i/>
        </w:rPr>
        <w:t>K</w:t>
      </w:r>
      <w:r w:rsidR="009A23CA">
        <w:t xml:space="preserve"> and </w:t>
      </w:r>
      <w:r w:rsidR="00C20F73">
        <w:rPr>
          <w:i/>
        </w:rPr>
        <w:t>k</w:t>
      </w:r>
      <w:r w:rsidR="009A23CA" w:rsidRPr="009A23CA">
        <w:rPr>
          <w:i/>
          <w:vertAlign w:val="superscript"/>
        </w:rPr>
        <w:t>R</w:t>
      </w:r>
      <w:r w:rsidR="009A23CA">
        <w:t>/</w:t>
      </w:r>
      <w:r w:rsidR="009A23CA" w:rsidRPr="009A23CA">
        <w:rPr>
          <w:i/>
        </w:rPr>
        <w:t>k</w:t>
      </w:r>
      <w:r w:rsidR="009A23CA" w:rsidRPr="009A23CA">
        <w:rPr>
          <w:i/>
          <w:vertAlign w:val="superscript"/>
        </w:rPr>
        <w:t>+</w:t>
      </w:r>
      <w:r w:rsidR="009A23CA">
        <w:t xml:space="preserve"> individuals </w:t>
      </w:r>
      <w:r>
        <w:t>(</w:t>
      </w:r>
      <w:r w:rsidR="00C20F73">
        <w:fldChar w:fldCharType="begin" w:fldLock="1"/>
      </w:r>
      <w:r w:rsidR="00C20F73">
        <w:instrText xml:space="preserve"> REF _Ref479090499 \h </w:instrText>
      </w:r>
      <w:r w:rsidR="00C20F73">
        <w:fldChar w:fldCharType="separate"/>
      </w:r>
      <w:r w:rsidR="002C549C">
        <w:t xml:space="preserve">Figure </w:t>
      </w:r>
      <w:r w:rsidR="002C549C">
        <w:rPr>
          <w:noProof/>
        </w:rPr>
        <w:t>6</w:t>
      </w:r>
      <w:r w:rsidR="002C549C">
        <w:t>.</w:t>
      </w:r>
      <w:r w:rsidR="002C549C">
        <w:rPr>
          <w:noProof/>
        </w:rPr>
        <w:t>16</w:t>
      </w:r>
      <w:r w:rsidR="00C20F73">
        <w:fldChar w:fldCharType="end"/>
      </w:r>
      <w:r>
        <w:t>).</w:t>
      </w:r>
      <w:r w:rsidR="00075738">
        <w:t xml:space="preserve"> However, the genotypes can be reliably called when the ALVE21 KASP is used in tandem with an assay specific to the duplication </w:t>
      </w:r>
      <w:r w:rsidR="00F7430F">
        <w:t xml:space="preserve">bridging region </w:t>
      </w:r>
      <w:r w:rsidR="00075738">
        <w:t xml:space="preserve">within the </w:t>
      </w:r>
      <w:r w:rsidR="00075738">
        <w:rPr>
          <w:i/>
        </w:rPr>
        <w:t>K</w:t>
      </w:r>
      <w:r w:rsidR="00075738">
        <w:t xml:space="preserve"> allele.</w:t>
      </w:r>
    </w:p>
    <w:p w14:paraId="600254C5" w14:textId="6BEABC8E" w:rsidR="00AC6BB7" w:rsidRDefault="00AC6BB7" w:rsidP="00391005">
      <w:pPr>
        <w:pStyle w:val="ListParagraph"/>
      </w:pPr>
      <w:r>
        <w:t xml:space="preserve">As </w:t>
      </w:r>
      <w:r>
        <w:fldChar w:fldCharType="begin" w:fldLock="1"/>
      </w:r>
      <w:r>
        <w:instrText xml:space="preserve"> REF _Ref479082742 \h </w:instrText>
      </w:r>
      <w:r>
        <w:fldChar w:fldCharType="separate"/>
      </w:r>
      <w:r w:rsidR="002C549C">
        <w:t xml:space="preserve">Figure </w:t>
      </w:r>
      <w:r w:rsidR="002C549C">
        <w:rPr>
          <w:noProof/>
        </w:rPr>
        <w:t>6</w:t>
      </w:r>
      <w:r w:rsidR="002C549C">
        <w:t>.</w:t>
      </w:r>
      <w:r w:rsidR="002C549C">
        <w:rPr>
          <w:noProof/>
        </w:rPr>
        <w:t>13</w:t>
      </w:r>
      <w:r>
        <w:fldChar w:fldCharType="end"/>
      </w:r>
      <w:r>
        <w:t xml:space="preserve"> shows, the only unique sequence within the </w:t>
      </w:r>
      <w:r>
        <w:rPr>
          <w:i/>
        </w:rPr>
        <w:t>K</w:t>
      </w:r>
      <w:r>
        <w:t xml:space="preserve"> locus is the bridge between duplicated and wildtype sequence. Using primer sequences designed by Elferink and colleagues (2008) and the published bridging sequence </w:t>
      </w:r>
      <w:r>
        <w:fldChar w:fldCharType="begin" w:fldLock="1"/>
      </w:r>
      <w:r>
        <w:instrText>ADDIN CSL_CITATION { "citationItems" : [ { "id" : "ITEM-1", "itemData" : { "DOI" : "10.1530/JME-13-0068", "ISSN" : "1479-6813", "PMID" : "23940279", "abstract" : "A partial duplication of the prolactin (PRL) receptor gene (designated as dPRLR) has been identified at the late-feathering (LF) K locus on chromosome Z of some chicken strains recently, implying that dPRLR is probably a candidate gene associated with LF development in chickens. However, little is known about the structure, functionality, and spatiotemporal expression of the dPRLR gene in chickens. In this study, using 3'-RACE and RT-PCR, the full-length cDNA of the dPRLR obtained from the kidneys of male Lohmann layer chickens carrying a K allele was cloned. The cloned dPRLR is predicted to encode a membrane-spanning receptor of 683 amino acids, which is nearly identical to the original PRLR, except for its lack of a 149-amino acid C-terminal tail. Using a 5\u00d7 STAT5-Luciferase reporter system and western blot analysis, we demonstrated that dPRLR expressed in HepG2 cells could be potently activated by chicken PRL and functionally coupled to the intracellular STAT5 signaling pathway, suggesting that dPRLR may function as a novel receptor for PRL. RT-PCR assays revealed that similar to the original PRLR gene, dPRLR mRNA is widely expressed in all embryonic and adult tissues examined including the skin of male Lohmann chickens with a K allele. These findings, together with the expression of PRL mRNA detected in the skin of embryos at embryonic day 20 and 1-week-old chicks, suggest that skin-expressed dPRLR and PRLR, together with plasma and skin-derived PRL, may be involved in the control of the LF development of chicks at hatching. Moreover, the wide tissue expression of dPRLR implies that dPRLR may regulate other physiological processes of chickens carrying the K allele.", "author" : [ { "dropping-particle" : "", "family" : "Bu", "given" : "Guixian", "non-dropping-particle" : "", "parse-names" : false, "suffix" : "" }, { "dropping-particle" : "", "family" : "Huang", "given" : "Guian", "non-dropping-particle" : "", "parse-names" : false, "suffix" : "" }, { "dropping-particle" : "", "family" : "Fu", "given" : "Hao", "non-dropping-particle" : "", "parse-names" : false, "suffix" : "" }, { "dropping-particle" : "", "family" : "Li", "given" : "Juan", "non-dropping-particle" : "", "parse-names" : false, "suffix" : "" }, { "dropping-particle" : "", "family" : "Huang", "given" : "Simiao", "non-dropping-particle" : "", "parse-names" : false, "suffix" : "" }, { "dropping-particle" : "", "family" : "Wang", "given" : "Yajun", "non-dropping-particle" : "", "parse-names" : false, "suffix" : "" } ], "container-title" : "Journal of molecular endocrinology", "id" : "ITEM-1", "issue" : "2", "issued" : { "date-parts" : [ [ "2013", "1" ] ] }, "page" : "261-76", "title" : "Characterization of the novel duplicated PRLR gene at the late-feathering K locus in Lohmann chickens.", "type" : "article-journal", "volume" : "51" }, "uris" : [ "http://www.mendeley.com/documents/?uuid=91ac1252-e4fb-4002-abd8-32f19e159081" ] } ], "mendeley" : { "formattedCitation" : "(Bu et al. 2013)", "plainTextFormattedCitation" : "(Bu et al. 2013)", "previouslyFormattedCitation" : "(Bu et al. 2013)" }, "properties" : { "noteIndex" : 0 }, "schema" : "https://github.com/citation-style-language/schema/raw/master/csl-citation.json" }</w:instrText>
      </w:r>
      <w:r>
        <w:fldChar w:fldCharType="separate"/>
      </w:r>
      <w:r w:rsidRPr="00671B67">
        <w:rPr>
          <w:noProof/>
        </w:rPr>
        <w:t>(Bu et al. 2013)</w:t>
      </w:r>
      <w:r>
        <w:fldChar w:fldCharType="end"/>
      </w:r>
      <w:r>
        <w:t xml:space="preserve">, the exact bridging point was identified at Z: 10,800,130, meaning the duplicated region is 188,265 bp (Z: 10,611,865-10,800,129), almost 12 kb longer than previously reported. The duplicated region within the </w:t>
      </w:r>
      <w:r>
        <w:rPr>
          <w:i/>
        </w:rPr>
        <w:t>K</w:t>
      </w:r>
      <w:r>
        <w:t xml:space="preserve"> locus therefore contains most of PRLR (up to 575 bases of exon 12) and the first four exons and 1,540 bases of the fourth intron of SPEF2 (378 bp short of exon 5). The potential ALVE21 insertion sites could therefore be at Z: </w:t>
      </w:r>
      <w:r>
        <w:lastRenderedPageBreak/>
        <w:t xml:space="preserve">10,681,670 or at position 258,691 of the full </w:t>
      </w:r>
      <w:r>
        <w:rPr>
          <w:i/>
        </w:rPr>
        <w:t>K</w:t>
      </w:r>
      <w:r>
        <w:t xml:space="preserve"> locus (measured as 441,255 bp from the outer points of PRLR and SPEF2).</w:t>
      </w:r>
    </w:p>
    <w:p w14:paraId="63D4401A" w14:textId="77777777" w:rsidR="00AC6BB7" w:rsidRPr="00AC6BB7" w:rsidRDefault="00AC6BB7" w:rsidP="00391005">
      <w:pPr>
        <w:pStyle w:val="ListParagraph"/>
        <w:rPr>
          <w:sz w:val="2"/>
        </w:rPr>
      </w:pPr>
    </w:p>
    <w:p w14:paraId="53613896" w14:textId="33B03D6F" w:rsidR="009A23CA" w:rsidRDefault="0095237C" w:rsidP="00F7430F">
      <w:pPr>
        <w:pStyle w:val="ListParagraph"/>
        <w:jc w:val="center"/>
      </w:pPr>
      <w:r>
        <w:rPr>
          <w:noProof/>
          <w:lang w:eastAsia="en-GB"/>
        </w:rPr>
        <w:drawing>
          <wp:inline distT="0" distB="0" distL="0" distR="0" wp14:anchorId="098BBF5C" wp14:editId="59CC3AED">
            <wp:extent cx="2364847" cy="2419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74409" cy="2429133"/>
                    </a:xfrm>
                    <a:prstGeom prst="rect">
                      <a:avLst/>
                    </a:prstGeom>
                    <a:noFill/>
                  </pic:spPr>
                </pic:pic>
              </a:graphicData>
            </a:graphic>
          </wp:inline>
        </w:drawing>
      </w:r>
    </w:p>
    <w:p w14:paraId="5B93F3D5" w14:textId="1208E0ED" w:rsidR="00671B67" w:rsidRDefault="009A23CA" w:rsidP="00AC6BB7">
      <w:pPr>
        <w:pStyle w:val="Figure"/>
      </w:pPr>
      <w:bookmarkStart w:id="492" w:name="_Ref479090499"/>
      <w:bookmarkStart w:id="493" w:name="_Toc486785461"/>
      <w:r>
        <w:t xml:space="preserve">Figure </w:t>
      </w:r>
      <w:fldSimple w:instr=" STYLEREF 1 \s " w:fldLock="1">
        <w:r w:rsidR="002C549C">
          <w:rPr>
            <w:noProof/>
          </w:rPr>
          <w:t>6</w:t>
        </w:r>
      </w:fldSimple>
      <w:r w:rsidR="001167C6">
        <w:t>.</w:t>
      </w:r>
      <w:fldSimple w:instr=" SEQ Figure \* ARABIC \s 1 " w:fldLock="1">
        <w:r w:rsidR="002C549C">
          <w:rPr>
            <w:noProof/>
          </w:rPr>
          <w:t>16</w:t>
        </w:r>
      </w:fldSimple>
      <w:bookmarkEnd w:id="492"/>
      <w:r>
        <w:t xml:space="preserve"> </w:t>
      </w:r>
      <w:r w:rsidR="0095237C">
        <w:t xml:space="preserve">The continuum of possible ALVE21 KASP results from the six </w:t>
      </w:r>
      <w:r w:rsidR="0095237C">
        <w:rPr>
          <w:i/>
        </w:rPr>
        <w:t>K</w:t>
      </w:r>
      <w:r w:rsidR="00AC6BB7">
        <w:t xml:space="preserve"> locus genotypes. KASP resolution to five</w:t>
      </w:r>
      <w:r w:rsidR="0095237C">
        <w:t xml:space="preserve"> groups based on </w:t>
      </w:r>
      <w:r w:rsidR="003551B7">
        <w:t>relative intensity h</w:t>
      </w:r>
      <w:r w:rsidR="00AC6BB7">
        <w:t xml:space="preserve">as been shown </w:t>
      </w:r>
      <w:r w:rsidR="00AC6BB7">
        <w:fldChar w:fldCharType="begin" w:fldLock="1"/>
      </w:r>
      <w:r w:rsidR="00EA1C2B">
        <w:instrText>ADDIN CSL_CITATION { "citationItems" : [ { "id" : "ITEM-1", "itemData" : { "DOI" : "10.1186/s12711-015-0181-x", "ISSN" : "1297-9686", "author" : [ { "dropping-particle" : "", "family" : "Fulton", "given" : "Janet E", "non-dropping-particle" : "", "parse-names" : false, "suffix" : "" }, { "dropping-particle" : "", "family" : "Mccarron", "given" : "Amy M", "non-dropping-particle" : "", "parse-names" : false, "suffix" : "" }, { "dropping-particle" : "", "family" : "Lund", "given" : "Ashlee R", "non-dropping-particle" : "", "parse-names" : false, "suffix" : "" }, { "dropping-particle" : "", "family" : "Pinegar", "given" : "Kara N", "non-dropping-particle" : "", "parse-names" : false, "suffix" : "" }, { "dropping-particle" : "", "family" : "Wolc", "given" : "Anna", "non-dropping-particle" : "", "parse-names" : false, "suffix" : "" }, { "dropping-particle" : "", "family" : "Chazara", "given" : "Olympe", "non-dropping-particle" : "", "parse-names" : false, "suffix" : "" }, { "dropping-particle" : "", "family" : "Hom", "given" : "Bertrand Bed", "non-dropping-particle" : "", "parse-names" : false, "suffix" : "" }, { "dropping-particle" : "", "family" : "Berres", "given" : "Mark", "non-dropping-particle" : "", "parse-names" : false, "suffix" : "" }, { "dropping-particle" : "", "family" : "Miller", "given" : "Marcia M", "non-dropping-particle" : "", "parse-names" : false, "suffix" : "" } ], "container-title" : "Genetics Selection Evolution", "id" : "ITEM-1", "issue" : "1", "issued" : { "date-parts" : [ [ "2016" ] ] }, "page" : "1-15", "publisher" : "BioMed Central", "title" : "A high\u2011density SNP panel reveals extensive diversity, frequent recombination and multiple recombination hotspots within the chicken major histocompatibility complex B region between BG2 and CD1A1", "type" : "article-journal", "volume" : "48" }, "uris" : [ "http://www.mendeley.com/documents/?uuid=8df9a41d-6bf0-4ccc-9663-f16d441f0835" ] } ], "mendeley" : { "formattedCitation" : "(Fulton et al. 2016)", "plainTextFormattedCitation" : "(Fulton et al. 2016)", "previouslyFormattedCitation" : "(Fulton et al. 2016)" }, "properties" : { "noteIndex" : 0 }, "schema" : "https://github.com/citation-style-language/schema/raw/master/csl-citation.json" }</w:instrText>
      </w:r>
      <w:r w:rsidR="00AC6BB7">
        <w:fldChar w:fldCharType="separate"/>
      </w:r>
      <w:r w:rsidR="00AC6BB7" w:rsidRPr="00AC6BB7">
        <w:rPr>
          <w:noProof/>
        </w:rPr>
        <w:t>(Fulton et al. 2016)</w:t>
      </w:r>
      <w:r w:rsidR="00AC6BB7">
        <w:fldChar w:fldCharType="end"/>
      </w:r>
      <w:r w:rsidR="0095237C">
        <w:t xml:space="preserve">, </w:t>
      </w:r>
      <w:r w:rsidR="003551B7">
        <w:t xml:space="preserve">but is unlikely </w:t>
      </w:r>
      <w:r w:rsidR="00AC6BB7">
        <w:t>with</w:t>
      </w:r>
      <w:r w:rsidR="0095237C">
        <w:t xml:space="preserve"> limited num</w:t>
      </w:r>
      <w:r w:rsidR="00AC6BB7">
        <w:t>bers of each genotype</w:t>
      </w:r>
      <w:r w:rsidR="0095237C">
        <w:t>. In addition, no resolution would be possible between the</w:t>
      </w:r>
      <w:r w:rsidR="0017449B">
        <w:t xml:space="preserve"> </w:t>
      </w:r>
      <w:r w:rsidR="0017449B" w:rsidRPr="0095237C">
        <w:rPr>
          <w:i/>
        </w:rPr>
        <w:t>k</w:t>
      </w:r>
      <w:r w:rsidR="0017449B" w:rsidRPr="0095237C">
        <w:rPr>
          <w:i/>
          <w:vertAlign w:val="superscript"/>
        </w:rPr>
        <w:t>R</w:t>
      </w:r>
      <w:r w:rsidR="0017449B">
        <w:t>/</w:t>
      </w:r>
      <w:r w:rsidR="0017449B" w:rsidRPr="0095237C">
        <w:rPr>
          <w:i/>
        </w:rPr>
        <w:t>k</w:t>
      </w:r>
      <w:r w:rsidR="0017449B" w:rsidRPr="0095237C">
        <w:rPr>
          <w:i/>
          <w:vertAlign w:val="superscript"/>
        </w:rPr>
        <w:t>+</w:t>
      </w:r>
      <w:r w:rsidR="0017449B">
        <w:t xml:space="preserve"> and</w:t>
      </w:r>
      <w:r w:rsidR="0095237C">
        <w:t xml:space="preserve"> </w:t>
      </w:r>
      <w:r w:rsidR="0095237C" w:rsidRPr="0095237C">
        <w:rPr>
          <w:i/>
        </w:rPr>
        <w:t>K</w:t>
      </w:r>
      <w:r w:rsidR="0095237C">
        <w:t>/</w:t>
      </w:r>
      <w:r w:rsidR="0095237C" w:rsidRPr="0095237C">
        <w:rPr>
          <w:i/>
        </w:rPr>
        <w:t>K</w:t>
      </w:r>
      <w:r w:rsidR="0017449B">
        <w:t xml:space="preserve"> </w:t>
      </w:r>
      <w:r w:rsidR="0095237C">
        <w:t>genotypes.</w:t>
      </w:r>
      <w:bookmarkEnd w:id="493"/>
    </w:p>
    <w:p w14:paraId="2CE65559" w14:textId="4E49C905" w:rsidR="0064285D" w:rsidRDefault="00671B67" w:rsidP="00391005">
      <w:pPr>
        <w:pStyle w:val="ListParagraph"/>
      </w:pPr>
      <w:r>
        <w:t xml:space="preserve">A composite sequence for the </w:t>
      </w:r>
      <w:r w:rsidRPr="00671B67">
        <w:rPr>
          <w:i/>
        </w:rPr>
        <w:t>K</w:t>
      </w:r>
      <w:r>
        <w:t xml:space="preserve"> allele </w:t>
      </w:r>
      <w:r w:rsidRPr="00671B67">
        <w:t>was</w:t>
      </w:r>
      <w:r>
        <w:t xml:space="preserve"> created and used to design the duplication KASP assay (</w:t>
      </w:r>
      <w:r w:rsidR="006A5671">
        <w:fldChar w:fldCharType="begin" w:fldLock="1"/>
      </w:r>
      <w:r w:rsidR="006A5671">
        <w:instrText xml:space="preserve"> REF _Ref479098081 \h </w:instrText>
      </w:r>
      <w:r w:rsidR="006A5671">
        <w:fldChar w:fldCharType="separate"/>
      </w:r>
      <w:r w:rsidR="002C549C">
        <w:t xml:space="preserve">Table </w:t>
      </w:r>
      <w:r w:rsidR="002C549C">
        <w:rPr>
          <w:noProof/>
        </w:rPr>
        <w:t>6</w:t>
      </w:r>
      <w:r w:rsidR="002C549C">
        <w:t>.</w:t>
      </w:r>
      <w:r w:rsidR="002C549C">
        <w:rPr>
          <w:noProof/>
        </w:rPr>
        <w:t>10</w:t>
      </w:r>
      <w:r w:rsidR="006A5671">
        <w:fldChar w:fldCharType="end"/>
      </w:r>
      <w:r>
        <w:t>). The results from the use of this assay on all HL lines from the 2010 generation were as expected, with the slow feathering WPR1 and WL4 positive for the duplicated region and all others negative, including WPR2 (</w:t>
      </w:r>
      <w:r w:rsidR="006A5671">
        <w:fldChar w:fldCharType="begin" w:fldLock="1"/>
      </w:r>
      <w:r w:rsidR="006A5671">
        <w:instrText xml:space="preserve"> REF _Ref479098094 \h </w:instrText>
      </w:r>
      <w:r w:rsidR="006A5671">
        <w:fldChar w:fldCharType="separate"/>
      </w:r>
      <w:r w:rsidR="002C549C">
        <w:t xml:space="preserve">Figure </w:t>
      </w:r>
      <w:r w:rsidR="002C549C">
        <w:rPr>
          <w:noProof/>
        </w:rPr>
        <w:t>6</w:t>
      </w:r>
      <w:r w:rsidR="002C549C">
        <w:t>.</w:t>
      </w:r>
      <w:r w:rsidR="002C549C">
        <w:rPr>
          <w:noProof/>
        </w:rPr>
        <w:t>17</w:t>
      </w:r>
      <w:r w:rsidR="006A5671">
        <w:fldChar w:fldCharType="end"/>
      </w:r>
      <w:r>
        <w:t>).</w:t>
      </w:r>
    </w:p>
    <w:p w14:paraId="1F41DB7F" w14:textId="62BDBB00" w:rsidR="00671B67" w:rsidRDefault="00671B67" w:rsidP="00671B67">
      <w:pPr>
        <w:pStyle w:val="Caption"/>
      </w:pPr>
      <w:bookmarkStart w:id="494" w:name="_Ref479098081"/>
      <w:bookmarkStart w:id="495" w:name="_Toc486786333"/>
      <w:r>
        <w:t xml:space="preserve">Table </w:t>
      </w:r>
      <w:fldSimple w:instr=" STYLEREF 1 \s " w:fldLock="1">
        <w:r w:rsidR="002C549C">
          <w:rPr>
            <w:noProof/>
          </w:rPr>
          <w:t>6</w:t>
        </w:r>
      </w:fldSimple>
      <w:r w:rsidR="001167C6">
        <w:t>.</w:t>
      </w:r>
      <w:fldSimple w:instr=" SEQ Table \* ARABIC \s 1 " w:fldLock="1">
        <w:r w:rsidR="002C549C">
          <w:rPr>
            <w:noProof/>
          </w:rPr>
          <w:t>10</w:t>
        </w:r>
      </w:fldSimple>
      <w:bookmarkEnd w:id="494"/>
      <w:r w:rsidR="006A5671">
        <w:t xml:space="preserve"> KASP primers for the </w:t>
      </w:r>
      <w:r w:rsidR="006A5671" w:rsidRPr="00174814">
        <w:rPr>
          <w:i/>
        </w:rPr>
        <w:t>K</w:t>
      </w:r>
      <w:r w:rsidR="006A5671">
        <w:t>-duplication assay. As the result of this assay is the presence/absence of the entire unique sequen</w:t>
      </w:r>
      <w:r w:rsidR="0061116F">
        <w:t>ce, the first primer pair is</w:t>
      </w:r>
      <w:r w:rsidR="006A5671">
        <w:t xml:space="preserve"> an internal c</w:t>
      </w:r>
      <w:r w:rsidR="0061116F">
        <w:t>ontrol (</w:t>
      </w:r>
      <w:r w:rsidR="006A5671">
        <w:t>commonly used by Hy-Line). The second primer pair is for the du</w:t>
      </w:r>
      <w:r w:rsidR="00F7430F">
        <w:t>plication sequence. T</w:t>
      </w:r>
      <w:r w:rsidR="006A5671">
        <w:t>he first primer in each pair carries the fluorescent tag.</w:t>
      </w:r>
      <w:bookmarkEnd w:id="495"/>
      <w:r w:rsidR="006A5671">
        <w:t xml:space="preserve">  </w:t>
      </w:r>
    </w:p>
    <w:tbl>
      <w:tblPr>
        <w:tblStyle w:val="TableGrid"/>
        <w:tblW w:w="55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3969"/>
      </w:tblGrid>
      <w:tr w:rsidR="006A5671" w14:paraId="706EE147" w14:textId="77777777" w:rsidTr="00174814">
        <w:trPr>
          <w:trHeight w:val="515"/>
          <w:jc w:val="center"/>
        </w:trPr>
        <w:tc>
          <w:tcPr>
            <w:tcW w:w="1560" w:type="dxa"/>
            <w:tcBorders>
              <w:top w:val="single" w:sz="4" w:space="0" w:color="auto"/>
              <w:bottom w:val="single" w:sz="4" w:space="0" w:color="auto"/>
            </w:tcBorders>
            <w:vAlign w:val="center"/>
          </w:tcPr>
          <w:p w14:paraId="43A6FA8E" w14:textId="4ECDAAE3" w:rsidR="006A5671" w:rsidRDefault="006A5671" w:rsidP="007C1494">
            <w:pPr>
              <w:pStyle w:val="Tablecontent"/>
            </w:pPr>
            <w:r>
              <w:t>Assay</w:t>
            </w:r>
          </w:p>
        </w:tc>
        <w:tc>
          <w:tcPr>
            <w:tcW w:w="3969" w:type="dxa"/>
            <w:tcBorders>
              <w:top w:val="single" w:sz="4" w:space="0" w:color="auto"/>
              <w:bottom w:val="single" w:sz="4" w:space="0" w:color="auto"/>
            </w:tcBorders>
            <w:vAlign w:val="center"/>
          </w:tcPr>
          <w:p w14:paraId="77E6E868" w14:textId="77777777" w:rsidR="006A5671" w:rsidRDefault="006A5671" w:rsidP="007C1494">
            <w:pPr>
              <w:pStyle w:val="Tablecontent"/>
            </w:pPr>
            <w:r>
              <w:t>KASP primers</w:t>
            </w:r>
          </w:p>
        </w:tc>
      </w:tr>
      <w:tr w:rsidR="006A5671" w14:paraId="32174AA8" w14:textId="77777777" w:rsidTr="00174814">
        <w:trPr>
          <w:jc w:val="center"/>
        </w:trPr>
        <w:tc>
          <w:tcPr>
            <w:tcW w:w="1560" w:type="dxa"/>
            <w:tcBorders>
              <w:top w:val="single" w:sz="4" w:space="0" w:color="auto"/>
              <w:bottom w:val="single" w:sz="4" w:space="0" w:color="auto"/>
            </w:tcBorders>
          </w:tcPr>
          <w:p w14:paraId="68C5589A" w14:textId="1C2FB8A3" w:rsidR="006A5671" w:rsidRDefault="006A5671" w:rsidP="007C1494">
            <w:pPr>
              <w:pStyle w:val="Tablecontent"/>
            </w:pPr>
            <w:r>
              <w:t>K-duplication</w:t>
            </w:r>
          </w:p>
        </w:tc>
        <w:tc>
          <w:tcPr>
            <w:tcW w:w="3969" w:type="dxa"/>
            <w:tcBorders>
              <w:top w:val="single" w:sz="4" w:space="0" w:color="auto"/>
              <w:bottom w:val="single" w:sz="2" w:space="0" w:color="auto"/>
            </w:tcBorders>
            <w:vAlign w:val="center"/>
          </w:tcPr>
          <w:p w14:paraId="32654964" w14:textId="77777777" w:rsidR="006A5671" w:rsidRDefault="006A5671" w:rsidP="006A5671">
            <w:pPr>
              <w:pStyle w:val="Tablecontent"/>
            </w:pPr>
            <w:r>
              <w:t>5'-CCACGGTCCGTGGTTG</w:t>
            </w:r>
          </w:p>
          <w:p w14:paraId="72BD486F" w14:textId="77777777" w:rsidR="006A5671" w:rsidRDefault="006A5671" w:rsidP="006A5671">
            <w:pPr>
              <w:pStyle w:val="Tablecontent"/>
            </w:pPr>
            <w:r>
              <w:t>5'-ATTGACAGATTGAGAGCTCTTTCTCGATT</w:t>
            </w:r>
          </w:p>
          <w:p w14:paraId="6290B29F" w14:textId="77777777" w:rsidR="006A5671" w:rsidRDefault="006A5671" w:rsidP="006A5671">
            <w:pPr>
              <w:pStyle w:val="Tablecontent"/>
            </w:pPr>
            <w:r>
              <w:t>5'-ACTAGGGCTAGCATTTAATATAACCCCT</w:t>
            </w:r>
          </w:p>
          <w:p w14:paraId="37D2EE93" w14:textId="642177F8" w:rsidR="006A5671" w:rsidRDefault="006A5671" w:rsidP="006A5671">
            <w:pPr>
              <w:pStyle w:val="Tablecontent"/>
            </w:pPr>
            <w:r>
              <w:t>5'-TGAAACCATCCCTGGAGAGATGGAA</w:t>
            </w:r>
          </w:p>
        </w:tc>
      </w:tr>
    </w:tbl>
    <w:p w14:paraId="260E91C2" w14:textId="35F714FD" w:rsidR="00671B67" w:rsidRPr="00F7430F" w:rsidRDefault="00671B67" w:rsidP="00391005">
      <w:pPr>
        <w:pStyle w:val="ListParagraph"/>
        <w:rPr>
          <w:sz w:val="10"/>
        </w:rPr>
      </w:pPr>
    </w:p>
    <w:p w14:paraId="62ECF730" w14:textId="6820E696" w:rsidR="00671B67" w:rsidRPr="00671B67" w:rsidRDefault="006A5671" w:rsidP="00F7430F">
      <w:pPr>
        <w:pStyle w:val="ListParagraph"/>
        <w:jc w:val="center"/>
      </w:pPr>
      <w:r w:rsidRPr="006A5671">
        <w:rPr>
          <w:noProof/>
          <w:lang w:eastAsia="en-GB"/>
        </w:rPr>
        <w:lastRenderedPageBreak/>
        <w:drawing>
          <wp:inline distT="0" distB="0" distL="0" distR="0" wp14:anchorId="513AF1EA" wp14:editId="5D80D648">
            <wp:extent cx="2102616" cy="1800841"/>
            <wp:effectExtent l="0" t="0" r="0" b="9525"/>
            <wp:docPr id="22" name="Picture 7">
              <a:extLst xmlns:a="http://schemas.openxmlformats.org/drawingml/2006/main"/>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rrowheads="1"/>
                    </pic:cNvPicPr>
                  </pic:nvPicPr>
                  <pic:blipFill rotWithShape="1">
                    <a:blip r:embed="rId55" cstate="print"/>
                    <a:srcRect l="4839" t="11649" r="4604" b="40184"/>
                    <a:stretch/>
                  </pic:blipFill>
                  <pic:spPr bwMode="auto">
                    <a:xfrm>
                      <a:off x="0" y="0"/>
                      <a:ext cx="2109221" cy="1806498"/>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711A9FC3" w14:textId="194488F3" w:rsidR="006F42F5" w:rsidRDefault="00671B67" w:rsidP="00F7430F">
      <w:pPr>
        <w:pStyle w:val="Figure"/>
      </w:pPr>
      <w:bookmarkStart w:id="496" w:name="_Ref479098094"/>
      <w:bookmarkStart w:id="497" w:name="_Toc486785462"/>
      <w:r>
        <w:t xml:space="preserve">Figure </w:t>
      </w:r>
      <w:fldSimple w:instr=" STYLEREF 1 \s " w:fldLock="1">
        <w:r w:rsidR="002C549C">
          <w:rPr>
            <w:noProof/>
          </w:rPr>
          <w:t>6</w:t>
        </w:r>
      </w:fldSimple>
      <w:r w:rsidR="001167C6">
        <w:t>.</w:t>
      </w:r>
      <w:fldSimple w:instr=" SEQ Figure \* ARABIC \s 1 " w:fldLock="1">
        <w:r w:rsidR="002C549C">
          <w:rPr>
            <w:noProof/>
          </w:rPr>
          <w:t>17</w:t>
        </w:r>
      </w:fldSimple>
      <w:bookmarkEnd w:id="496"/>
      <w:r>
        <w:t xml:space="preserve"> </w:t>
      </w:r>
      <w:r w:rsidR="006A5671">
        <w:t>K-duplication KASP assay results. Due to the use of an internal control individuals homozygous for the duplication appear as heterozygotes (green). Some preliminary work (not shown) suggests ‘true’ duplication heterozygotes form an intermediary group. Here, the green group contains all WPR1 and WL4 individuals.</w:t>
      </w:r>
      <w:bookmarkEnd w:id="497"/>
    </w:p>
    <w:p w14:paraId="2570020A" w14:textId="085F7DA8" w:rsidR="006F42F5" w:rsidRDefault="0061116F" w:rsidP="00AE3685">
      <w:pPr>
        <w:pStyle w:val="Heading3"/>
      </w:pPr>
      <w:bookmarkStart w:id="498" w:name="_Toc485721650"/>
      <w:bookmarkStart w:id="499" w:name="_Toc486787230"/>
      <w:bookmarkStart w:id="500" w:name="_Toc486787378"/>
      <w:r>
        <w:t>C</w:t>
      </w:r>
      <w:r w:rsidR="00A91B22">
        <w:t xml:space="preserve">haracterisation of the </w:t>
      </w:r>
      <w:r w:rsidR="00A91B22">
        <w:rPr>
          <w:i/>
        </w:rPr>
        <w:t>K</w:t>
      </w:r>
      <w:r w:rsidR="00A91B22">
        <w:t xml:space="preserve"> locus with BioNano optic mapping</w:t>
      </w:r>
      <w:bookmarkEnd w:id="498"/>
      <w:bookmarkEnd w:id="499"/>
      <w:bookmarkEnd w:id="500"/>
    </w:p>
    <w:p w14:paraId="00F1ADE7" w14:textId="490EF5BA" w:rsidR="006F42F5" w:rsidRDefault="00AF6C16" w:rsidP="00391005">
      <w:pPr>
        <w:pStyle w:val="ListParagraph"/>
      </w:pPr>
      <w:r>
        <w:t>The KASP assay results and ori</w:t>
      </w:r>
      <w:r w:rsidR="00174814">
        <w:t>ginal BAM file for WPR2 support</w:t>
      </w:r>
      <w:r>
        <w:t xml:space="preserve"> the fast feathering phenotypic reversion in this line. However,</w:t>
      </w:r>
      <w:r w:rsidR="00174814">
        <w:t xml:space="preserve"> additional</w:t>
      </w:r>
      <w:r>
        <w:t xml:space="preserve"> data was needed to confirm this result</w:t>
      </w:r>
      <w:r w:rsidR="00174814">
        <w:t>,</w:t>
      </w:r>
      <w:r>
        <w:t xml:space="preserve"> </w:t>
      </w:r>
      <w:r w:rsidR="00174814">
        <w:t>and to</w:t>
      </w:r>
      <w:r>
        <w:t xml:space="preserve"> identify which of the ALVE21 insertion sites was occupied in the </w:t>
      </w:r>
      <w:r>
        <w:rPr>
          <w:i/>
        </w:rPr>
        <w:t>K</w:t>
      </w:r>
      <w:r w:rsidR="00174814">
        <w:t xml:space="preserve"> locus. C</w:t>
      </w:r>
      <w:r>
        <w:t xml:space="preserve">overage across this region was low for all lines and varied to the extent that it was impossible to infer higher coverage of the duplicated sections of the </w:t>
      </w:r>
      <w:r>
        <w:rPr>
          <w:i/>
        </w:rPr>
        <w:t xml:space="preserve">K </w:t>
      </w:r>
      <w:r>
        <w:t>allele from existing sequence data. Sequencing alone cannot resolve this locus due to the</w:t>
      </w:r>
      <w:r w:rsidR="003551B7">
        <w:t xml:space="preserve"> high homology</w:t>
      </w:r>
      <w:r>
        <w:t xml:space="preserve"> </w:t>
      </w:r>
      <w:r w:rsidR="003551B7">
        <w:t>(</w:t>
      </w:r>
      <w:r>
        <w:t>99 %</w:t>
      </w:r>
      <w:r w:rsidR="003551B7">
        <w:t>)</w:t>
      </w:r>
      <w:r>
        <w:t xml:space="preserve"> between duplicate regions and the g</w:t>
      </w:r>
      <w:r w:rsidR="0061116F">
        <w:t xml:space="preserve">aps of at least 70 kb </w:t>
      </w:r>
      <w:r>
        <w:t>between unique sequence</w:t>
      </w:r>
      <w:r w:rsidR="0061116F">
        <w:t>s</w:t>
      </w:r>
      <w:r>
        <w:t>. Even long read sequencing technology would be unable to reliably resolve this region. However, the high resolution optic maps produced by the BioNano Irys technolo</w:t>
      </w:r>
      <w:r w:rsidR="0061116F">
        <w:t xml:space="preserve">gy have </w:t>
      </w:r>
      <w:r>
        <w:t>average N50s greater than 200 kb so can concatenate regions of unique sequence (</w:t>
      </w:r>
      <w:r>
        <w:fldChar w:fldCharType="begin" w:fldLock="1"/>
      </w:r>
      <w:r>
        <w:instrText xml:space="preserve"> REF _Ref479099726 \h </w:instrText>
      </w:r>
      <w:r>
        <w:fldChar w:fldCharType="separate"/>
      </w:r>
      <w:r w:rsidR="002C549C">
        <w:t xml:space="preserve">Figure </w:t>
      </w:r>
      <w:r w:rsidR="002C549C">
        <w:rPr>
          <w:noProof/>
        </w:rPr>
        <w:t>6</w:t>
      </w:r>
      <w:r w:rsidR="002C549C">
        <w:t>.</w:t>
      </w:r>
      <w:r w:rsidR="002C549C">
        <w:rPr>
          <w:noProof/>
        </w:rPr>
        <w:t>18</w:t>
      </w:r>
      <w:r>
        <w:fldChar w:fldCharType="end"/>
      </w:r>
      <w:r>
        <w:t>).</w:t>
      </w:r>
    </w:p>
    <w:p w14:paraId="60EB6BD9" w14:textId="7C0B56CA" w:rsidR="00174814" w:rsidRDefault="00174814" w:rsidP="00391005">
      <w:pPr>
        <w:pStyle w:val="ListParagraph"/>
      </w:pPr>
    </w:p>
    <w:p w14:paraId="5395C987" w14:textId="77777777" w:rsidR="00174814" w:rsidRDefault="00174814" w:rsidP="00174814">
      <w:pPr>
        <w:pStyle w:val="Heading4"/>
      </w:pPr>
      <w:r>
        <w:t>Optic maps for the Hy-Line samples</w:t>
      </w:r>
    </w:p>
    <w:p w14:paraId="5A0D774C" w14:textId="5F603263" w:rsidR="00174814" w:rsidRPr="00174814" w:rsidRDefault="00174814" w:rsidP="00391005">
      <w:pPr>
        <w:pStyle w:val="ListParagraph"/>
      </w:pPr>
      <w:r>
        <w:t>A total optic map length of 140 – 200 Gb was predicted for all samples, but far less data was generated for the WPR1, WPR2 and RIR-sf samples, and molecule N50 values were shorter than the 200 kb average in four cases (</w:t>
      </w:r>
      <w:r>
        <w:fldChar w:fldCharType="begin" w:fldLock="1"/>
      </w:r>
      <w:r>
        <w:instrText xml:space="preserve"> REF _Ref486580409 \h </w:instrText>
      </w:r>
      <w:r>
        <w:fldChar w:fldCharType="separate"/>
      </w:r>
      <w:r w:rsidR="002C549C">
        <w:t xml:space="preserve">Table </w:t>
      </w:r>
      <w:r w:rsidR="002C549C">
        <w:rPr>
          <w:noProof/>
        </w:rPr>
        <w:t>6</w:t>
      </w:r>
      <w:r w:rsidR="002C549C">
        <w:t>.</w:t>
      </w:r>
      <w:r w:rsidR="002C549C">
        <w:rPr>
          <w:noProof/>
        </w:rPr>
        <w:t>11</w:t>
      </w:r>
      <w:r>
        <w:fldChar w:fldCharType="end"/>
      </w:r>
      <w:r>
        <w:t xml:space="preserve">). Furthermore, the success of the </w:t>
      </w:r>
      <w:r>
        <w:rPr>
          <w:i/>
        </w:rPr>
        <w:t>de novo</w:t>
      </w:r>
      <w:r>
        <w:t xml:space="preserve"> assemblies was generally poor, with no consensus maps generated for WPR2, very limited genome coverage for the other samples, and no consensus maps </w:t>
      </w:r>
    </w:p>
    <w:p w14:paraId="2D4B186A" w14:textId="77777777" w:rsidR="0061116F" w:rsidRPr="0061116F" w:rsidRDefault="0061116F" w:rsidP="00391005">
      <w:pPr>
        <w:pStyle w:val="ListParagraph"/>
        <w:rPr>
          <w:sz w:val="2"/>
        </w:rPr>
      </w:pPr>
    </w:p>
    <w:p w14:paraId="42D652AB" w14:textId="634604BF" w:rsidR="00AF6C16" w:rsidRDefault="00336C0D" w:rsidP="00174814">
      <w:pPr>
        <w:pStyle w:val="ListParagraph"/>
      </w:pPr>
      <w:r>
        <w:rPr>
          <w:noProof/>
          <w:lang w:eastAsia="en-GB"/>
        </w:rPr>
        <w:drawing>
          <wp:inline distT="0" distB="0" distL="0" distR="0" wp14:anchorId="26082B38" wp14:editId="120F56AA">
            <wp:extent cx="5226326" cy="25412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6">
                      <a:extLst>
                        <a:ext uri="{28A0092B-C50C-407E-A947-70E740481C1C}">
                          <a14:useLocalDpi xmlns:a14="http://schemas.microsoft.com/office/drawing/2010/main" val="0"/>
                        </a:ext>
                      </a:extLst>
                    </a:blip>
                    <a:srcRect l="1474" t="1808" b="4099"/>
                    <a:stretch/>
                  </pic:blipFill>
                  <pic:spPr bwMode="auto">
                    <a:xfrm>
                      <a:off x="0" y="0"/>
                      <a:ext cx="5241915" cy="2548850"/>
                    </a:xfrm>
                    <a:prstGeom prst="rect">
                      <a:avLst/>
                    </a:prstGeom>
                    <a:noFill/>
                    <a:ln>
                      <a:noFill/>
                    </a:ln>
                    <a:extLst>
                      <a:ext uri="{53640926-AAD7-44D8-BBD7-CCE9431645EC}">
                        <a14:shadowObscured xmlns:a14="http://schemas.microsoft.com/office/drawing/2010/main"/>
                      </a:ext>
                    </a:extLst>
                  </pic:spPr>
                </pic:pic>
              </a:graphicData>
            </a:graphic>
          </wp:inline>
        </w:drawing>
      </w:r>
    </w:p>
    <w:p w14:paraId="33C87692" w14:textId="79CD3AD8" w:rsidR="00AF6C16" w:rsidRDefault="00AF6C16" w:rsidP="0077071F">
      <w:pPr>
        <w:pStyle w:val="Figure"/>
        <w:spacing w:before="0" w:after="0"/>
      </w:pPr>
      <w:bookmarkStart w:id="501" w:name="_Ref479099726"/>
      <w:bookmarkStart w:id="502" w:name="_Toc486785463"/>
      <w:r>
        <w:t xml:space="preserve">Figure </w:t>
      </w:r>
      <w:fldSimple w:instr=" STYLEREF 1 \s " w:fldLock="1">
        <w:r w:rsidR="002C549C">
          <w:rPr>
            <w:noProof/>
          </w:rPr>
          <w:t>6</w:t>
        </w:r>
      </w:fldSimple>
      <w:r w:rsidR="001167C6">
        <w:t>.</w:t>
      </w:r>
      <w:fldSimple w:instr=" SEQ Figure \* ARABIC \s 1 " w:fldLock="1">
        <w:r w:rsidR="002C549C">
          <w:rPr>
            <w:noProof/>
          </w:rPr>
          <w:t>18</w:t>
        </w:r>
      </w:fldSimple>
      <w:bookmarkEnd w:id="501"/>
      <w:r w:rsidR="00336C0D">
        <w:t xml:space="preserve"> BioNano strategy for optic mapping of the </w:t>
      </w:r>
      <w:r w:rsidR="00336C0D">
        <w:rPr>
          <w:i/>
        </w:rPr>
        <w:t>K</w:t>
      </w:r>
      <w:r w:rsidR="00336C0D">
        <w:t xml:space="preserve"> locus. The BioNano Irys technology creates optic maps by incorporating fluorescent tags using modified restriction enzymes</w:t>
      </w:r>
      <w:r w:rsidR="004D2558">
        <w:t xml:space="preserve"> (green triangles</w:t>
      </w:r>
      <w:r w:rsidR="0061116F">
        <w:t>). O</w:t>
      </w:r>
      <w:r w:rsidR="00336C0D">
        <w:t xml:space="preserve">bserved </w:t>
      </w:r>
      <w:r w:rsidR="0061116F">
        <w:t xml:space="preserve">tag </w:t>
      </w:r>
      <w:r w:rsidR="00336C0D">
        <w:t>patterns between different genotypes are then compared to identify the structural variants</w:t>
      </w:r>
      <w:r w:rsidR="004D2558">
        <w:t xml:space="preserve"> (locations in figure not </w:t>
      </w:r>
      <w:r w:rsidR="00E8536E">
        <w:t>biologically representative</w:t>
      </w:r>
      <w:r w:rsidR="004D2558">
        <w:t>)</w:t>
      </w:r>
      <w:r w:rsidR="00336C0D">
        <w:t xml:space="preserve">. The </w:t>
      </w:r>
      <w:r w:rsidR="00336C0D">
        <w:rPr>
          <w:i/>
        </w:rPr>
        <w:t>K</w:t>
      </w:r>
      <w:r w:rsidR="00336C0D">
        <w:t xml:space="preserve"> allele-containing Z will not just be longer, but will </w:t>
      </w:r>
      <w:r w:rsidR="00FC4674">
        <w:t xml:space="preserve">also </w:t>
      </w:r>
      <w:r w:rsidR="00336C0D">
        <w:t xml:space="preserve">have differential tag patterns: 1) altered spacing due to unique duplicated region bridge; 2) increased spacing due to insertion of ALVE21 at one of the two unoccupied sites. The revertant </w:t>
      </w:r>
      <w:r w:rsidR="00336C0D" w:rsidRPr="00336C0D">
        <w:rPr>
          <w:i/>
        </w:rPr>
        <w:t>k</w:t>
      </w:r>
      <w:r w:rsidR="00336C0D" w:rsidRPr="00336C0D">
        <w:rPr>
          <w:i/>
          <w:vertAlign w:val="superscript"/>
        </w:rPr>
        <w:t>R</w:t>
      </w:r>
      <w:r w:rsidR="00336C0D">
        <w:t xml:space="preserve"> should have a pattern very like</w:t>
      </w:r>
      <w:r w:rsidR="004D2558">
        <w:t xml:space="preserve"> the wildtype</w:t>
      </w:r>
      <w:r w:rsidR="00336C0D">
        <w:t xml:space="preserve"> </w:t>
      </w:r>
      <w:r w:rsidR="00336C0D">
        <w:rPr>
          <w:i/>
        </w:rPr>
        <w:t>k</w:t>
      </w:r>
      <w:r w:rsidR="00336C0D">
        <w:rPr>
          <w:i/>
          <w:vertAlign w:val="superscript"/>
        </w:rPr>
        <w:t>+</w:t>
      </w:r>
      <w:r w:rsidR="00E8536E">
        <w:t xml:space="preserve"> allele,</w:t>
      </w:r>
      <w:r w:rsidR="00336C0D">
        <w:t xml:space="preserve"> but will have the increased spacing due to ALVE21 (3).</w:t>
      </w:r>
      <w:bookmarkEnd w:id="502"/>
      <w:r w:rsidR="004D2558">
        <w:t xml:space="preserve"> </w:t>
      </w:r>
    </w:p>
    <w:p w14:paraId="5FCA0F8C" w14:textId="77777777" w:rsidR="0077071F" w:rsidRPr="0077071F" w:rsidRDefault="0077071F" w:rsidP="0077071F">
      <w:pPr>
        <w:pStyle w:val="ListParagraph"/>
        <w:rPr>
          <w:sz w:val="10"/>
        </w:rPr>
      </w:pPr>
    </w:p>
    <w:p w14:paraId="11CC53C1" w14:textId="64553091" w:rsidR="001167C6" w:rsidRPr="000A7C19" w:rsidRDefault="001167C6" w:rsidP="0077071F">
      <w:pPr>
        <w:pStyle w:val="Caption"/>
        <w:spacing w:before="0"/>
      </w:pPr>
      <w:bookmarkStart w:id="503" w:name="_Ref486580409"/>
      <w:bookmarkStart w:id="504" w:name="_Toc486786334"/>
      <w:r>
        <w:t xml:space="preserve">Table </w:t>
      </w:r>
      <w:fldSimple w:instr=" STYLEREF 1 \s " w:fldLock="1">
        <w:r w:rsidR="002C549C">
          <w:rPr>
            <w:noProof/>
          </w:rPr>
          <w:t>6</w:t>
        </w:r>
      </w:fldSimple>
      <w:r>
        <w:t>.</w:t>
      </w:r>
      <w:fldSimple w:instr=" SEQ Table \* ARABIC \s 1 " w:fldLock="1">
        <w:r w:rsidR="002C549C">
          <w:rPr>
            <w:noProof/>
          </w:rPr>
          <w:t>11</w:t>
        </w:r>
      </w:fldSimple>
      <w:bookmarkEnd w:id="503"/>
      <w:r w:rsidR="00807AC7">
        <w:t xml:space="preserve"> Optic map statistics for the five</w:t>
      </w:r>
      <w:r w:rsidR="00174814">
        <w:t xml:space="preserve"> Hy-Line samples</w:t>
      </w:r>
      <w:r w:rsidR="00807AC7">
        <w:t xml:space="preserve">. </w:t>
      </w:r>
      <w:r w:rsidR="00F53313">
        <w:t>WL3 was wildtype</w:t>
      </w:r>
      <w:r w:rsidR="0094275A">
        <w:t xml:space="preserve"> fast feathered</w:t>
      </w:r>
      <w:r w:rsidR="00F53313">
        <w:t xml:space="preserve"> (</w:t>
      </w:r>
      <w:r w:rsidR="00F53313">
        <w:rPr>
          <w:i/>
        </w:rPr>
        <w:t>k</w:t>
      </w:r>
      <w:r w:rsidR="00F53313">
        <w:rPr>
          <w:i/>
          <w:vertAlign w:val="superscript"/>
        </w:rPr>
        <w:t>+</w:t>
      </w:r>
      <w:r w:rsidR="00174814">
        <w:t>), WPR2 was the</w:t>
      </w:r>
      <w:r w:rsidR="00F53313">
        <w:t xml:space="preserve"> predicted </w:t>
      </w:r>
      <w:r w:rsidR="0094275A">
        <w:t xml:space="preserve">fast feathered </w:t>
      </w:r>
      <w:r w:rsidR="00F53313">
        <w:t>revertant line (</w:t>
      </w:r>
      <w:r w:rsidR="00F53313">
        <w:rPr>
          <w:i/>
        </w:rPr>
        <w:t>k</w:t>
      </w:r>
      <w:r w:rsidR="00F53313">
        <w:rPr>
          <w:i/>
          <w:vertAlign w:val="superscript"/>
        </w:rPr>
        <w:t>R</w:t>
      </w:r>
      <w:r w:rsidR="00F53313">
        <w:t>), and WL4, WPR</w:t>
      </w:r>
      <w:r w:rsidR="00174814">
        <w:t>1 and RIR-sf</w:t>
      </w:r>
      <w:r w:rsidR="0094275A">
        <w:t xml:space="preserve"> were slow feathered</w:t>
      </w:r>
      <w:r w:rsidR="00F53313">
        <w:t xml:space="preserve"> (</w:t>
      </w:r>
      <w:r w:rsidR="00F53313">
        <w:rPr>
          <w:i/>
        </w:rPr>
        <w:t>K</w:t>
      </w:r>
      <w:r w:rsidR="00F53313">
        <w:t>). Statistics for total map</w:t>
      </w:r>
      <w:r w:rsidR="00BB4D68">
        <w:t xml:space="preserve"> length</w:t>
      </w:r>
      <w:r w:rsidR="00174814">
        <w:t xml:space="preserve">, number of </w:t>
      </w:r>
      <w:r w:rsidR="00F53313">
        <w:t>optic map molecules</w:t>
      </w:r>
      <w:r w:rsidR="00BB4D68">
        <w:t>, and map molecule</w:t>
      </w:r>
      <w:r w:rsidR="00F53313">
        <w:t xml:space="preserve"> N50 is shown for each analysed line. </w:t>
      </w:r>
      <w:r w:rsidR="000A7C19">
        <w:t xml:space="preserve">The final column is the total consensus map length after </w:t>
      </w:r>
      <w:r w:rsidR="000A7C19">
        <w:rPr>
          <w:i/>
        </w:rPr>
        <w:t>de novo</w:t>
      </w:r>
      <w:r w:rsidR="00BB4D68">
        <w:t xml:space="preserve"> assembly</w:t>
      </w:r>
      <w:r w:rsidR="000A7C19">
        <w:t xml:space="preserve"> with the average map coverage in brackets. No consensus could be formed fo</w:t>
      </w:r>
      <w:r w:rsidR="00BB4D68">
        <w:t>r WPR2 due to limited</w:t>
      </w:r>
      <w:r w:rsidR="000A7C19">
        <w:t xml:space="preserve"> data, and the other </w:t>
      </w:r>
      <w:r w:rsidR="00BB4D68">
        <w:t xml:space="preserve">sample </w:t>
      </w:r>
      <w:r w:rsidR="000A7C19">
        <w:t xml:space="preserve">consensus maps did not cover the entire Galgal5 genome (1.2 Gbp). </w:t>
      </w:r>
      <w:r w:rsidR="00BB4D68">
        <w:t>The a</w:t>
      </w:r>
      <w:r w:rsidR="000A7C19">
        <w:t xml:space="preserve">bsence of long contiguous consensus maps limited </w:t>
      </w:r>
      <w:r w:rsidR="00BB4D68">
        <w:t>SV</w:t>
      </w:r>
      <w:r w:rsidR="000A7C19">
        <w:t xml:space="preserve"> detection, and contiguous maps </w:t>
      </w:r>
      <w:r w:rsidR="00BB4D68">
        <w:t xml:space="preserve">were absent </w:t>
      </w:r>
      <w:r w:rsidR="000A7C19">
        <w:t xml:space="preserve">across the </w:t>
      </w:r>
      <w:r w:rsidR="000A7C19">
        <w:rPr>
          <w:i/>
        </w:rPr>
        <w:t xml:space="preserve">K </w:t>
      </w:r>
      <w:r w:rsidR="000A7C19">
        <w:t>locus.</w:t>
      </w:r>
      <w:bookmarkEnd w:id="504"/>
    </w:p>
    <w:tbl>
      <w:tblPr>
        <w:tblStyle w:val="TableGrid"/>
        <w:tblW w:w="82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1843"/>
        <w:gridCol w:w="1701"/>
        <w:gridCol w:w="1559"/>
        <w:gridCol w:w="2268"/>
      </w:tblGrid>
      <w:tr w:rsidR="006E7F0E" w14:paraId="6910ADBC" w14:textId="162BC05B" w:rsidTr="000A7C19">
        <w:trPr>
          <w:trHeight w:val="515"/>
          <w:jc w:val="center"/>
        </w:trPr>
        <w:tc>
          <w:tcPr>
            <w:tcW w:w="851" w:type="dxa"/>
            <w:tcBorders>
              <w:top w:val="single" w:sz="4" w:space="0" w:color="auto"/>
              <w:bottom w:val="single" w:sz="4" w:space="0" w:color="auto"/>
            </w:tcBorders>
            <w:vAlign w:val="center"/>
          </w:tcPr>
          <w:p w14:paraId="1EC691FB" w14:textId="6E7A2975" w:rsidR="006E7F0E" w:rsidRDefault="006E7F0E" w:rsidP="00807AC7">
            <w:pPr>
              <w:pStyle w:val="Tablecontent"/>
              <w:jc w:val="center"/>
            </w:pPr>
            <w:r>
              <w:t>Line</w:t>
            </w:r>
          </w:p>
        </w:tc>
        <w:tc>
          <w:tcPr>
            <w:tcW w:w="1843" w:type="dxa"/>
            <w:tcBorders>
              <w:top w:val="single" w:sz="4" w:space="0" w:color="auto"/>
              <w:bottom w:val="single" w:sz="4" w:space="0" w:color="auto"/>
            </w:tcBorders>
            <w:vAlign w:val="center"/>
          </w:tcPr>
          <w:p w14:paraId="367AD651" w14:textId="1C72094E" w:rsidR="006E7F0E" w:rsidRDefault="000A7C19" w:rsidP="00807AC7">
            <w:pPr>
              <w:pStyle w:val="Tablecontent"/>
              <w:jc w:val="center"/>
            </w:pPr>
            <w:r>
              <w:t>Map length</w:t>
            </w:r>
            <w:r w:rsidR="006E7F0E">
              <w:t xml:space="preserve"> (Mb)</w:t>
            </w:r>
          </w:p>
        </w:tc>
        <w:tc>
          <w:tcPr>
            <w:tcW w:w="1701" w:type="dxa"/>
            <w:tcBorders>
              <w:top w:val="single" w:sz="4" w:space="0" w:color="auto"/>
              <w:bottom w:val="single" w:sz="4" w:space="0" w:color="auto"/>
            </w:tcBorders>
            <w:vAlign w:val="center"/>
          </w:tcPr>
          <w:p w14:paraId="42DB1064" w14:textId="5C1E66F7" w:rsidR="006E7F0E" w:rsidRDefault="000A7C19" w:rsidP="00807AC7">
            <w:pPr>
              <w:pStyle w:val="Tablecontent"/>
              <w:jc w:val="center"/>
            </w:pPr>
            <w:r>
              <w:t>Total</w:t>
            </w:r>
            <w:r w:rsidR="006E7F0E">
              <w:t xml:space="preserve"> molecules</w:t>
            </w:r>
          </w:p>
        </w:tc>
        <w:tc>
          <w:tcPr>
            <w:tcW w:w="1559" w:type="dxa"/>
            <w:tcBorders>
              <w:top w:val="single" w:sz="4" w:space="0" w:color="auto"/>
              <w:bottom w:val="single" w:sz="4" w:space="0" w:color="auto"/>
            </w:tcBorders>
            <w:vAlign w:val="center"/>
          </w:tcPr>
          <w:p w14:paraId="40FBF41D" w14:textId="7E18ABB1" w:rsidR="006E7F0E" w:rsidRDefault="000A7C19" w:rsidP="00807AC7">
            <w:pPr>
              <w:pStyle w:val="Tablecontent"/>
              <w:jc w:val="center"/>
            </w:pPr>
            <w:r>
              <w:t>Map</w:t>
            </w:r>
            <w:r w:rsidR="006E7F0E">
              <w:t xml:space="preserve"> N50 (kb)</w:t>
            </w:r>
          </w:p>
        </w:tc>
        <w:tc>
          <w:tcPr>
            <w:tcW w:w="2268" w:type="dxa"/>
            <w:tcBorders>
              <w:top w:val="single" w:sz="4" w:space="0" w:color="auto"/>
              <w:bottom w:val="single" w:sz="4" w:space="0" w:color="auto"/>
            </w:tcBorders>
            <w:vAlign w:val="center"/>
          </w:tcPr>
          <w:p w14:paraId="277F2512" w14:textId="17FDBDC9" w:rsidR="006E7F0E" w:rsidRDefault="006E7F0E" w:rsidP="000A7C19">
            <w:pPr>
              <w:pStyle w:val="Tablecontent"/>
              <w:jc w:val="center"/>
            </w:pPr>
            <w:r>
              <w:t>Consensus map (Mb)</w:t>
            </w:r>
          </w:p>
        </w:tc>
      </w:tr>
      <w:tr w:rsidR="006E7F0E" w14:paraId="0B436BF0" w14:textId="53BDFE5A" w:rsidTr="000A7C19">
        <w:trPr>
          <w:jc w:val="center"/>
        </w:trPr>
        <w:tc>
          <w:tcPr>
            <w:tcW w:w="851" w:type="dxa"/>
            <w:tcBorders>
              <w:top w:val="single" w:sz="4" w:space="0" w:color="auto"/>
            </w:tcBorders>
          </w:tcPr>
          <w:p w14:paraId="3FE5E43B" w14:textId="682239C2" w:rsidR="006E7F0E" w:rsidRDefault="006E7F0E" w:rsidP="00404982">
            <w:pPr>
              <w:pStyle w:val="Tablecontent"/>
              <w:jc w:val="center"/>
            </w:pPr>
            <w:r>
              <w:t>WL3</w:t>
            </w:r>
          </w:p>
        </w:tc>
        <w:tc>
          <w:tcPr>
            <w:tcW w:w="1843" w:type="dxa"/>
            <w:tcBorders>
              <w:top w:val="single" w:sz="4" w:space="0" w:color="auto"/>
            </w:tcBorders>
          </w:tcPr>
          <w:p w14:paraId="46C1CD0D" w14:textId="63DEA5EE" w:rsidR="006E7F0E" w:rsidRDefault="006E7F0E" w:rsidP="00807AC7">
            <w:pPr>
              <w:pStyle w:val="Tablecontent"/>
              <w:ind w:right="171"/>
              <w:jc w:val="right"/>
            </w:pPr>
            <w:r>
              <w:t xml:space="preserve">222,923.5 </w:t>
            </w:r>
          </w:p>
        </w:tc>
        <w:tc>
          <w:tcPr>
            <w:tcW w:w="1701" w:type="dxa"/>
            <w:tcBorders>
              <w:top w:val="single" w:sz="4" w:space="0" w:color="auto"/>
            </w:tcBorders>
            <w:vAlign w:val="center"/>
          </w:tcPr>
          <w:p w14:paraId="4862A43C" w14:textId="1EBD0838" w:rsidR="006E7F0E" w:rsidRDefault="006E7F0E" w:rsidP="00807AC7">
            <w:pPr>
              <w:pStyle w:val="Tablecontent"/>
              <w:ind w:right="181"/>
              <w:jc w:val="right"/>
            </w:pPr>
            <w:r>
              <w:t>1,240,879</w:t>
            </w:r>
          </w:p>
        </w:tc>
        <w:tc>
          <w:tcPr>
            <w:tcW w:w="1559" w:type="dxa"/>
            <w:tcBorders>
              <w:top w:val="single" w:sz="4" w:space="0" w:color="auto"/>
            </w:tcBorders>
            <w:vAlign w:val="center"/>
          </w:tcPr>
          <w:p w14:paraId="119A9F9D" w14:textId="50A8E838" w:rsidR="006E7F0E" w:rsidRDefault="006E7F0E" w:rsidP="00807AC7">
            <w:pPr>
              <w:pStyle w:val="Tablecontent"/>
              <w:jc w:val="center"/>
            </w:pPr>
            <w:r>
              <w:t>180.7</w:t>
            </w:r>
          </w:p>
        </w:tc>
        <w:tc>
          <w:tcPr>
            <w:tcW w:w="2268" w:type="dxa"/>
            <w:tcBorders>
              <w:top w:val="single" w:sz="4" w:space="0" w:color="auto"/>
            </w:tcBorders>
          </w:tcPr>
          <w:p w14:paraId="3AD3A23B" w14:textId="34F4CBFC" w:rsidR="006E7F0E" w:rsidRDefault="000A7C19" w:rsidP="00807AC7">
            <w:pPr>
              <w:pStyle w:val="Tablecontent"/>
              <w:jc w:val="center"/>
            </w:pPr>
            <w:r>
              <w:t>355.9 (23.7X)</w:t>
            </w:r>
          </w:p>
        </w:tc>
      </w:tr>
      <w:tr w:rsidR="006E7F0E" w14:paraId="7670C3D8" w14:textId="64037B9C" w:rsidTr="000A7C19">
        <w:trPr>
          <w:jc w:val="center"/>
        </w:trPr>
        <w:tc>
          <w:tcPr>
            <w:tcW w:w="851" w:type="dxa"/>
          </w:tcPr>
          <w:p w14:paraId="7B14E5BA" w14:textId="05CF652E" w:rsidR="006E7F0E" w:rsidRDefault="006E7F0E" w:rsidP="00404982">
            <w:pPr>
              <w:pStyle w:val="Tablecontent"/>
              <w:jc w:val="center"/>
            </w:pPr>
            <w:r>
              <w:t>WL4</w:t>
            </w:r>
          </w:p>
        </w:tc>
        <w:tc>
          <w:tcPr>
            <w:tcW w:w="1843" w:type="dxa"/>
          </w:tcPr>
          <w:p w14:paraId="372AF88A" w14:textId="52007FF3" w:rsidR="006E7F0E" w:rsidRDefault="006E7F0E" w:rsidP="00807AC7">
            <w:pPr>
              <w:pStyle w:val="Tablecontent"/>
              <w:ind w:right="171"/>
              <w:jc w:val="right"/>
            </w:pPr>
            <w:r>
              <w:t>288,517.2</w:t>
            </w:r>
          </w:p>
        </w:tc>
        <w:tc>
          <w:tcPr>
            <w:tcW w:w="1701" w:type="dxa"/>
            <w:vAlign w:val="center"/>
          </w:tcPr>
          <w:p w14:paraId="6BBE1677" w14:textId="01653567" w:rsidR="006E7F0E" w:rsidRDefault="006E7F0E" w:rsidP="00807AC7">
            <w:pPr>
              <w:pStyle w:val="Tablecontent"/>
              <w:ind w:right="181"/>
              <w:jc w:val="right"/>
            </w:pPr>
            <w:r>
              <w:t>1,637,620</w:t>
            </w:r>
          </w:p>
        </w:tc>
        <w:tc>
          <w:tcPr>
            <w:tcW w:w="1559" w:type="dxa"/>
            <w:vAlign w:val="center"/>
          </w:tcPr>
          <w:p w14:paraId="71C0C6FE" w14:textId="622CBD4E" w:rsidR="006E7F0E" w:rsidRDefault="006E7F0E" w:rsidP="00807AC7">
            <w:pPr>
              <w:pStyle w:val="Tablecontent"/>
              <w:jc w:val="center"/>
            </w:pPr>
            <w:r>
              <w:t>180.1</w:t>
            </w:r>
          </w:p>
        </w:tc>
        <w:tc>
          <w:tcPr>
            <w:tcW w:w="2268" w:type="dxa"/>
          </w:tcPr>
          <w:p w14:paraId="74AA0921" w14:textId="4B59C4AA" w:rsidR="006E7F0E" w:rsidRDefault="000A7C19" w:rsidP="00807AC7">
            <w:pPr>
              <w:pStyle w:val="Tablecontent"/>
              <w:jc w:val="center"/>
            </w:pPr>
            <w:r>
              <w:t>551.0 (39.7X)</w:t>
            </w:r>
          </w:p>
        </w:tc>
      </w:tr>
      <w:tr w:rsidR="006E7F0E" w14:paraId="04A81C74" w14:textId="3A2D21B0" w:rsidTr="000A7C19">
        <w:trPr>
          <w:jc w:val="center"/>
        </w:trPr>
        <w:tc>
          <w:tcPr>
            <w:tcW w:w="851" w:type="dxa"/>
          </w:tcPr>
          <w:p w14:paraId="6BBA3851" w14:textId="56CC3485" w:rsidR="006E7F0E" w:rsidRDefault="006E7F0E" w:rsidP="00404982">
            <w:pPr>
              <w:pStyle w:val="Tablecontent"/>
              <w:jc w:val="center"/>
            </w:pPr>
            <w:r>
              <w:t>WPR1</w:t>
            </w:r>
          </w:p>
        </w:tc>
        <w:tc>
          <w:tcPr>
            <w:tcW w:w="1843" w:type="dxa"/>
          </w:tcPr>
          <w:p w14:paraId="7E1754FA" w14:textId="403F5073" w:rsidR="006E7F0E" w:rsidRDefault="006E7F0E" w:rsidP="00807AC7">
            <w:pPr>
              <w:pStyle w:val="Tablecontent"/>
              <w:ind w:right="171"/>
              <w:jc w:val="right"/>
            </w:pPr>
            <w:r>
              <w:t>126,395.3</w:t>
            </w:r>
          </w:p>
        </w:tc>
        <w:tc>
          <w:tcPr>
            <w:tcW w:w="1701" w:type="dxa"/>
            <w:vAlign w:val="center"/>
          </w:tcPr>
          <w:p w14:paraId="620F6BD1" w14:textId="5A82C071" w:rsidR="006E7F0E" w:rsidRDefault="006E7F0E" w:rsidP="00807AC7">
            <w:pPr>
              <w:pStyle w:val="Tablecontent"/>
              <w:ind w:right="181"/>
              <w:jc w:val="right"/>
            </w:pPr>
            <w:r>
              <w:t>568,595</w:t>
            </w:r>
          </w:p>
        </w:tc>
        <w:tc>
          <w:tcPr>
            <w:tcW w:w="1559" w:type="dxa"/>
            <w:vAlign w:val="center"/>
          </w:tcPr>
          <w:p w14:paraId="6D0B6646" w14:textId="14562F89" w:rsidR="006E7F0E" w:rsidRDefault="006E7F0E" w:rsidP="00807AC7">
            <w:pPr>
              <w:pStyle w:val="Tablecontent"/>
              <w:jc w:val="center"/>
            </w:pPr>
            <w:r>
              <w:t>230.5</w:t>
            </w:r>
          </w:p>
        </w:tc>
        <w:tc>
          <w:tcPr>
            <w:tcW w:w="2268" w:type="dxa"/>
          </w:tcPr>
          <w:p w14:paraId="70722996" w14:textId="5021B5B3" w:rsidR="006E7F0E" w:rsidRDefault="000A7C19" w:rsidP="00807AC7">
            <w:pPr>
              <w:pStyle w:val="Tablecontent"/>
              <w:jc w:val="center"/>
            </w:pPr>
            <w:r>
              <w:t>159.9 (14.8X)</w:t>
            </w:r>
          </w:p>
        </w:tc>
      </w:tr>
      <w:tr w:rsidR="006E7F0E" w14:paraId="0686A29C" w14:textId="66B258B9" w:rsidTr="000A7C19">
        <w:trPr>
          <w:jc w:val="center"/>
        </w:trPr>
        <w:tc>
          <w:tcPr>
            <w:tcW w:w="851" w:type="dxa"/>
          </w:tcPr>
          <w:p w14:paraId="305D28B7" w14:textId="3FEC4D26" w:rsidR="006E7F0E" w:rsidRDefault="006E7F0E" w:rsidP="00404982">
            <w:pPr>
              <w:pStyle w:val="Tablecontent"/>
              <w:jc w:val="center"/>
            </w:pPr>
            <w:r>
              <w:t>WPR2</w:t>
            </w:r>
          </w:p>
        </w:tc>
        <w:tc>
          <w:tcPr>
            <w:tcW w:w="1843" w:type="dxa"/>
          </w:tcPr>
          <w:p w14:paraId="5DDAF883" w14:textId="110EB202" w:rsidR="006E7F0E" w:rsidRDefault="006E7F0E" w:rsidP="00807AC7">
            <w:pPr>
              <w:pStyle w:val="Tablecontent"/>
              <w:ind w:right="171"/>
              <w:jc w:val="right"/>
            </w:pPr>
            <w:r>
              <w:t>41,146.6</w:t>
            </w:r>
          </w:p>
        </w:tc>
        <w:tc>
          <w:tcPr>
            <w:tcW w:w="1701" w:type="dxa"/>
            <w:vAlign w:val="center"/>
          </w:tcPr>
          <w:p w14:paraId="00EFB1DA" w14:textId="7E9799DA" w:rsidR="006E7F0E" w:rsidRDefault="006E7F0E" w:rsidP="00807AC7">
            <w:pPr>
              <w:pStyle w:val="Tablecontent"/>
              <w:ind w:right="181"/>
              <w:jc w:val="right"/>
            </w:pPr>
            <w:r>
              <w:t>253,579</w:t>
            </w:r>
          </w:p>
        </w:tc>
        <w:tc>
          <w:tcPr>
            <w:tcW w:w="1559" w:type="dxa"/>
            <w:vAlign w:val="center"/>
          </w:tcPr>
          <w:p w14:paraId="0D9CE44B" w14:textId="5AA1A549" w:rsidR="006E7F0E" w:rsidRDefault="006E7F0E" w:rsidP="00807AC7">
            <w:pPr>
              <w:pStyle w:val="Tablecontent"/>
              <w:jc w:val="center"/>
            </w:pPr>
            <w:r>
              <w:t>159.0</w:t>
            </w:r>
          </w:p>
        </w:tc>
        <w:tc>
          <w:tcPr>
            <w:tcW w:w="2268" w:type="dxa"/>
          </w:tcPr>
          <w:p w14:paraId="6302AD83" w14:textId="24451183" w:rsidR="006E7F0E" w:rsidRDefault="000A7C19" w:rsidP="00807AC7">
            <w:pPr>
              <w:pStyle w:val="Tablecontent"/>
              <w:jc w:val="center"/>
            </w:pPr>
            <w:r>
              <w:t>No consensus</w:t>
            </w:r>
          </w:p>
        </w:tc>
      </w:tr>
      <w:tr w:rsidR="006E7F0E" w14:paraId="52CD6283" w14:textId="78C7618A" w:rsidTr="000A7C19">
        <w:trPr>
          <w:jc w:val="center"/>
        </w:trPr>
        <w:tc>
          <w:tcPr>
            <w:tcW w:w="851" w:type="dxa"/>
            <w:tcBorders>
              <w:bottom w:val="single" w:sz="4" w:space="0" w:color="auto"/>
            </w:tcBorders>
          </w:tcPr>
          <w:p w14:paraId="586436C0" w14:textId="372730C1" w:rsidR="006E7F0E" w:rsidRDefault="006E7F0E" w:rsidP="00404982">
            <w:pPr>
              <w:pStyle w:val="Tablecontent"/>
              <w:jc w:val="center"/>
            </w:pPr>
            <w:r>
              <w:t>RIR-sf</w:t>
            </w:r>
          </w:p>
        </w:tc>
        <w:tc>
          <w:tcPr>
            <w:tcW w:w="1843" w:type="dxa"/>
            <w:tcBorders>
              <w:bottom w:val="single" w:sz="4" w:space="0" w:color="auto"/>
            </w:tcBorders>
          </w:tcPr>
          <w:p w14:paraId="2EABA108" w14:textId="16D2223C" w:rsidR="006E7F0E" w:rsidRDefault="006E7F0E" w:rsidP="00807AC7">
            <w:pPr>
              <w:pStyle w:val="Tablecontent"/>
              <w:ind w:right="171"/>
              <w:jc w:val="right"/>
            </w:pPr>
            <w:r>
              <w:t>49,009.3</w:t>
            </w:r>
          </w:p>
        </w:tc>
        <w:tc>
          <w:tcPr>
            <w:tcW w:w="1701" w:type="dxa"/>
            <w:tcBorders>
              <w:bottom w:val="single" w:sz="4" w:space="0" w:color="auto"/>
            </w:tcBorders>
            <w:vAlign w:val="center"/>
          </w:tcPr>
          <w:p w14:paraId="1795398C" w14:textId="70D1DADD" w:rsidR="006E7F0E" w:rsidRDefault="006E7F0E" w:rsidP="00807AC7">
            <w:pPr>
              <w:pStyle w:val="Tablecontent"/>
              <w:ind w:right="181"/>
              <w:jc w:val="right"/>
            </w:pPr>
            <w:r>
              <w:t>331,003</w:t>
            </w:r>
          </w:p>
        </w:tc>
        <w:tc>
          <w:tcPr>
            <w:tcW w:w="1559" w:type="dxa"/>
            <w:tcBorders>
              <w:bottom w:val="single" w:sz="4" w:space="0" w:color="auto"/>
            </w:tcBorders>
            <w:vAlign w:val="center"/>
          </w:tcPr>
          <w:p w14:paraId="235C4398" w14:textId="355393C5" w:rsidR="006E7F0E" w:rsidRDefault="006E7F0E" w:rsidP="00807AC7">
            <w:pPr>
              <w:pStyle w:val="Tablecontent"/>
              <w:jc w:val="center"/>
            </w:pPr>
            <w:r>
              <w:t>141.9</w:t>
            </w:r>
          </w:p>
        </w:tc>
        <w:tc>
          <w:tcPr>
            <w:tcW w:w="2268" w:type="dxa"/>
            <w:tcBorders>
              <w:bottom w:val="single" w:sz="4" w:space="0" w:color="auto"/>
            </w:tcBorders>
          </w:tcPr>
          <w:p w14:paraId="13F5DB01" w14:textId="19D1C2D7" w:rsidR="006E7F0E" w:rsidRDefault="000A7C19" w:rsidP="00807AC7">
            <w:pPr>
              <w:pStyle w:val="Tablecontent"/>
              <w:jc w:val="center"/>
            </w:pPr>
            <w:r>
              <w:t>5.2 (62.6X)</w:t>
            </w:r>
          </w:p>
        </w:tc>
      </w:tr>
    </w:tbl>
    <w:p w14:paraId="35CAB824" w14:textId="51FC793C" w:rsidR="00174814" w:rsidRDefault="00174814" w:rsidP="00391005">
      <w:pPr>
        <w:pStyle w:val="ListParagraph"/>
      </w:pPr>
      <w:r>
        <w:lastRenderedPageBreak/>
        <w:t xml:space="preserve">generated for any sample across the </w:t>
      </w:r>
      <w:r>
        <w:rPr>
          <w:i/>
        </w:rPr>
        <w:t xml:space="preserve">K </w:t>
      </w:r>
      <w:r>
        <w:t xml:space="preserve">locus region of the Z chromosome. Consequently, this data was insufficient to fully characterise the duplication within the </w:t>
      </w:r>
      <w:r>
        <w:rPr>
          <w:i/>
        </w:rPr>
        <w:t>K</w:t>
      </w:r>
      <w:r>
        <w:t xml:space="preserve"> allele of the slow feathered samples or validate the ALVE21 insertion site in WPR2.</w:t>
      </w:r>
    </w:p>
    <w:p w14:paraId="6809A79D" w14:textId="444AC99B" w:rsidR="00807AC7" w:rsidRPr="00174814" w:rsidRDefault="00BF695A" w:rsidP="00391005">
      <w:pPr>
        <w:pStyle w:val="ListParagraph"/>
        <w:rPr>
          <w:sz w:val="8"/>
        </w:rPr>
      </w:pPr>
      <w:r>
        <w:t>Visualisation of the WL3 optic maps mapped to the Z chromosome (</w:t>
      </w:r>
      <w:r>
        <w:fldChar w:fldCharType="begin" w:fldLock="1"/>
      </w:r>
      <w:r>
        <w:instrText xml:space="preserve"> REF _Ref486581614 \h </w:instrText>
      </w:r>
      <w:r>
        <w:fldChar w:fldCharType="separate"/>
      </w:r>
      <w:r w:rsidR="002C549C">
        <w:t xml:space="preserve">Figure </w:t>
      </w:r>
      <w:r w:rsidR="002C549C">
        <w:rPr>
          <w:noProof/>
        </w:rPr>
        <w:t>6</w:t>
      </w:r>
      <w:r w:rsidR="002C549C">
        <w:t>.</w:t>
      </w:r>
      <w:r w:rsidR="002C549C">
        <w:rPr>
          <w:noProof/>
        </w:rPr>
        <w:t>19</w:t>
      </w:r>
      <w:r>
        <w:fldChar w:fldCharType="end"/>
      </w:r>
      <w:r>
        <w:t>) reveal</w:t>
      </w:r>
      <w:r w:rsidR="00CA6EDC">
        <w:t>ed</w:t>
      </w:r>
      <w:r>
        <w:t xml:space="preserve"> limited coverage across even the wildtype </w:t>
      </w:r>
      <w:r>
        <w:rPr>
          <w:i/>
        </w:rPr>
        <w:t>k</w:t>
      </w:r>
      <w:r>
        <w:rPr>
          <w:i/>
          <w:vertAlign w:val="superscript"/>
        </w:rPr>
        <w:t>+</w:t>
      </w:r>
      <w:r>
        <w:t xml:space="preserve"> allele, although the corroboration between predict</w:t>
      </w:r>
      <w:r w:rsidR="00174814">
        <w:t>ed and observed Nt.BspQ1 sites wa</w:t>
      </w:r>
      <w:r>
        <w:t xml:space="preserve">s </w:t>
      </w:r>
      <w:r w:rsidR="00174814">
        <w:t>generally good. However, there we</w:t>
      </w:r>
      <w:r>
        <w:t>re multiple maps which exhibit</w:t>
      </w:r>
      <w:r w:rsidR="00174814">
        <w:t>ed</w:t>
      </w:r>
      <w:r w:rsidR="003826FF">
        <w:t xml:space="preserve"> incongruence against the </w:t>
      </w:r>
      <w:r w:rsidR="00B74E7B">
        <w:rPr>
          <w:i/>
        </w:rPr>
        <w:t xml:space="preserve">in silico </w:t>
      </w:r>
      <w:r w:rsidR="003826FF">
        <w:t>reference</w:t>
      </w:r>
      <w:r w:rsidR="00174814">
        <w:t xml:space="preserve"> digest.</w:t>
      </w:r>
      <w:r w:rsidR="00174814">
        <w:br/>
      </w:r>
    </w:p>
    <w:p w14:paraId="20C70571" w14:textId="022B9E73" w:rsidR="001167C6" w:rsidRDefault="00D55C6B" w:rsidP="001167C6">
      <w:pPr>
        <w:pStyle w:val="ListParagraph"/>
        <w:jc w:val="center"/>
      </w:pPr>
      <w:r>
        <w:rPr>
          <w:noProof/>
          <w:lang w:eastAsia="en-GB"/>
        </w:rPr>
        <w:drawing>
          <wp:inline distT="0" distB="0" distL="0" distR="0" wp14:anchorId="2E3161B1" wp14:editId="23001BA7">
            <wp:extent cx="3914775" cy="3690316"/>
            <wp:effectExtent l="0" t="0" r="0" b="571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a:extLst>
                        <a:ext uri="{28A0092B-C50C-407E-A947-70E740481C1C}">
                          <a14:useLocalDpi xmlns:a14="http://schemas.microsoft.com/office/drawing/2010/main" val="0"/>
                        </a:ext>
                      </a:extLst>
                    </a:blip>
                    <a:srcRect l="4330" r="4286"/>
                    <a:stretch/>
                  </pic:blipFill>
                  <pic:spPr bwMode="auto">
                    <a:xfrm>
                      <a:off x="0" y="0"/>
                      <a:ext cx="3943490" cy="3717384"/>
                    </a:xfrm>
                    <a:prstGeom prst="rect">
                      <a:avLst/>
                    </a:prstGeom>
                    <a:noFill/>
                    <a:ln>
                      <a:noFill/>
                    </a:ln>
                    <a:extLst>
                      <a:ext uri="{53640926-AAD7-44D8-BBD7-CCE9431645EC}">
                        <a14:shadowObscured xmlns:a14="http://schemas.microsoft.com/office/drawing/2010/main"/>
                      </a:ext>
                    </a:extLst>
                  </pic:spPr>
                </pic:pic>
              </a:graphicData>
            </a:graphic>
          </wp:inline>
        </w:drawing>
      </w:r>
    </w:p>
    <w:p w14:paraId="3132707A" w14:textId="42F22A3C" w:rsidR="0073060A" w:rsidRDefault="001167C6" w:rsidP="00B74E7B">
      <w:pPr>
        <w:pStyle w:val="Figure"/>
      </w:pPr>
      <w:bookmarkStart w:id="505" w:name="_Ref486581614"/>
      <w:bookmarkStart w:id="506" w:name="_Toc486785464"/>
      <w:r>
        <w:t xml:space="preserve">Figure </w:t>
      </w:r>
      <w:fldSimple w:instr=" STYLEREF 1 \s " w:fldLock="1">
        <w:r w:rsidR="002C549C">
          <w:rPr>
            <w:noProof/>
          </w:rPr>
          <w:t>6</w:t>
        </w:r>
      </w:fldSimple>
      <w:r>
        <w:t>.</w:t>
      </w:r>
      <w:fldSimple w:instr=" SEQ Figure \* ARABIC \s 1 " w:fldLock="1">
        <w:r w:rsidR="002C549C">
          <w:rPr>
            <w:noProof/>
          </w:rPr>
          <w:t>19</w:t>
        </w:r>
      </w:fldSimple>
      <w:bookmarkEnd w:id="505"/>
      <w:r>
        <w:t xml:space="preserve"> Optic map</w:t>
      </w:r>
      <w:r w:rsidR="00515D1C">
        <w:t>s</w:t>
      </w:r>
      <w:r>
        <w:t xml:space="preserve"> for </w:t>
      </w:r>
      <w:r w:rsidR="004248F2">
        <w:t xml:space="preserve">the </w:t>
      </w:r>
      <w:r>
        <w:t>WL3</w:t>
      </w:r>
      <w:r w:rsidR="00515D1C">
        <w:t xml:space="preserve"> (</w:t>
      </w:r>
      <w:r w:rsidR="00515D1C">
        <w:rPr>
          <w:i/>
        </w:rPr>
        <w:t>k</w:t>
      </w:r>
      <w:r w:rsidR="00515D1C">
        <w:rPr>
          <w:i/>
          <w:vertAlign w:val="superscript"/>
        </w:rPr>
        <w:t>+</w:t>
      </w:r>
      <w:r w:rsidR="00515D1C">
        <w:t>)</w:t>
      </w:r>
      <w:r w:rsidR="004248F2">
        <w:t xml:space="preserve"> sample</w:t>
      </w:r>
      <w:r w:rsidR="00515D1C">
        <w:t>s.</w:t>
      </w:r>
      <w:r>
        <w:t xml:space="preserve"> In each panel the red dotted box outlines the </w:t>
      </w:r>
      <w:r>
        <w:rPr>
          <w:i/>
        </w:rPr>
        <w:t>k</w:t>
      </w:r>
      <w:r>
        <w:rPr>
          <w:i/>
          <w:vertAlign w:val="superscript"/>
        </w:rPr>
        <w:t>+</w:t>
      </w:r>
      <w:r>
        <w:t xml:space="preserve"> allele, the top scale represents the location on the Z chromosome, and the blue vertical lines in the green bar represent the predicted </w:t>
      </w:r>
      <w:r w:rsidR="005C5FAD">
        <w:t xml:space="preserve">Nt.BspQ1 sites. Both panels are the same, but the lower panel shows the matched sites between maps and the </w:t>
      </w:r>
      <w:r w:rsidR="005C5FAD">
        <w:rPr>
          <w:i/>
        </w:rPr>
        <w:t>in silico</w:t>
      </w:r>
      <w:r w:rsidR="005C5FAD">
        <w:t xml:space="preserve"> digest. The red shaded section in the lower panel represents the </w:t>
      </w:r>
      <w:r w:rsidR="004248F2">
        <w:t xml:space="preserve">bridging region in the duplicated </w:t>
      </w:r>
      <w:r w:rsidR="004248F2">
        <w:rPr>
          <w:i/>
        </w:rPr>
        <w:t>K</w:t>
      </w:r>
      <w:r w:rsidR="004248F2">
        <w:t xml:space="preserve"> allele. Dark orange maps map to the positive strand, and the paler orange to the negative strand. The fluorescent tags (green marks on the maps) are darker green when the tags are more confident</w:t>
      </w:r>
      <w:r w:rsidR="00740034">
        <w:t xml:space="preserve">. Most tags match the </w:t>
      </w:r>
      <w:r w:rsidR="00740034">
        <w:rPr>
          <w:i/>
        </w:rPr>
        <w:t>in silico</w:t>
      </w:r>
      <w:r w:rsidR="00740034">
        <w:t xml:space="preserve"> predictions well, and there are reads mapping through the bridging region, supporting the wildtype prediction. However, there are maps with poor matches (such as the very bottom dark orange map).</w:t>
      </w:r>
      <w:bookmarkEnd w:id="506"/>
    </w:p>
    <w:p w14:paraId="0815D93C" w14:textId="50430119" w:rsidR="00174814" w:rsidRDefault="00174814" w:rsidP="00174814">
      <w:pPr>
        <w:pStyle w:val="ListParagraph"/>
      </w:pPr>
      <w:r>
        <w:lastRenderedPageBreak/>
        <w:t xml:space="preserve">Importantly for this sample, there were optic maps which mapped through the bridging region which would generate breaks in the </w:t>
      </w:r>
      <w:r>
        <w:rPr>
          <w:i/>
        </w:rPr>
        <w:t>K</w:t>
      </w:r>
      <w:r>
        <w:t xml:space="preserve"> allele (shaded red in </w:t>
      </w:r>
      <w:r>
        <w:fldChar w:fldCharType="begin" w:fldLock="1"/>
      </w:r>
      <w:r>
        <w:instrText xml:space="preserve"> REF _Ref486581614 \h </w:instrText>
      </w:r>
      <w:r>
        <w:fldChar w:fldCharType="separate"/>
      </w:r>
      <w:r w:rsidR="002C549C">
        <w:t xml:space="preserve">Figure </w:t>
      </w:r>
      <w:r w:rsidR="002C549C">
        <w:rPr>
          <w:noProof/>
        </w:rPr>
        <w:t>6</w:t>
      </w:r>
      <w:r w:rsidR="002C549C">
        <w:t>.</w:t>
      </w:r>
      <w:r w:rsidR="002C549C">
        <w:rPr>
          <w:noProof/>
        </w:rPr>
        <w:t>19</w:t>
      </w:r>
      <w:r>
        <w:fldChar w:fldCharType="end"/>
      </w:r>
      <w:r>
        <w:t xml:space="preserve">), supporting the </w:t>
      </w:r>
      <w:r w:rsidR="001A423D">
        <w:t xml:space="preserve">wildtype </w:t>
      </w:r>
      <w:r>
        <w:rPr>
          <w:i/>
        </w:rPr>
        <w:t>k</w:t>
      </w:r>
      <w:r>
        <w:rPr>
          <w:i/>
          <w:vertAlign w:val="superscript"/>
        </w:rPr>
        <w:t>+</w:t>
      </w:r>
      <w:r>
        <w:t xml:space="preserve"> genotype. None of the other samples had sufficient coverage across the region to draw any confident biological conclusions.  </w:t>
      </w:r>
    </w:p>
    <w:p w14:paraId="46B9E1D5" w14:textId="3D68AFC5" w:rsidR="00174814" w:rsidRDefault="00174814" w:rsidP="00174814">
      <w:pPr>
        <w:pStyle w:val="ListParagraph"/>
      </w:pPr>
      <w:r>
        <w:t xml:space="preserve">The primary aim of the BioNano optic mapping was to validate the presence of the ALVE21 insertion in the WPR2 sample, providing additional support for the phenotypic reversion of this line. As the original data was insufficient to address this question, the Earlham Institute generated an additional 220 Gb of optic map molecules which greatly enriched the original dataset. This data was sufficient to generate a consensus map across the </w:t>
      </w:r>
      <w:r>
        <w:rPr>
          <w:i/>
        </w:rPr>
        <w:t xml:space="preserve">K </w:t>
      </w:r>
      <w:r>
        <w:t>locus, and identified the ALVE21 insertion due to the augmented spacing of Nt.BspQ1 markers around the known insertion site (</w:t>
      </w:r>
      <w:r>
        <w:fldChar w:fldCharType="begin" w:fldLock="1"/>
      </w:r>
      <w:r>
        <w:instrText xml:space="preserve"> REF _Ref486583538 \h </w:instrText>
      </w:r>
      <w:r>
        <w:fldChar w:fldCharType="separate"/>
      </w:r>
      <w:r w:rsidR="002C549C">
        <w:t xml:space="preserve">Figure </w:t>
      </w:r>
      <w:r w:rsidR="002C549C">
        <w:rPr>
          <w:noProof/>
        </w:rPr>
        <w:t>6</w:t>
      </w:r>
      <w:r w:rsidR="002C549C">
        <w:t>.</w:t>
      </w:r>
      <w:r w:rsidR="002C549C">
        <w:rPr>
          <w:noProof/>
        </w:rPr>
        <w:t>20</w:t>
      </w:r>
      <w:r>
        <w:fldChar w:fldCharType="end"/>
      </w:r>
      <w:r>
        <w:t xml:space="preserve">). This corroborates the mapping scenario predicted in </w:t>
      </w:r>
      <w:r>
        <w:fldChar w:fldCharType="begin" w:fldLock="1"/>
      </w:r>
      <w:r>
        <w:instrText xml:space="preserve"> REF _Ref479099726 \h </w:instrText>
      </w:r>
      <w:r>
        <w:fldChar w:fldCharType="separate"/>
      </w:r>
      <w:r w:rsidR="002C549C">
        <w:t xml:space="preserve">Figure </w:t>
      </w:r>
      <w:r w:rsidR="002C549C">
        <w:rPr>
          <w:noProof/>
        </w:rPr>
        <w:t>6</w:t>
      </w:r>
      <w:r w:rsidR="002C549C">
        <w:t>.</w:t>
      </w:r>
      <w:r w:rsidR="002C549C">
        <w:rPr>
          <w:noProof/>
        </w:rPr>
        <w:t>18</w:t>
      </w:r>
      <w:r>
        <w:fldChar w:fldCharType="end"/>
      </w:r>
      <w:r>
        <w:t xml:space="preserve">, and provides additional evidence for WPR2 line origin as a fast feathering revertant. </w:t>
      </w:r>
    </w:p>
    <w:p w14:paraId="78A979D1" w14:textId="149B35B7" w:rsidR="00174814" w:rsidRDefault="00174814" w:rsidP="00174814">
      <w:pPr>
        <w:pStyle w:val="ListParagraph"/>
      </w:pPr>
      <w:r>
        <w:t xml:space="preserve">It is likely that the generation of additional data for the slow feathering samples would enable the further characterisation of the </w:t>
      </w:r>
      <w:r>
        <w:rPr>
          <w:i/>
        </w:rPr>
        <w:t>K</w:t>
      </w:r>
      <w:r>
        <w:t xml:space="preserve"> allele. </w:t>
      </w:r>
    </w:p>
    <w:p w14:paraId="2168689A" w14:textId="77777777" w:rsidR="00174814" w:rsidRPr="00174814" w:rsidRDefault="00174814" w:rsidP="00174814">
      <w:pPr>
        <w:pStyle w:val="ListParagraph"/>
        <w:rPr>
          <w:sz w:val="2"/>
        </w:rPr>
      </w:pPr>
    </w:p>
    <w:p w14:paraId="58D49C13" w14:textId="55654ACA" w:rsidR="001167C6" w:rsidRDefault="001167C6" w:rsidP="001167C6">
      <w:pPr>
        <w:pStyle w:val="ListParagraph"/>
        <w:jc w:val="center"/>
      </w:pPr>
      <w:r>
        <w:rPr>
          <w:noProof/>
          <w:lang w:eastAsia="en-GB"/>
        </w:rPr>
        <w:drawing>
          <wp:inline distT="0" distB="0" distL="0" distR="0" wp14:anchorId="01F32B70" wp14:editId="1E2578EE">
            <wp:extent cx="4147223" cy="1409700"/>
            <wp:effectExtent l="0" t="0" r="571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a:extLst>
                        <a:ext uri="{28A0092B-C50C-407E-A947-70E740481C1C}">
                          <a14:useLocalDpi xmlns:a14="http://schemas.microsoft.com/office/drawing/2010/main" val="0"/>
                        </a:ext>
                      </a:extLst>
                    </a:blip>
                    <a:srcRect l="3118"/>
                    <a:stretch/>
                  </pic:blipFill>
                  <pic:spPr bwMode="auto">
                    <a:xfrm>
                      <a:off x="0" y="0"/>
                      <a:ext cx="4150939" cy="1410963"/>
                    </a:xfrm>
                    <a:prstGeom prst="rect">
                      <a:avLst/>
                    </a:prstGeom>
                    <a:noFill/>
                    <a:ln>
                      <a:noFill/>
                    </a:ln>
                    <a:extLst>
                      <a:ext uri="{53640926-AAD7-44D8-BBD7-CCE9431645EC}">
                        <a14:shadowObscured xmlns:a14="http://schemas.microsoft.com/office/drawing/2010/main"/>
                      </a:ext>
                    </a:extLst>
                  </pic:spPr>
                </pic:pic>
              </a:graphicData>
            </a:graphic>
          </wp:inline>
        </w:drawing>
      </w:r>
    </w:p>
    <w:p w14:paraId="5F778785" w14:textId="1D4C1DB3" w:rsidR="001167C6" w:rsidRPr="00740034" w:rsidRDefault="001167C6" w:rsidP="001167C6">
      <w:pPr>
        <w:pStyle w:val="Figure"/>
      </w:pPr>
      <w:bookmarkStart w:id="507" w:name="_Ref486583538"/>
      <w:bookmarkStart w:id="508" w:name="_Toc486785465"/>
      <w:r>
        <w:t xml:space="preserve">Figure </w:t>
      </w:r>
      <w:fldSimple w:instr=" STYLEREF 1 \s " w:fldLock="1">
        <w:r w:rsidR="002C549C">
          <w:rPr>
            <w:noProof/>
          </w:rPr>
          <w:t>6</w:t>
        </w:r>
      </w:fldSimple>
      <w:r>
        <w:t>.</w:t>
      </w:r>
      <w:fldSimple w:instr=" SEQ Figure \* ARABIC \s 1 " w:fldLock="1">
        <w:r w:rsidR="002C549C">
          <w:rPr>
            <w:noProof/>
          </w:rPr>
          <w:t>20</w:t>
        </w:r>
      </w:fldSimple>
      <w:bookmarkEnd w:id="507"/>
      <w:r w:rsidR="00740034">
        <w:t xml:space="preserve"> Consensus map for the WPR2 (</w:t>
      </w:r>
      <w:r w:rsidR="00740034">
        <w:rPr>
          <w:i/>
        </w:rPr>
        <w:t>k</w:t>
      </w:r>
      <w:r w:rsidR="00740034">
        <w:rPr>
          <w:i/>
          <w:vertAlign w:val="superscript"/>
        </w:rPr>
        <w:t>R</w:t>
      </w:r>
      <w:r w:rsidR="00740034">
        <w:t xml:space="preserve">) allele. The scale bar is for the Z chromosome. The vertical lines in the green bar represent the </w:t>
      </w:r>
      <w:r w:rsidR="00740034">
        <w:rPr>
          <w:i/>
        </w:rPr>
        <w:t>in silico</w:t>
      </w:r>
      <w:r w:rsidR="00740034">
        <w:t xml:space="preserve"> digest Nt.BspQ1 predicted sites, the </w:t>
      </w:r>
      <w:r w:rsidR="00404982">
        <w:t xml:space="preserve">two-tone </w:t>
      </w:r>
      <w:r w:rsidR="00740034">
        <w:t xml:space="preserve">blue bar represents the consensus assembly for WPR2 with the vertical lines showing the supported Nt.BspQ1 sites, and the connecting lines show matched sites. </w:t>
      </w:r>
      <w:r w:rsidR="00404982">
        <w:t xml:space="preserve">The dark blue within the two-tone blue bar shows the optic map coverage across the region. </w:t>
      </w:r>
      <w:r w:rsidR="00740034">
        <w:t>The red circles mark examples of tandem sites which have collapsed to a single site in</w:t>
      </w:r>
      <w:r w:rsidR="001A423D">
        <w:t xml:space="preserve"> the consensus due to cross-reacting</w:t>
      </w:r>
      <w:r w:rsidR="00740034">
        <w:t xml:space="preserve"> fluorescence. The red dotted box marks the ALVE21 insertion site (Z:</w:t>
      </w:r>
      <w:r w:rsidR="00807AC7">
        <w:t xml:space="preserve"> </w:t>
      </w:r>
      <w:r w:rsidR="00740034">
        <w:t>10,681,671), and the expanded region between tags in the consensus shows the ALVE21 insertion in WPR2</w:t>
      </w:r>
      <w:r w:rsidR="00404982">
        <w:t>.</w:t>
      </w:r>
      <w:r w:rsidR="00740034">
        <w:t xml:space="preserve"> </w:t>
      </w:r>
      <w:r w:rsidR="00404982">
        <w:t xml:space="preserve">This matches the </w:t>
      </w:r>
      <w:r w:rsidR="00404982">
        <w:fldChar w:fldCharType="begin" w:fldLock="1"/>
      </w:r>
      <w:r w:rsidR="00404982">
        <w:instrText xml:space="preserve"> REF _Ref479099726 \h </w:instrText>
      </w:r>
      <w:r w:rsidR="00404982">
        <w:fldChar w:fldCharType="separate"/>
      </w:r>
      <w:r w:rsidR="002C549C">
        <w:t xml:space="preserve">Figure </w:t>
      </w:r>
      <w:r w:rsidR="002C549C">
        <w:rPr>
          <w:noProof/>
        </w:rPr>
        <w:t>6</w:t>
      </w:r>
      <w:r w:rsidR="002C549C">
        <w:t>.</w:t>
      </w:r>
      <w:r w:rsidR="002C549C">
        <w:rPr>
          <w:noProof/>
        </w:rPr>
        <w:t>18</w:t>
      </w:r>
      <w:r w:rsidR="00404982">
        <w:fldChar w:fldCharType="end"/>
      </w:r>
      <w:r w:rsidR="00404982">
        <w:t xml:space="preserve"> prediction.</w:t>
      </w:r>
      <w:bookmarkEnd w:id="508"/>
    </w:p>
    <w:p w14:paraId="7711D647" w14:textId="3E04CB0B" w:rsidR="0073060A" w:rsidRDefault="0073060A" w:rsidP="0073060A">
      <w:pPr>
        <w:pStyle w:val="Heading2"/>
      </w:pPr>
      <w:bookmarkStart w:id="509" w:name="_Ref476745718"/>
      <w:bookmarkStart w:id="510" w:name="_Toc485721651"/>
      <w:bookmarkStart w:id="511" w:name="_Toc486787231"/>
      <w:bookmarkStart w:id="512" w:name="_Toc486787379"/>
      <w:r>
        <w:lastRenderedPageBreak/>
        <w:t>Characterisation of the identified ALVE sequence</w:t>
      </w:r>
      <w:r w:rsidR="006108EA">
        <w:t>s and assessment of their</w:t>
      </w:r>
      <w:r>
        <w:t xml:space="preserve"> recombination, expression and retrotransposition potential</w:t>
      </w:r>
      <w:bookmarkEnd w:id="509"/>
      <w:bookmarkEnd w:id="510"/>
      <w:bookmarkEnd w:id="511"/>
      <w:bookmarkEnd w:id="512"/>
    </w:p>
    <w:p w14:paraId="45B8CE38" w14:textId="0939C744" w:rsidR="006108EA" w:rsidRDefault="008140A1" w:rsidP="00391005">
      <w:pPr>
        <w:pStyle w:val="ListParagraph"/>
      </w:pPr>
      <w:r w:rsidRPr="008140A1">
        <w:t>F</w:t>
      </w:r>
      <w:r>
        <w:t>ifteen of the twenty ALVEs identified across the HL lines were fully sequenced in this study</w:t>
      </w:r>
      <w:r w:rsidR="006108EA">
        <w:t xml:space="preserve"> (</w:t>
      </w:r>
      <w:r w:rsidR="006108EA">
        <w:fldChar w:fldCharType="begin" w:fldLock="1"/>
      </w:r>
      <w:r w:rsidR="006108EA">
        <w:instrText xml:space="preserve"> REF _Ref479741893 \h </w:instrText>
      </w:r>
      <w:r w:rsidR="006108EA">
        <w:fldChar w:fldCharType="separate"/>
      </w:r>
      <w:r w:rsidR="002C549C">
        <w:t xml:space="preserve">Table </w:t>
      </w:r>
      <w:r w:rsidR="002C549C">
        <w:rPr>
          <w:noProof/>
        </w:rPr>
        <w:t>6</w:t>
      </w:r>
      <w:r w:rsidR="002C549C">
        <w:t>.</w:t>
      </w:r>
      <w:r w:rsidR="002C549C">
        <w:rPr>
          <w:noProof/>
        </w:rPr>
        <w:t>12</w:t>
      </w:r>
      <w:r w:rsidR="006108EA">
        <w:fldChar w:fldCharType="end"/>
      </w:r>
      <w:r w:rsidR="006108EA">
        <w:t>).</w:t>
      </w:r>
      <w:r>
        <w:t xml:space="preserve"> Of these, ALVE15 and ALVE_ros005 were solo LTRs, and ALVE9, ALVE-NSAC1 and ALVE_ros007 had varying degrees of 5’ truncation. The remaining ten were </w:t>
      </w:r>
      <w:r w:rsidR="006108EA">
        <w:t xml:space="preserve">‘intact’ </w:t>
      </w:r>
      <w:r>
        <w:t>elements with both 5’ and 3’ LTRs</w:t>
      </w:r>
      <w:r w:rsidR="006108EA">
        <w:t>, although, as expected, the ALVE3 sequence ha</w:t>
      </w:r>
      <w:r w:rsidR="009374DA">
        <w:t>d</w:t>
      </w:r>
      <w:r w:rsidR="006108EA">
        <w:t xml:space="preserve"> no </w:t>
      </w:r>
      <w:r w:rsidR="006108EA">
        <w:rPr>
          <w:i/>
        </w:rPr>
        <w:t>reverse transcriptase</w:t>
      </w:r>
      <w:r w:rsidR="006108EA">
        <w:t xml:space="preserve"> domain.</w:t>
      </w:r>
      <w:r w:rsidR="009374DA">
        <w:t xml:space="preserve"> </w:t>
      </w:r>
    </w:p>
    <w:p w14:paraId="1EFA3DFB" w14:textId="179A68AC" w:rsidR="008140A1" w:rsidRPr="008140A1" w:rsidRDefault="008140A1" w:rsidP="008140A1">
      <w:pPr>
        <w:pStyle w:val="Caption"/>
      </w:pPr>
      <w:bookmarkStart w:id="513" w:name="_Ref479741893"/>
      <w:bookmarkStart w:id="514" w:name="_Toc486786335"/>
      <w:r>
        <w:t xml:space="preserve">Table </w:t>
      </w:r>
      <w:fldSimple w:instr=" STYLEREF 1 \s " w:fldLock="1">
        <w:r w:rsidR="002C549C">
          <w:rPr>
            <w:noProof/>
          </w:rPr>
          <w:t>6</w:t>
        </w:r>
      </w:fldSimple>
      <w:r w:rsidR="001167C6">
        <w:t>.</w:t>
      </w:r>
      <w:fldSimple w:instr=" SEQ Table \* ARABIC \s 1 " w:fldLock="1">
        <w:r w:rsidR="002C549C">
          <w:rPr>
            <w:noProof/>
          </w:rPr>
          <w:t>12</w:t>
        </w:r>
      </w:fldSimple>
      <w:bookmarkEnd w:id="513"/>
      <w:r>
        <w:t xml:space="preserve"> Key features of the fifteen sequenced ALVEs</w:t>
      </w:r>
      <w:bookmarkEnd w:id="514"/>
    </w:p>
    <w:tbl>
      <w:tblPr>
        <w:tblStyle w:val="TableGrid"/>
        <w:tblW w:w="75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275"/>
        <w:gridCol w:w="1418"/>
        <w:gridCol w:w="1559"/>
        <w:gridCol w:w="1701"/>
      </w:tblGrid>
      <w:tr w:rsidR="008140A1" w14:paraId="1E37ACF3" w14:textId="77777777" w:rsidTr="008140A1">
        <w:trPr>
          <w:trHeight w:val="515"/>
          <w:jc w:val="center"/>
        </w:trPr>
        <w:tc>
          <w:tcPr>
            <w:tcW w:w="1560" w:type="dxa"/>
            <w:tcBorders>
              <w:top w:val="single" w:sz="4" w:space="0" w:color="auto"/>
              <w:bottom w:val="single" w:sz="4" w:space="0" w:color="auto"/>
            </w:tcBorders>
            <w:vAlign w:val="center"/>
          </w:tcPr>
          <w:p w14:paraId="4D5C0832" w14:textId="003835D9" w:rsidR="008140A1" w:rsidRDefault="008140A1" w:rsidP="008140A1">
            <w:pPr>
              <w:pStyle w:val="Tablecontent"/>
            </w:pPr>
            <w:r>
              <w:t>ALVE name</w:t>
            </w:r>
          </w:p>
        </w:tc>
        <w:tc>
          <w:tcPr>
            <w:tcW w:w="1275" w:type="dxa"/>
            <w:tcBorders>
              <w:top w:val="single" w:sz="4" w:space="0" w:color="auto"/>
              <w:bottom w:val="single" w:sz="4" w:space="0" w:color="auto"/>
            </w:tcBorders>
            <w:vAlign w:val="center"/>
          </w:tcPr>
          <w:p w14:paraId="5EB34373" w14:textId="11179956" w:rsidR="008140A1" w:rsidRDefault="008140A1" w:rsidP="008140A1">
            <w:pPr>
              <w:pStyle w:val="Tablecontent"/>
              <w:jc w:val="center"/>
            </w:pPr>
            <w:r>
              <w:t>Length (bp)</w:t>
            </w:r>
          </w:p>
        </w:tc>
        <w:tc>
          <w:tcPr>
            <w:tcW w:w="1418" w:type="dxa"/>
            <w:tcBorders>
              <w:top w:val="single" w:sz="4" w:space="0" w:color="auto"/>
              <w:bottom w:val="single" w:sz="4" w:space="0" w:color="auto"/>
            </w:tcBorders>
            <w:vAlign w:val="center"/>
          </w:tcPr>
          <w:p w14:paraId="42C8990B" w14:textId="7B81C65B" w:rsidR="008140A1" w:rsidRDefault="008140A1" w:rsidP="008140A1">
            <w:pPr>
              <w:pStyle w:val="Tablecontent"/>
              <w:jc w:val="center"/>
            </w:pPr>
            <w:r>
              <w:t>Orientation</w:t>
            </w:r>
          </w:p>
        </w:tc>
        <w:tc>
          <w:tcPr>
            <w:tcW w:w="1559" w:type="dxa"/>
            <w:tcBorders>
              <w:top w:val="single" w:sz="4" w:space="0" w:color="auto"/>
              <w:bottom w:val="single" w:sz="4" w:space="0" w:color="auto"/>
            </w:tcBorders>
            <w:vAlign w:val="center"/>
          </w:tcPr>
          <w:p w14:paraId="560375C5" w14:textId="02B68D9D" w:rsidR="008140A1" w:rsidRDefault="008140A1" w:rsidP="008140A1">
            <w:pPr>
              <w:pStyle w:val="Tablecontent"/>
            </w:pPr>
            <w:r>
              <w:t>Structure</w:t>
            </w:r>
          </w:p>
        </w:tc>
        <w:tc>
          <w:tcPr>
            <w:tcW w:w="1701" w:type="dxa"/>
            <w:tcBorders>
              <w:top w:val="single" w:sz="4" w:space="0" w:color="auto"/>
              <w:bottom w:val="single" w:sz="4" w:space="0" w:color="auto"/>
            </w:tcBorders>
            <w:vAlign w:val="center"/>
          </w:tcPr>
          <w:p w14:paraId="1E2F7217" w14:textId="2630726E" w:rsidR="008140A1" w:rsidRDefault="008140A1" w:rsidP="008140A1">
            <w:pPr>
              <w:pStyle w:val="Tablecontent"/>
              <w:jc w:val="center"/>
            </w:pPr>
            <w:r>
              <w:t>LTR Identity (%)</w:t>
            </w:r>
          </w:p>
        </w:tc>
      </w:tr>
      <w:tr w:rsidR="008140A1" w14:paraId="7AD4079F" w14:textId="77777777" w:rsidTr="008140A1">
        <w:trPr>
          <w:jc w:val="center"/>
        </w:trPr>
        <w:tc>
          <w:tcPr>
            <w:tcW w:w="1560" w:type="dxa"/>
            <w:tcBorders>
              <w:top w:val="single" w:sz="4" w:space="0" w:color="auto"/>
            </w:tcBorders>
          </w:tcPr>
          <w:p w14:paraId="58F2A97D" w14:textId="0BAE6863" w:rsidR="008140A1" w:rsidRDefault="008140A1" w:rsidP="008140A1">
            <w:pPr>
              <w:pStyle w:val="Tablecontent"/>
            </w:pPr>
            <w:r w:rsidRPr="00CD2ABE">
              <w:t>ALVE1</w:t>
            </w:r>
          </w:p>
        </w:tc>
        <w:tc>
          <w:tcPr>
            <w:tcW w:w="1275" w:type="dxa"/>
            <w:tcBorders>
              <w:top w:val="single" w:sz="4" w:space="0" w:color="auto"/>
            </w:tcBorders>
          </w:tcPr>
          <w:p w14:paraId="705CF7A0" w14:textId="30F16532" w:rsidR="008140A1" w:rsidRDefault="008140A1" w:rsidP="008140A1">
            <w:pPr>
              <w:pStyle w:val="Tablecontent"/>
              <w:jc w:val="center"/>
            </w:pPr>
            <w:r w:rsidRPr="00CD2ABE">
              <w:t>7</w:t>
            </w:r>
            <w:r>
              <w:t>,</w:t>
            </w:r>
            <w:r w:rsidRPr="00CD2ABE">
              <w:t>530</w:t>
            </w:r>
          </w:p>
        </w:tc>
        <w:tc>
          <w:tcPr>
            <w:tcW w:w="1418" w:type="dxa"/>
            <w:tcBorders>
              <w:top w:val="single" w:sz="4" w:space="0" w:color="auto"/>
            </w:tcBorders>
          </w:tcPr>
          <w:p w14:paraId="42DD68A7" w14:textId="1190C933" w:rsidR="008140A1" w:rsidRDefault="008140A1" w:rsidP="008140A1">
            <w:pPr>
              <w:pStyle w:val="Tablecontent"/>
              <w:jc w:val="center"/>
            </w:pPr>
            <w:r w:rsidRPr="00CD2ABE">
              <w:t>-</w:t>
            </w:r>
          </w:p>
        </w:tc>
        <w:tc>
          <w:tcPr>
            <w:tcW w:w="1559" w:type="dxa"/>
            <w:tcBorders>
              <w:top w:val="single" w:sz="4" w:space="0" w:color="auto"/>
            </w:tcBorders>
            <w:vAlign w:val="center"/>
          </w:tcPr>
          <w:p w14:paraId="26AF9090" w14:textId="7A8365C4" w:rsidR="008140A1" w:rsidRDefault="008140A1" w:rsidP="008140A1">
            <w:pPr>
              <w:pStyle w:val="Tablecontent"/>
            </w:pPr>
            <w:r w:rsidRPr="00CD2ABE">
              <w:t>Intact</w:t>
            </w:r>
          </w:p>
        </w:tc>
        <w:tc>
          <w:tcPr>
            <w:tcW w:w="1701" w:type="dxa"/>
            <w:tcBorders>
              <w:top w:val="single" w:sz="4" w:space="0" w:color="auto"/>
            </w:tcBorders>
          </w:tcPr>
          <w:p w14:paraId="39949F73" w14:textId="1DE411E8" w:rsidR="008140A1" w:rsidRDefault="008140A1" w:rsidP="008140A1">
            <w:pPr>
              <w:pStyle w:val="Tablecontent"/>
              <w:jc w:val="center"/>
            </w:pPr>
            <w:r w:rsidRPr="00CD2ABE">
              <w:t>100</w:t>
            </w:r>
          </w:p>
        </w:tc>
      </w:tr>
      <w:tr w:rsidR="008140A1" w14:paraId="7597CC1B" w14:textId="77777777" w:rsidTr="008140A1">
        <w:trPr>
          <w:jc w:val="center"/>
        </w:trPr>
        <w:tc>
          <w:tcPr>
            <w:tcW w:w="1560" w:type="dxa"/>
          </w:tcPr>
          <w:p w14:paraId="333554ED" w14:textId="518FB4F1" w:rsidR="008140A1" w:rsidRDefault="008140A1" w:rsidP="008140A1">
            <w:pPr>
              <w:pStyle w:val="Tablecontent"/>
            </w:pPr>
            <w:r w:rsidRPr="00CD2ABE">
              <w:t>ALVE3</w:t>
            </w:r>
          </w:p>
        </w:tc>
        <w:tc>
          <w:tcPr>
            <w:tcW w:w="1275" w:type="dxa"/>
          </w:tcPr>
          <w:p w14:paraId="2007CCCF" w14:textId="3E800263" w:rsidR="008140A1" w:rsidRDefault="008140A1" w:rsidP="008140A1">
            <w:pPr>
              <w:pStyle w:val="Tablecontent"/>
              <w:jc w:val="center"/>
            </w:pPr>
            <w:r w:rsidRPr="00CD2ABE">
              <w:t>5</w:t>
            </w:r>
            <w:r>
              <w:t>,</w:t>
            </w:r>
            <w:r w:rsidRPr="00CD2ABE">
              <w:t>848</w:t>
            </w:r>
          </w:p>
        </w:tc>
        <w:tc>
          <w:tcPr>
            <w:tcW w:w="1418" w:type="dxa"/>
          </w:tcPr>
          <w:p w14:paraId="226E4FAC" w14:textId="2E677B94" w:rsidR="008140A1" w:rsidRDefault="008140A1" w:rsidP="008140A1">
            <w:pPr>
              <w:pStyle w:val="Tablecontent"/>
              <w:jc w:val="center"/>
            </w:pPr>
            <w:r w:rsidRPr="00CD2ABE">
              <w:t>+</w:t>
            </w:r>
          </w:p>
        </w:tc>
        <w:tc>
          <w:tcPr>
            <w:tcW w:w="1559" w:type="dxa"/>
            <w:vAlign w:val="center"/>
          </w:tcPr>
          <w:p w14:paraId="7FEB5184" w14:textId="7E002D89" w:rsidR="008140A1" w:rsidRDefault="008140A1" w:rsidP="008140A1">
            <w:pPr>
              <w:pStyle w:val="Tablecontent"/>
            </w:pPr>
            <w:r>
              <w:t>Intact, no</w:t>
            </w:r>
            <w:r w:rsidRPr="00CD2ABE">
              <w:t xml:space="preserve"> RT</w:t>
            </w:r>
          </w:p>
        </w:tc>
        <w:tc>
          <w:tcPr>
            <w:tcW w:w="1701" w:type="dxa"/>
          </w:tcPr>
          <w:p w14:paraId="6648EA54" w14:textId="42D996C9" w:rsidR="008140A1" w:rsidRDefault="008140A1" w:rsidP="008140A1">
            <w:pPr>
              <w:pStyle w:val="Tablecontent"/>
              <w:jc w:val="center"/>
            </w:pPr>
            <w:r w:rsidRPr="00CD2ABE">
              <w:t>100</w:t>
            </w:r>
          </w:p>
        </w:tc>
      </w:tr>
      <w:tr w:rsidR="008140A1" w14:paraId="03098995" w14:textId="77777777" w:rsidTr="008140A1">
        <w:trPr>
          <w:jc w:val="center"/>
        </w:trPr>
        <w:tc>
          <w:tcPr>
            <w:tcW w:w="1560" w:type="dxa"/>
          </w:tcPr>
          <w:p w14:paraId="5B7E1594" w14:textId="307A6866" w:rsidR="008140A1" w:rsidRDefault="008140A1" w:rsidP="008140A1">
            <w:pPr>
              <w:pStyle w:val="Tablecontent"/>
            </w:pPr>
            <w:r w:rsidRPr="00CD2ABE">
              <w:t>ALVE9</w:t>
            </w:r>
          </w:p>
        </w:tc>
        <w:tc>
          <w:tcPr>
            <w:tcW w:w="1275" w:type="dxa"/>
          </w:tcPr>
          <w:p w14:paraId="0F0EACA7" w14:textId="31330CA4" w:rsidR="008140A1" w:rsidRDefault="008140A1" w:rsidP="008140A1">
            <w:pPr>
              <w:pStyle w:val="Tablecontent"/>
              <w:jc w:val="center"/>
            </w:pPr>
            <w:r w:rsidRPr="00CD2ABE">
              <w:t>5</w:t>
            </w:r>
            <w:r>
              <w:t>,</w:t>
            </w:r>
            <w:r w:rsidRPr="00CD2ABE">
              <w:t>077</w:t>
            </w:r>
          </w:p>
        </w:tc>
        <w:tc>
          <w:tcPr>
            <w:tcW w:w="1418" w:type="dxa"/>
          </w:tcPr>
          <w:p w14:paraId="195B3C2B" w14:textId="26CA76B6" w:rsidR="008140A1" w:rsidRDefault="008140A1" w:rsidP="008140A1">
            <w:pPr>
              <w:pStyle w:val="Tablecontent"/>
              <w:jc w:val="center"/>
            </w:pPr>
            <w:r w:rsidRPr="00CD2ABE">
              <w:t>-</w:t>
            </w:r>
          </w:p>
        </w:tc>
        <w:tc>
          <w:tcPr>
            <w:tcW w:w="1559" w:type="dxa"/>
            <w:vAlign w:val="center"/>
          </w:tcPr>
          <w:p w14:paraId="6F7157B9" w14:textId="73DAF84B" w:rsidR="008140A1" w:rsidRDefault="008140A1" w:rsidP="008140A1">
            <w:pPr>
              <w:pStyle w:val="Tablecontent"/>
            </w:pPr>
            <w:r w:rsidRPr="008140A1">
              <w:rPr>
                <w:i/>
              </w:rPr>
              <w:t>pol-env</w:t>
            </w:r>
            <w:r w:rsidRPr="00CD2ABE">
              <w:t>-3</w:t>
            </w:r>
            <w:r>
              <w:t>’</w:t>
            </w:r>
            <w:r w:rsidRPr="00CD2ABE">
              <w:t>LTR</w:t>
            </w:r>
          </w:p>
        </w:tc>
        <w:tc>
          <w:tcPr>
            <w:tcW w:w="1701" w:type="dxa"/>
          </w:tcPr>
          <w:p w14:paraId="41024CFF" w14:textId="685A1F1B" w:rsidR="008140A1" w:rsidRDefault="008140A1" w:rsidP="008140A1">
            <w:pPr>
              <w:pStyle w:val="Tablecontent"/>
              <w:jc w:val="center"/>
            </w:pPr>
            <w:r>
              <w:t>-</w:t>
            </w:r>
          </w:p>
        </w:tc>
      </w:tr>
      <w:tr w:rsidR="008140A1" w14:paraId="09720B6D" w14:textId="77777777" w:rsidTr="008140A1">
        <w:trPr>
          <w:jc w:val="center"/>
        </w:trPr>
        <w:tc>
          <w:tcPr>
            <w:tcW w:w="1560" w:type="dxa"/>
          </w:tcPr>
          <w:p w14:paraId="1FEFC02B" w14:textId="3E751DBC" w:rsidR="008140A1" w:rsidRDefault="008140A1" w:rsidP="008140A1">
            <w:pPr>
              <w:pStyle w:val="Tablecontent"/>
            </w:pPr>
            <w:r w:rsidRPr="00CD2ABE">
              <w:t>ALVE15</w:t>
            </w:r>
          </w:p>
        </w:tc>
        <w:tc>
          <w:tcPr>
            <w:tcW w:w="1275" w:type="dxa"/>
          </w:tcPr>
          <w:p w14:paraId="4BABFD73" w14:textId="46C81CB4" w:rsidR="008140A1" w:rsidRDefault="008140A1" w:rsidP="008140A1">
            <w:pPr>
              <w:pStyle w:val="Tablecontent"/>
              <w:jc w:val="center"/>
            </w:pPr>
            <w:r w:rsidRPr="00CD2ABE">
              <w:t>280</w:t>
            </w:r>
          </w:p>
        </w:tc>
        <w:tc>
          <w:tcPr>
            <w:tcW w:w="1418" w:type="dxa"/>
          </w:tcPr>
          <w:p w14:paraId="541A3398" w14:textId="31D8734C" w:rsidR="008140A1" w:rsidRDefault="008140A1" w:rsidP="008140A1">
            <w:pPr>
              <w:pStyle w:val="Tablecontent"/>
              <w:jc w:val="center"/>
            </w:pPr>
            <w:r w:rsidRPr="00CD2ABE">
              <w:t>-</w:t>
            </w:r>
          </w:p>
        </w:tc>
        <w:tc>
          <w:tcPr>
            <w:tcW w:w="1559" w:type="dxa"/>
            <w:vAlign w:val="center"/>
          </w:tcPr>
          <w:p w14:paraId="199648DE" w14:textId="6198130F" w:rsidR="008140A1" w:rsidRDefault="008140A1" w:rsidP="008140A1">
            <w:pPr>
              <w:pStyle w:val="Tablecontent"/>
            </w:pPr>
            <w:r>
              <w:t>Solo LTR</w:t>
            </w:r>
          </w:p>
        </w:tc>
        <w:tc>
          <w:tcPr>
            <w:tcW w:w="1701" w:type="dxa"/>
          </w:tcPr>
          <w:p w14:paraId="20270EBA" w14:textId="23C94A54" w:rsidR="008140A1" w:rsidRDefault="008140A1" w:rsidP="008140A1">
            <w:pPr>
              <w:pStyle w:val="Tablecontent"/>
              <w:jc w:val="center"/>
            </w:pPr>
            <w:r>
              <w:t>-</w:t>
            </w:r>
          </w:p>
        </w:tc>
      </w:tr>
      <w:tr w:rsidR="008140A1" w14:paraId="096CE09E" w14:textId="77777777" w:rsidTr="008140A1">
        <w:trPr>
          <w:jc w:val="center"/>
        </w:trPr>
        <w:tc>
          <w:tcPr>
            <w:tcW w:w="1560" w:type="dxa"/>
          </w:tcPr>
          <w:p w14:paraId="772D0047" w14:textId="469AC4E3" w:rsidR="008140A1" w:rsidRDefault="008140A1" w:rsidP="008140A1">
            <w:pPr>
              <w:pStyle w:val="Tablecontent"/>
            </w:pPr>
            <w:r w:rsidRPr="00CD2ABE">
              <w:t>ALVE21</w:t>
            </w:r>
          </w:p>
        </w:tc>
        <w:tc>
          <w:tcPr>
            <w:tcW w:w="1275" w:type="dxa"/>
          </w:tcPr>
          <w:p w14:paraId="1470A007" w14:textId="0B7A9734" w:rsidR="008140A1" w:rsidRPr="00A062CC" w:rsidRDefault="008140A1" w:rsidP="008140A1">
            <w:pPr>
              <w:pStyle w:val="Tablecontent"/>
              <w:jc w:val="center"/>
            </w:pPr>
            <w:r w:rsidRPr="00CD2ABE">
              <w:t>7</w:t>
            </w:r>
            <w:r>
              <w:t>,</w:t>
            </w:r>
            <w:r w:rsidRPr="00CD2ABE">
              <w:t>529</w:t>
            </w:r>
          </w:p>
        </w:tc>
        <w:tc>
          <w:tcPr>
            <w:tcW w:w="1418" w:type="dxa"/>
          </w:tcPr>
          <w:p w14:paraId="2DF19B31" w14:textId="5C961FAA" w:rsidR="008140A1" w:rsidRDefault="008140A1" w:rsidP="008140A1">
            <w:pPr>
              <w:pStyle w:val="Tablecontent"/>
              <w:jc w:val="center"/>
            </w:pPr>
            <w:r w:rsidRPr="00CD2ABE">
              <w:t>-</w:t>
            </w:r>
          </w:p>
        </w:tc>
        <w:tc>
          <w:tcPr>
            <w:tcW w:w="1559" w:type="dxa"/>
            <w:vAlign w:val="center"/>
          </w:tcPr>
          <w:p w14:paraId="12BABAC5" w14:textId="0649A2BD" w:rsidR="008140A1" w:rsidRDefault="008140A1" w:rsidP="008140A1">
            <w:pPr>
              <w:pStyle w:val="Tablecontent"/>
            </w:pPr>
            <w:r w:rsidRPr="00CD2ABE">
              <w:t>Intact</w:t>
            </w:r>
          </w:p>
        </w:tc>
        <w:tc>
          <w:tcPr>
            <w:tcW w:w="1701" w:type="dxa"/>
          </w:tcPr>
          <w:p w14:paraId="3FB7E650" w14:textId="51F4E84D" w:rsidR="008140A1" w:rsidRPr="00A062CC" w:rsidRDefault="008140A1" w:rsidP="008140A1">
            <w:pPr>
              <w:pStyle w:val="Tablecontent"/>
              <w:jc w:val="center"/>
            </w:pPr>
            <w:r w:rsidRPr="00CD2ABE">
              <w:t>100</w:t>
            </w:r>
          </w:p>
        </w:tc>
      </w:tr>
      <w:tr w:rsidR="008140A1" w14:paraId="42CBD65B" w14:textId="77777777" w:rsidTr="008140A1">
        <w:trPr>
          <w:jc w:val="center"/>
        </w:trPr>
        <w:tc>
          <w:tcPr>
            <w:tcW w:w="1560" w:type="dxa"/>
          </w:tcPr>
          <w:p w14:paraId="30F1D4BB" w14:textId="3B80C24A" w:rsidR="008140A1" w:rsidRDefault="008140A1" w:rsidP="008140A1">
            <w:pPr>
              <w:pStyle w:val="Tablecontent"/>
            </w:pPr>
            <w:r w:rsidRPr="00CD2ABE">
              <w:t>ALVEB5</w:t>
            </w:r>
          </w:p>
        </w:tc>
        <w:tc>
          <w:tcPr>
            <w:tcW w:w="1275" w:type="dxa"/>
          </w:tcPr>
          <w:p w14:paraId="487AE0C6" w14:textId="23A1917D" w:rsidR="008140A1" w:rsidRPr="00A062CC" w:rsidRDefault="008140A1" w:rsidP="008140A1">
            <w:pPr>
              <w:pStyle w:val="Tablecontent"/>
              <w:jc w:val="center"/>
            </w:pPr>
            <w:r w:rsidRPr="00CD2ABE">
              <w:t>7</w:t>
            </w:r>
            <w:r>
              <w:t>,</w:t>
            </w:r>
            <w:r w:rsidRPr="00CD2ABE">
              <w:t>530</w:t>
            </w:r>
          </w:p>
        </w:tc>
        <w:tc>
          <w:tcPr>
            <w:tcW w:w="1418" w:type="dxa"/>
          </w:tcPr>
          <w:p w14:paraId="0633B8A7" w14:textId="07681A64" w:rsidR="008140A1" w:rsidRDefault="008140A1" w:rsidP="008140A1">
            <w:pPr>
              <w:pStyle w:val="Tablecontent"/>
              <w:jc w:val="center"/>
            </w:pPr>
            <w:r w:rsidRPr="00CD2ABE">
              <w:t>+</w:t>
            </w:r>
          </w:p>
        </w:tc>
        <w:tc>
          <w:tcPr>
            <w:tcW w:w="1559" w:type="dxa"/>
            <w:vAlign w:val="center"/>
          </w:tcPr>
          <w:p w14:paraId="158C825E" w14:textId="3FC9137E" w:rsidR="008140A1" w:rsidRDefault="008140A1" w:rsidP="008140A1">
            <w:pPr>
              <w:pStyle w:val="Tablecontent"/>
            </w:pPr>
            <w:r w:rsidRPr="00CD2ABE">
              <w:t>Intact</w:t>
            </w:r>
          </w:p>
        </w:tc>
        <w:tc>
          <w:tcPr>
            <w:tcW w:w="1701" w:type="dxa"/>
          </w:tcPr>
          <w:p w14:paraId="2D0DF9C7" w14:textId="1FFDA636" w:rsidR="008140A1" w:rsidRPr="00A062CC" w:rsidRDefault="008140A1" w:rsidP="008140A1">
            <w:pPr>
              <w:pStyle w:val="Tablecontent"/>
              <w:jc w:val="center"/>
            </w:pPr>
            <w:r w:rsidRPr="00CD2ABE">
              <w:t>99.6</w:t>
            </w:r>
          </w:p>
        </w:tc>
      </w:tr>
      <w:tr w:rsidR="008140A1" w14:paraId="0ED80BFC" w14:textId="77777777" w:rsidTr="008140A1">
        <w:trPr>
          <w:jc w:val="center"/>
        </w:trPr>
        <w:tc>
          <w:tcPr>
            <w:tcW w:w="1560" w:type="dxa"/>
          </w:tcPr>
          <w:p w14:paraId="20EB4697" w14:textId="60DE2C7F" w:rsidR="008140A1" w:rsidRDefault="008140A1" w:rsidP="008140A1">
            <w:pPr>
              <w:pStyle w:val="Tablecontent"/>
            </w:pPr>
            <w:r w:rsidRPr="00CD2ABE">
              <w:t>ALVE-NSAC1</w:t>
            </w:r>
          </w:p>
        </w:tc>
        <w:tc>
          <w:tcPr>
            <w:tcW w:w="1275" w:type="dxa"/>
          </w:tcPr>
          <w:p w14:paraId="7CFFC70C" w14:textId="3BB319DF" w:rsidR="008140A1" w:rsidRPr="00A062CC" w:rsidRDefault="008140A1" w:rsidP="008140A1">
            <w:pPr>
              <w:pStyle w:val="Tablecontent"/>
              <w:jc w:val="center"/>
            </w:pPr>
            <w:r w:rsidRPr="00CD2ABE">
              <w:t>4</w:t>
            </w:r>
            <w:r>
              <w:t>,</w:t>
            </w:r>
            <w:r w:rsidRPr="00CD2ABE">
              <w:t>838</w:t>
            </w:r>
          </w:p>
        </w:tc>
        <w:tc>
          <w:tcPr>
            <w:tcW w:w="1418" w:type="dxa"/>
          </w:tcPr>
          <w:p w14:paraId="676BE063" w14:textId="1EE21A67" w:rsidR="008140A1" w:rsidRDefault="008140A1" w:rsidP="008140A1">
            <w:pPr>
              <w:pStyle w:val="Tablecontent"/>
              <w:jc w:val="center"/>
            </w:pPr>
            <w:r w:rsidRPr="00CD2ABE">
              <w:t>-</w:t>
            </w:r>
          </w:p>
        </w:tc>
        <w:tc>
          <w:tcPr>
            <w:tcW w:w="1559" w:type="dxa"/>
            <w:vAlign w:val="center"/>
          </w:tcPr>
          <w:p w14:paraId="13B6FAA7" w14:textId="66688015" w:rsidR="008140A1" w:rsidRDefault="008140A1" w:rsidP="008140A1">
            <w:pPr>
              <w:pStyle w:val="Tablecontent"/>
            </w:pPr>
            <w:r w:rsidRPr="008140A1">
              <w:rPr>
                <w:i/>
              </w:rPr>
              <w:t>pol-env</w:t>
            </w:r>
            <w:r w:rsidRPr="00CD2ABE">
              <w:t>-3</w:t>
            </w:r>
            <w:r>
              <w:t>’</w:t>
            </w:r>
            <w:r w:rsidRPr="00CD2ABE">
              <w:t>LTR</w:t>
            </w:r>
          </w:p>
        </w:tc>
        <w:tc>
          <w:tcPr>
            <w:tcW w:w="1701" w:type="dxa"/>
          </w:tcPr>
          <w:p w14:paraId="7B842066" w14:textId="35DF4FDF" w:rsidR="008140A1" w:rsidRPr="00A062CC" w:rsidRDefault="008140A1" w:rsidP="008140A1">
            <w:pPr>
              <w:pStyle w:val="Tablecontent"/>
              <w:jc w:val="center"/>
            </w:pPr>
            <w:r>
              <w:t>-</w:t>
            </w:r>
          </w:p>
        </w:tc>
      </w:tr>
      <w:tr w:rsidR="008140A1" w14:paraId="73C04434" w14:textId="77777777" w:rsidTr="008140A1">
        <w:trPr>
          <w:jc w:val="center"/>
        </w:trPr>
        <w:tc>
          <w:tcPr>
            <w:tcW w:w="1560" w:type="dxa"/>
          </w:tcPr>
          <w:p w14:paraId="1150731B" w14:textId="0B2C80FF" w:rsidR="008140A1" w:rsidRDefault="008140A1" w:rsidP="008140A1">
            <w:pPr>
              <w:pStyle w:val="Tablecontent"/>
            </w:pPr>
            <w:r w:rsidRPr="00CD2ABE">
              <w:t>ALVE-NSAC7</w:t>
            </w:r>
          </w:p>
        </w:tc>
        <w:tc>
          <w:tcPr>
            <w:tcW w:w="1275" w:type="dxa"/>
          </w:tcPr>
          <w:p w14:paraId="565C7AE5" w14:textId="66904E37" w:rsidR="008140A1" w:rsidRDefault="008140A1" w:rsidP="008140A1">
            <w:pPr>
              <w:pStyle w:val="Tablecontent"/>
              <w:jc w:val="center"/>
            </w:pPr>
            <w:r w:rsidRPr="00CD2ABE">
              <w:t>7</w:t>
            </w:r>
            <w:r>
              <w:t>,</w:t>
            </w:r>
            <w:r w:rsidRPr="00CD2ABE">
              <w:t>531</w:t>
            </w:r>
          </w:p>
        </w:tc>
        <w:tc>
          <w:tcPr>
            <w:tcW w:w="1418" w:type="dxa"/>
          </w:tcPr>
          <w:p w14:paraId="0A9748DF" w14:textId="2AC29776" w:rsidR="008140A1" w:rsidRDefault="008140A1" w:rsidP="008140A1">
            <w:pPr>
              <w:pStyle w:val="Tablecontent"/>
              <w:jc w:val="center"/>
            </w:pPr>
            <w:r w:rsidRPr="00CD2ABE">
              <w:t>-</w:t>
            </w:r>
          </w:p>
        </w:tc>
        <w:tc>
          <w:tcPr>
            <w:tcW w:w="1559" w:type="dxa"/>
            <w:vAlign w:val="center"/>
          </w:tcPr>
          <w:p w14:paraId="29E40A80" w14:textId="06394A29" w:rsidR="008140A1" w:rsidRDefault="008140A1" w:rsidP="008140A1">
            <w:pPr>
              <w:pStyle w:val="Tablecontent"/>
            </w:pPr>
            <w:r w:rsidRPr="00CD2ABE">
              <w:t>Intact</w:t>
            </w:r>
          </w:p>
        </w:tc>
        <w:tc>
          <w:tcPr>
            <w:tcW w:w="1701" w:type="dxa"/>
          </w:tcPr>
          <w:p w14:paraId="34E383DA" w14:textId="5EDEB486" w:rsidR="008140A1" w:rsidRDefault="008140A1" w:rsidP="008140A1">
            <w:pPr>
              <w:pStyle w:val="Tablecontent"/>
              <w:jc w:val="center"/>
            </w:pPr>
            <w:r w:rsidRPr="00CD2ABE">
              <w:t>100</w:t>
            </w:r>
          </w:p>
        </w:tc>
      </w:tr>
      <w:tr w:rsidR="008140A1" w14:paraId="620DAF44" w14:textId="77777777" w:rsidTr="008140A1">
        <w:trPr>
          <w:jc w:val="center"/>
        </w:trPr>
        <w:tc>
          <w:tcPr>
            <w:tcW w:w="1560" w:type="dxa"/>
          </w:tcPr>
          <w:p w14:paraId="32056F36" w14:textId="20C06A46" w:rsidR="008140A1" w:rsidRPr="00850E0E" w:rsidRDefault="008140A1" w:rsidP="008140A1">
            <w:pPr>
              <w:pStyle w:val="Tablecontent"/>
            </w:pPr>
            <w:r w:rsidRPr="00CD2ABE">
              <w:t>ALVE-TYR</w:t>
            </w:r>
          </w:p>
        </w:tc>
        <w:tc>
          <w:tcPr>
            <w:tcW w:w="1275" w:type="dxa"/>
          </w:tcPr>
          <w:p w14:paraId="158828E3" w14:textId="6A99981E" w:rsidR="008140A1" w:rsidRPr="00A062CC" w:rsidRDefault="008140A1" w:rsidP="008140A1">
            <w:pPr>
              <w:pStyle w:val="Tablecontent"/>
              <w:jc w:val="center"/>
            </w:pPr>
            <w:r w:rsidRPr="00CD2ABE">
              <w:t>7</w:t>
            </w:r>
            <w:r>
              <w:t>,</w:t>
            </w:r>
            <w:r w:rsidRPr="00CD2ABE">
              <w:t>534</w:t>
            </w:r>
          </w:p>
        </w:tc>
        <w:tc>
          <w:tcPr>
            <w:tcW w:w="1418" w:type="dxa"/>
          </w:tcPr>
          <w:p w14:paraId="0B750466" w14:textId="412DA7A4" w:rsidR="008140A1" w:rsidRDefault="008140A1" w:rsidP="008140A1">
            <w:pPr>
              <w:pStyle w:val="Tablecontent"/>
              <w:jc w:val="center"/>
            </w:pPr>
            <w:r w:rsidRPr="00CD2ABE">
              <w:t>+</w:t>
            </w:r>
          </w:p>
        </w:tc>
        <w:tc>
          <w:tcPr>
            <w:tcW w:w="1559" w:type="dxa"/>
            <w:vAlign w:val="center"/>
          </w:tcPr>
          <w:p w14:paraId="6B80271B" w14:textId="0F85107A" w:rsidR="008140A1" w:rsidRDefault="008140A1" w:rsidP="008140A1">
            <w:pPr>
              <w:pStyle w:val="Tablecontent"/>
            </w:pPr>
            <w:r w:rsidRPr="00CD2ABE">
              <w:t>Intact</w:t>
            </w:r>
          </w:p>
        </w:tc>
        <w:tc>
          <w:tcPr>
            <w:tcW w:w="1701" w:type="dxa"/>
          </w:tcPr>
          <w:p w14:paraId="23953DC5" w14:textId="7ED5E03F" w:rsidR="008140A1" w:rsidRPr="00A062CC" w:rsidRDefault="008140A1" w:rsidP="008140A1">
            <w:pPr>
              <w:pStyle w:val="Tablecontent"/>
              <w:jc w:val="center"/>
            </w:pPr>
            <w:r w:rsidRPr="00CD2ABE">
              <w:t>100</w:t>
            </w:r>
          </w:p>
        </w:tc>
      </w:tr>
      <w:tr w:rsidR="008140A1" w14:paraId="64A33467" w14:textId="77777777" w:rsidTr="008140A1">
        <w:trPr>
          <w:jc w:val="center"/>
        </w:trPr>
        <w:tc>
          <w:tcPr>
            <w:tcW w:w="1560" w:type="dxa"/>
          </w:tcPr>
          <w:p w14:paraId="4209AD6D" w14:textId="6E08DF79" w:rsidR="008140A1" w:rsidRDefault="008140A1" w:rsidP="008140A1">
            <w:pPr>
              <w:pStyle w:val="Tablecontent"/>
            </w:pPr>
            <w:r w:rsidRPr="00CD2ABE">
              <w:t>ALVE_ros001</w:t>
            </w:r>
          </w:p>
        </w:tc>
        <w:tc>
          <w:tcPr>
            <w:tcW w:w="1275" w:type="dxa"/>
          </w:tcPr>
          <w:p w14:paraId="084F13C1" w14:textId="73F6AD06" w:rsidR="008140A1" w:rsidRDefault="008140A1" w:rsidP="008140A1">
            <w:pPr>
              <w:pStyle w:val="Tablecontent"/>
              <w:jc w:val="center"/>
            </w:pPr>
            <w:r w:rsidRPr="00CD2ABE">
              <w:t>7</w:t>
            </w:r>
            <w:r>
              <w:t>,</w:t>
            </w:r>
            <w:r w:rsidRPr="00CD2ABE">
              <w:t>531</w:t>
            </w:r>
          </w:p>
        </w:tc>
        <w:tc>
          <w:tcPr>
            <w:tcW w:w="1418" w:type="dxa"/>
          </w:tcPr>
          <w:p w14:paraId="78EFB570" w14:textId="6519FDE2" w:rsidR="008140A1" w:rsidRDefault="008140A1" w:rsidP="008140A1">
            <w:pPr>
              <w:pStyle w:val="Tablecontent"/>
              <w:jc w:val="center"/>
            </w:pPr>
            <w:r w:rsidRPr="00CD2ABE">
              <w:t>+</w:t>
            </w:r>
          </w:p>
        </w:tc>
        <w:tc>
          <w:tcPr>
            <w:tcW w:w="1559" w:type="dxa"/>
            <w:vAlign w:val="center"/>
          </w:tcPr>
          <w:p w14:paraId="1090B7F8" w14:textId="312DB9BE" w:rsidR="008140A1" w:rsidRDefault="008140A1" w:rsidP="008140A1">
            <w:pPr>
              <w:pStyle w:val="Tablecontent"/>
            </w:pPr>
            <w:r w:rsidRPr="00CD2ABE">
              <w:t>Intact</w:t>
            </w:r>
          </w:p>
        </w:tc>
        <w:tc>
          <w:tcPr>
            <w:tcW w:w="1701" w:type="dxa"/>
          </w:tcPr>
          <w:p w14:paraId="5CB58ED4" w14:textId="423B846A" w:rsidR="008140A1" w:rsidRDefault="008140A1" w:rsidP="008140A1">
            <w:pPr>
              <w:pStyle w:val="Tablecontent"/>
              <w:jc w:val="center"/>
            </w:pPr>
            <w:r w:rsidRPr="00CD2ABE">
              <w:t>100</w:t>
            </w:r>
          </w:p>
        </w:tc>
      </w:tr>
      <w:tr w:rsidR="008140A1" w14:paraId="34991E69" w14:textId="77777777" w:rsidTr="008140A1">
        <w:trPr>
          <w:jc w:val="center"/>
        </w:trPr>
        <w:tc>
          <w:tcPr>
            <w:tcW w:w="1560" w:type="dxa"/>
          </w:tcPr>
          <w:p w14:paraId="641E4ADA" w14:textId="0053C0E9" w:rsidR="008140A1" w:rsidRDefault="008140A1" w:rsidP="008140A1">
            <w:pPr>
              <w:pStyle w:val="Tablecontent"/>
            </w:pPr>
            <w:r w:rsidRPr="00CD2ABE">
              <w:t>ALVE_ros003</w:t>
            </w:r>
          </w:p>
        </w:tc>
        <w:tc>
          <w:tcPr>
            <w:tcW w:w="1275" w:type="dxa"/>
          </w:tcPr>
          <w:p w14:paraId="792A7B90" w14:textId="65864DA6" w:rsidR="008140A1" w:rsidRDefault="008140A1" w:rsidP="008140A1">
            <w:pPr>
              <w:pStyle w:val="Tablecontent"/>
              <w:jc w:val="center"/>
            </w:pPr>
            <w:r w:rsidRPr="00CD2ABE">
              <w:t>7</w:t>
            </w:r>
            <w:r>
              <w:t>,</w:t>
            </w:r>
            <w:r w:rsidRPr="00CD2ABE">
              <w:t>528</w:t>
            </w:r>
          </w:p>
        </w:tc>
        <w:tc>
          <w:tcPr>
            <w:tcW w:w="1418" w:type="dxa"/>
          </w:tcPr>
          <w:p w14:paraId="59EB318A" w14:textId="62EC2197" w:rsidR="008140A1" w:rsidRDefault="008140A1" w:rsidP="008140A1">
            <w:pPr>
              <w:pStyle w:val="Tablecontent"/>
              <w:jc w:val="center"/>
            </w:pPr>
            <w:r w:rsidRPr="00CD2ABE">
              <w:t>+</w:t>
            </w:r>
          </w:p>
        </w:tc>
        <w:tc>
          <w:tcPr>
            <w:tcW w:w="1559" w:type="dxa"/>
            <w:vAlign w:val="center"/>
          </w:tcPr>
          <w:p w14:paraId="4395188D" w14:textId="17D1808A" w:rsidR="008140A1" w:rsidRDefault="008140A1" w:rsidP="008140A1">
            <w:pPr>
              <w:pStyle w:val="Tablecontent"/>
            </w:pPr>
            <w:r w:rsidRPr="00CD2ABE">
              <w:t>Intact</w:t>
            </w:r>
          </w:p>
        </w:tc>
        <w:tc>
          <w:tcPr>
            <w:tcW w:w="1701" w:type="dxa"/>
          </w:tcPr>
          <w:p w14:paraId="6DD33281" w14:textId="5B3CEA13" w:rsidR="008140A1" w:rsidRDefault="008140A1" w:rsidP="008140A1">
            <w:pPr>
              <w:pStyle w:val="Tablecontent"/>
              <w:jc w:val="center"/>
            </w:pPr>
            <w:r w:rsidRPr="00CD2ABE">
              <w:t>100</w:t>
            </w:r>
          </w:p>
        </w:tc>
      </w:tr>
      <w:tr w:rsidR="008140A1" w14:paraId="1BE0CA7D" w14:textId="77777777" w:rsidTr="008140A1">
        <w:trPr>
          <w:jc w:val="center"/>
        </w:trPr>
        <w:tc>
          <w:tcPr>
            <w:tcW w:w="1560" w:type="dxa"/>
          </w:tcPr>
          <w:p w14:paraId="71306F05" w14:textId="4AECC0BB" w:rsidR="008140A1" w:rsidRDefault="008140A1" w:rsidP="008140A1">
            <w:pPr>
              <w:pStyle w:val="Tablecontent"/>
            </w:pPr>
            <w:r w:rsidRPr="00CD2ABE">
              <w:t>ALVE_ros004</w:t>
            </w:r>
          </w:p>
        </w:tc>
        <w:tc>
          <w:tcPr>
            <w:tcW w:w="1275" w:type="dxa"/>
          </w:tcPr>
          <w:p w14:paraId="6A1FFA97" w14:textId="44C4661D" w:rsidR="008140A1" w:rsidRPr="00A062CC" w:rsidRDefault="008140A1" w:rsidP="008140A1">
            <w:pPr>
              <w:pStyle w:val="Tablecontent"/>
              <w:jc w:val="center"/>
            </w:pPr>
            <w:r w:rsidRPr="00CD2ABE">
              <w:t>7</w:t>
            </w:r>
            <w:r>
              <w:t>,</w:t>
            </w:r>
            <w:r w:rsidRPr="00CD2ABE">
              <w:t>530</w:t>
            </w:r>
          </w:p>
        </w:tc>
        <w:tc>
          <w:tcPr>
            <w:tcW w:w="1418" w:type="dxa"/>
          </w:tcPr>
          <w:p w14:paraId="3B635016" w14:textId="66E2EA8F" w:rsidR="008140A1" w:rsidRDefault="008140A1" w:rsidP="008140A1">
            <w:pPr>
              <w:pStyle w:val="Tablecontent"/>
              <w:jc w:val="center"/>
            </w:pPr>
            <w:r w:rsidRPr="00CD2ABE">
              <w:t>+</w:t>
            </w:r>
          </w:p>
        </w:tc>
        <w:tc>
          <w:tcPr>
            <w:tcW w:w="1559" w:type="dxa"/>
            <w:vAlign w:val="center"/>
          </w:tcPr>
          <w:p w14:paraId="097780C2" w14:textId="2A4D53D5" w:rsidR="008140A1" w:rsidRDefault="008140A1" w:rsidP="008140A1">
            <w:pPr>
              <w:pStyle w:val="Tablecontent"/>
            </w:pPr>
            <w:r w:rsidRPr="00CD2ABE">
              <w:t>Intact</w:t>
            </w:r>
          </w:p>
        </w:tc>
        <w:tc>
          <w:tcPr>
            <w:tcW w:w="1701" w:type="dxa"/>
          </w:tcPr>
          <w:p w14:paraId="67DD62B9" w14:textId="7395CAB9" w:rsidR="008140A1" w:rsidRPr="00A062CC" w:rsidRDefault="008140A1" w:rsidP="008140A1">
            <w:pPr>
              <w:pStyle w:val="Tablecontent"/>
              <w:jc w:val="center"/>
            </w:pPr>
            <w:r w:rsidRPr="00CD2ABE">
              <w:t>100</w:t>
            </w:r>
          </w:p>
        </w:tc>
      </w:tr>
      <w:tr w:rsidR="008140A1" w14:paraId="38C2FD67" w14:textId="77777777" w:rsidTr="008140A1">
        <w:trPr>
          <w:jc w:val="center"/>
        </w:trPr>
        <w:tc>
          <w:tcPr>
            <w:tcW w:w="1560" w:type="dxa"/>
          </w:tcPr>
          <w:p w14:paraId="19C4E6B1" w14:textId="548F0BD3" w:rsidR="008140A1" w:rsidRDefault="008140A1" w:rsidP="008140A1">
            <w:pPr>
              <w:pStyle w:val="Tablecontent"/>
            </w:pPr>
            <w:r w:rsidRPr="00CD2ABE">
              <w:t>ALVE_ros005</w:t>
            </w:r>
          </w:p>
        </w:tc>
        <w:tc>
          <w:tcPr>
            <w:tcW w:w="1275" w:type="dxa"/>
          </w:tcPr>
          <w:p w14:paraId="31D2E081" w14:textId="0EC577CB" w:rsidR="008140A1" w:rsidRPr="00A062CC" w:rsidRDefault="008140A1" w:rsidP="008140A1">
            <w:pPr>
              <w:pStyle w:val="Tablecontent"/>
              <w:jc w:val="center"/>
            </w:pPr>
            <w:r w:rsidRPr="00CD2ABE">
              <w:t>280</w:t>
            </w:r>
          </w:p>
        </w:tc>
        <w:tc>
          <w:tcPr>
            <w:tcW w:w="1418" w:type="dxa"/>
          </w:tcPr>
          <w:p w14:paraId="7A104CD9" w14:textId="48916DEE" w:rsidR="008140A1" w:rsidRDefault="008140A1" w:rsidP="008140A1">
            <w:pPr>
              <w:pStyle w:val="Tablecontent"/>
              <w:jc w:val="center"/>
            </w:pPr>
            <w:r w:rsidRPr="00CD2ABE">
              <w:t>-</w:t>
            </w:r>
          </w:p>
        </w:tc>
        <w:tc>
          <w:tcPr>
            <w:tcW w:w="1559" w:type="dxa"/>
            <w:vAlign w:val="center"/>
          </w:tcPr>
          <w:p w14:paraId="578D352E" w14:textId="31BC3600" w:rsidR="008140A1" w:rsidRDefault="008140A1" w:rsidP="008140A1">
            <w:pPr>
              <w:pStyle w:val="Tablecontent"/>
            </w:pPr>
            <w:r>
              <w:t>Solo LTR</w:t>
            </w:r>
          </w:p>
        </w:tc>
        <w:tc>
          <w:tcPr>
            <w:tcW w:w="1701" w:type="dxa"/>
          </w:tcPr>
          <w:p w14:paraId="01FB844B" w14:textId="0D28AF60" w:rsidR="008140A1" w:rsidRPr="00A062CC" w:rsidRDefault="008140A1" w:rsidP="008140A1">
            <w:pPr>
              <w:pStyle w:val="Tablecontent"/>
              <w:jc w:val="center"/>
            </w:pPr>
            <w:r>
              <w:t>-</w:t>
            </w:r>
          </w:p>
        </w:tc>
      </w:tr>
      <w:tr w:rsidR="008140A1" w14:paraId="04018FE3" w14:textId="77777777" w:rsidTr="008140A1">
        <w:trPr>
          <w:jc w:val="center"/>
        </w:trPr>
        <w:tc>
          <w:tcPr>
            <w:tcW w:w="1560" w:type="dxa"/>
          </w:tcPr>
          <w:p w14:paraId="2B802FF0" w14:textId="3BE1EC0B" w:rsidR="008140A1" w:rsidRDefault="008140A1" w:rsidP="008140A1">
            <w:pPr>
              <w:pStyle w:val="Tablecontent"/>
            </w:pPr>
            <w:r w:rsidRPr="00CD2ABE">
              <w:t>ALVE_ros007</w:t>
            </w:r>
          </w:p>
        </w:tc>
        <w:tc>
          <w:tcPr>
            <w:tcW w:w="1275" w:type="dxa"/>
          </w:tcPr>
          <w:p w14:paraId="6FBBC3A8" w14:textId="43D5BE33" w:rsidR="008140A1" w:rsidRPr="00A062CC" w:rsidRDefault="008140A1" w:rsidP="008140A1">
            <w:pPr>
              <w:pStyle w:val="Tablecontent"/>
              <w:jc w:val="center"/>
            </w:pPr>
            <w:r w:rsidRPr="00CD2ABE">
              <w:t>1</w:t>
            </w:r>
            <w:r>
              <w:t>,</w:t>
            </w:r>
            <w:r w:rsidRPr="00CD2ABE">
              <w:t>400</w:t>
            </w:r>
          </w:p>
        </w:tc>
        <w:tc>
          <w:tcPr>
            <w:tcW w:w="1418" w:type="dxa"/>
          </w:tcPr>
          <w:p w14:paraId="4D883BAC" w14:textId="76FB142A" w:rsidR="008140A1" w:rsidRDefault="008140A1" w:rsidP="008140A1">
            <w:pPr>
              <w:pStyle w:val="Tablecontent"/>
              <w:jc w:val="center"/>
            </w:pPr>
            <w:r w:rsidRPr="00CD2ABE">
              <w:t>-</w:t>
            </w:r>
          </w:p>
        </w:tc>
        <w:tc>
          <w:tcPr>
            <w:tcW w:w="1559" w:type="dxa"/>
            <w:vAlign w:val="center"/>
          </w:tcPr>
          <w:p w14:paraId="6845389C" w14:textId="49DA8EF2" w:rsidR="008140A1" w:rsidRDefault="008140A1" w:rsidP="008140A1">
            <w:pPr>
              <w:pStyle w:val="Tablecontent"/>
            </w:pPr>
            <w:r w:rsidRPr="008140A1">
              <w:rPr>
                <w:i/>
              </w:rPr>
              <w:t>env</w:t>
            </w:r>
            <w:r w:rsidRPr="00CD2ABE">
              <w:t>-3</w:t>
            </w:r>
            <w:r>
              <w:t>’</w:t>
            </w:r>
            <w:r w:rsidRPr="00CD2ABE">
              <w:t>LTR</w:t>
            </w:r>
          </w:p>
        </w:tc>
        <w:tc>
          <w:tcPr>
            <w:tcW w:w="1701" w:type="dxa"/>
          </w:tcPr>
          <w:p w14:paraId="114DEA16" w14:textId="0CDDE18A" w:rsidR="008140A1" w:rsidRPr="00A062CC" w:rsidRDefault="008140A1" w:rsidP="008140A1">
            <w:pPr>
              <w:pStyle w:val="Tablecontent"/>
              <w:jc w:val="center"/>
            </w:pPr>
            <w:r>
              <w:t>-</w:t>
            </w:r>
          </w:p>
        </w:tc>
      </w:tr>
      <w:tr w:rsidR="008140A1" w14:paraId="41B17B37" w14:textId="77777777" w:rsidTr="008140A1">
        <w:trPr>
          <w:jc w:val="center"/>
        </w:trPr>
        <w:tc>
          <w:tcPr>
            <w:tcW w:w="1560" w:type="dxa"/>
            <w:tcBorders>
              <w:bottom w:val="single" w:sz="4" w:space="0" w:color="auto"/>
            </w:tcBorders>
          </w:tcPr>
          <w:p w14:paraId="4AF9ADF0" w14:textId="01D5AF1B" w:rsidR="008140A1" w:rsidRDefault="008140A1" w:rsidP="008140A1">
            <w:pPr>
              <w:pStyle w:val="Tablecontent"/>
            </w:pPr>
            <w:r w:rsidRPr="00CD2ABE">
              <w:t>ALVE_ros008</w:t>
            </w:r>
          </w:p>
        </w:tc>
        <w:tc>
          <w:tcPr>
            <w:tcW w:w="1275" w:type="dxa"/>
            <w:tcBorders>
              <w:bottom w:val="single" w:sz="4" w:space="0" w:color="auto"/>
            </w:tcBorders>
          </w:tcPr>
          <w:p w14:paraId="6792AC0C" w14:textId="61065805" w:rsidR="008140A1" w:rsidRDefault="008140A1" w:rsidP="008140A1">
            <w:pPr>
              <w:pStyle w:val="Tablecontent"/>
              <w:jc w:val="center"/>
            </w:pPr>
            <w:r w:rsidRPr="00CD2ABE">
              <w:t>7</w:t>
            </w:r>
            <w:r>
              <w:t>,</w:t>
            </w:r>
            <w:r w:rsidRPr="00CD2ABE">
              <w:t>529</w:t>
            </w:r>
          </w:p>
        </w:tc>
        <w:tc>
          <w:tcPr>
            <w:tcW w:w="1418" w:type="dxa"/>
            <w:tcBorders>
              <w:bottom w:val="single" w:sz="4" w:space="0" w:color="auto"/>
            </w:tcBorders>
          </w:tcPr>
          <w:p w14:paraId="2F43B3D9" w14:textId="2F7DEED5" w:rsidR="008140A1" w:rsidRDefault="008140A1" w:rsidP="008140A1">
            <w:pPr>
              <w:pStyle w:val="Tablecontent"/>
              <w:jc w:val="center"/>
            </w:pPr>
            <w:r w:rsidRPr="00CD2ABE">
              <w:t>+</w:t>
            </w:r>
          </w:p>
        </w:tc>
        <w:tc>
          <w:tcPr>
            <w:tcW w:w="1559" w:type="dxa"/>
            <w:tcBorders>
              <w:bottom w:val="single" w:sz="4" w:space="0" w:color="auto"/>
            </w:tcBorders>
            <w:vAlign w:val="center"/>
          </w:tcPr>
          <w:p w14:paraId="19FDCD19" w14:textId="0D401D66" w:rsidR="008140A1" w:rsidRDefault="008140A1" w:rsidP="008140A1">
            <w:pPr>
              <w:pStyle w:val="Tablecontent"/>
            </w:pPr>
            <w:r w:rsidRPr="00CD2ABE">
              <w:t>Intact</w:t>
            </w:r>
          </w:p>
        </w:tc>
        <w:tc>
          <w:tcPr>
            <w:tcW w:w="1701" w:type="dxa"/>
            <w:tcBorders>
              <w:bottom w:val="single" w:sz="4" w:space="0" w:color="auto"/>
            </w:tcBorders>
          </w:tcPr>
          <w:p w14:paraId="00DF3CBA" w14:textId="6FB4987C" w:rsidR="008140A1" w:rsidRDefault="008140A1" w:rsidP="008140A1">
            <w:pPr>
              <w:pStyle w:val="Tablecontent"/>
              <w:jc w:val="center"/>
            </w:pPr>
            <w:r w:rsidRPr="00CD2ABE">
              <w:t>100</w:t>
            </w:r>
          </w:p>
        </w:tc>
      </w:tr>
    </w:tbl>
    <w:p w14:paraId="051C03D6" w14:textId="77777777" w:rsidR="009374DA" w:rsidRDefault="009374DA" w:rsidP="00391005">
      <w:pPr>
        <w:pStyle w:val="ListParagraph"/>
      </w:pPr>
    </w:p>
    <w:p w14:paraId="1B9F899A" w14:textId="5C9FF92F" w:rsidR="00B06427" w:rsidRDefault="009374DA" w:rsidP="00391005">
      <w:pPr>
        <w:pStyle w:val="ListParagraph"/>
      </w:pPr>
      <w:r>
        <w:t xml:space="preserve">No sequence information was obtained for ALVE-NSAC3 or the novel ALVE_ros002, ALVE_ros006, ALVE_ros009 or ALVE_ros010. Due to the length of </w:t>
      </w:r>
      <w:r w:rsidR="00FE1AB9">
        <w:t>ALVE</w:t>
      </w:r>
      <w:r>
        <w:t xml:space="preserve"> insertions, both PCR amplificatio</w:t>
      </w:r>
      <w:r w:rsidR="000E0E32">
        <w:t>n and sequence cloning were</w:t>
      </w:r>
      <w:r>
        <w:t xml:space="preserve"> difficult. PCR amplification often </w:t>
      </w:r>
      <w:r>
        <w:lastRenderedPageBreak/>
        <w:t xml:space="preserve">resulted in band ‘smears’ on the gel, or </w:t>
      </w:r>
      <w:r w:rsidR="00B06427">
        <w:t xml:space="preserve">the presence of </w:t>
      </w:r>
      <w:r>
        <w:t>multiple</w:t>
      </w:r>
      <w:r w:rsidR="00B06427">
        <w:t>, varying length</w:t>
      </w:r>
      <w:r>
        <w:t xml:space="preserve"> bands for the same assay. Due to this, confirmed and purified insert DNA was never obtained for ALVE_ros006, ALVE_ros009 or ALVE_ros010. The diagnostic PCR assays described in section </w:t>
      </w:r>
      <w:r>
        <w:fldChar w:fldCharType="begin" w:fldLock="1"/>
      </w:r>
      <w:r>
        <w:instrText xml:space="preserve"> REF _Ref479744037 \r \h </w:instrText>
      </w:r>
      <w:r>
        <w:fldChar w:fldCharType="separate"/>
      </w:r>
      <w:r w:rsidR="002C549C">
        <w:t>6.4.2</w:t>
      </w:r>
      <w:r>
        <w:fldChar w:fldCharType="end"/>
      </w:r>
      <w:r w:rsidR="00B06427">
        <w:t xml:space="preserve"> worked as expected for these ALVEs, so further optimisation of the long-range PCR protocol may enable amplification of these sites. Troubleshooting was attempted, but it is possible that </w:t>
      </w:r>
      <w:r w:rsidR="00FE1AB9">
        <w:t>further</w:t>
      </w:r>
      <w:r w:rsidR="00B3592E">
        <w:t xml:space="preserve"> </w:t>
      </w:r>
      <w:r w:rsidR="00B06427">
        <w:t xml:space="preserve">primer redesigns are required, as was successfully completed with ALVE1. </w:t>
      </w:r>
    </w:p>
    <w:p w14:paraId="7B30A50D" w14:textId="2079BECD" w:rsidR="009C6C06" w:rsidRDefault="00B06427" w:rsidP="00391005">
      <w:pPr>
        <w:pStyle w:val="ListParagraph"/>
      </w:pPr>
      <w:r>
        <w:t>Cloning success</w:t>
      </w:r>
      <w:r w:rsidR="009C6C06">
        <w:t xml:space="preserve"> with the intact ALVEs</w:t>
      </w:r>
      <w:r>
        <w:t xml:space="preserve"> was reduced by 96-99 % compared to test runs with the short, solo LTR ALVE15 sequence, even when the cloning vector reaction was extended to 24 hours from the ‘5 minute’ protocol. For both ALVE-NSAC3 and ALVE_ros002, several repeats of t</w:t>
      </w:r>
      <w:r w:rsidR="000E0E32">
        <w:t>he cloning and</w:t>
      </w:r>
      <w:r>
        <w:t xml:space="preserve"> transformation protocol yielded only two to five colonies, and it is</w:t>
      </w:r>
      <w:r w:rsidR="009C6C06">
        <w:t xml:space="preserve"> possible</w:t>
      </w:r>
      <w:r>
        <w:t xml:space="preserve"> that these were contaminants rather than genuinely transformed colonies.</w:t>
      </w:r>
      <w:r w:rsidR="00B3592E">
        <w:t xml:space="preserve"> PCR checks of the colony preparations were ambiguous, but sequencing reactions submitted with multiple internal primers as well as the external primer pair </w:t>
      </w:r>
      <w:r w:rsidR="009C6C06">
        <w:t>produced no sequence</w:t>
      </w:r>
      <w:r w:rsidR="00B3592E">
        <w:t xml:space="preserve">. </w:t>
      </w:r>
      <w:r w:rsidR="009C6C06">
        <w:t xml:space="preserve">Whilst no sequence information was obtained, preliminary PCRs suggested that all </w:t>
      </w:r>
      <w:r w:rsidR="00CE001E">
        <w:t>the non-</w:t>
      </w:r>
      <w:r w:rsidR="009C6C06">
        <w:t xml:space="preserve">sequenced ALVEs were full length. </w:t>
      </w:r>
      <w:r w:rsidR="00103C99">
        <w:t xml:space="preserve">Some support for this prediction comes from the original characterisation of ALVE-NSAC3 as full length </w:t>
      </w:r>
      <w:r w:rsidR="00103C99">
        <w:fldChar w:fldCharType="begin" w:fldLock="1"/>
      </w:r>
      <w:r w:rsidR="00D8021B">
        <w:instrText>ADDIN CSL_CITATION { "citationItems" : [ { "id" : "ITEM-1", "itemData" : { "DOI" : "10.1111/j.1365-2052.2008.01759.x", "ISSN" : "02689146", "author" : [ { "dropping-particle" : "", "family" : "Smith", "given" : "A.", "non-dropping-particle" : "", "parse-names" : false, "suffix" : "" }, { "dropping-particle" : "", "family" : "Benkel", "given" : "B. F.", "non-dropping-particle" : "", "parse-names" : false, "suffix" : "" } ], "container-title" : "Animal Genetics", "id" : "ITEM-1", "issue" : "5", "issued" : { "date-parts" : [ [ "2008" ] ] }, "page" : "574-575", "title" : "A diagnostic assay for the endogenous ALV-type provirus &lt;i&gt;ALVE-NSAC-&lt;/i&gt; 3 of chickens", "type" : "article-journal", "volume" : "39" }, "uris" : [ "http://www.mendeley.com/documents/?uuid=c0969fa1-7c9b-43fd-934c-7a7512a84efb" ] } ], "mendeley" : { "formattedCitation" : "(Smith &amp; Benkel 2008)", "plainTextFormattedCitation" : "(Smith &amp; Benkel 2008)", "previouslyFormattedCitation" : "(Smith &amp; Benkel 2008)" }, "properties" : { "noteIndex" : 0 }, "schema" : "https://github.com/citation-style-language/schema/raw/master/csl-citation.json" }</w:instrText>
      </w:r>
      <w:r w:rsidR="00103C99">
        <w:fldChar w:fldCharType="separate"/>
      </w:r>
      <w:r w:rsidR="00103C99" w:rsidRPr="00103C99">
        <w:rPr>
          <w:noProof/>
        </w:rPr>
        <w:t>(Smith &amp; Benkel 2008)</w:t>
      </w:r>
      <w:r w:rsidR="00103C99">
        <w:fldChar w:fldCharType="end"/>
      </w:r>
      <w:r w:rsidR="00103C99">
        <w:t xml:space="preserve">. </w:t>
      </w:r>
      <w:r w:rsidR="009C6C06">
        <w:t>However,</w:t>
      </w:r>
      <w:r w:rsidR="00103C99">
        <w:t xml:space="preserve"> for the novel insertions</w:t>
      </w:r>
      <w:r w:rsidR="009C6C06">
        <w:t xml:space="preserve"> these are very preliminary suggestions as the PCRs themsel</w:t>
      </w:r>
      <w:r w:rsidR="00103C99">
        <w:t>ves may be part of the problem.</w:t>
      </w:r>
    </w:p>
    <w:p w14:paraId="41377736" w14:textId="5C0FC0BA" w:rsidR="009374DA" w:rsidRDefault="009374DA" w:rsidP="00391005">
      <w:pPr>
        <w:pStyle w:val="ListParagraph"/>
      </w:pPr>
    </w:p>
    <w:p w14:paraId="1BEBCFA5" w14:textId="2AA54E66" w:rsidR="00E31A2C" w:rsidRPr="00E31A2C" w:rsidRDefault="00E31A2C" w:rsidP="00E31A2C">
      <w:pPr>
        <w:pStyle w:val="Heading3"/>
      </w:pPr>
      <w:bookmarkStart w:id="515" w:name="_Ref479752367"/>
      <w:bookmarkStart w:id="516" w:name="_Toc485721652"/>
      <w:bookmarkStart w:id="517" w:name="_Toc486787232"/>
      <w:bookmarkStart w:id="518" w:name="_Toc486787380"/>
      <w:r>
        <w:t>Structure of the incomplete ALVE insertions</w:t>
      </w:r>
      <w:bookmarkEnd w:id="515"/>
      <w:bookmarkEnd w:id="516"/>
      <w:bookmarkEnd w:id="517"/>
      <w:bookmarkEnd w:id="518"/>
    </w:p>
    <w:p w14:paraId="28853700" w14:textId="04548DC8" w:rsidR="00E31A2C" w:rsidRDefault="00E31A2C" w:rsidP="00391005">
      <w:pPr>
        <w:pStyle w:val="ListParagraph"/>
      </w:pPr>
      <w:r>
        <w:t>Whilst some of the nine complete</w:t>
      </w:r>
      <w:r w:rsidR="000E0E32">
        <w:t>ly intact ALVEs contain</w:t>
      </w:r>
      <w:r>
        <w:t xml:space="preserve"> mutations which disrupt their protein coding potential (section </w:t>
      </w:r>
      <w:r>
        <w:fldChar w:fldCharType="begin" w:fldLock="1"/>
      </w:r>
      <w:r>
        <w:instrText xml:space="preserve"> REF _Ref479750896 \r \h </w:instrText>
      </w:r>
      <w:r>
        <w:fldChar w:fldCharType="separate"/>
      </w:r>
      <w:r w:rsidR="002C549C">
        <w:t>6.6.3</w:t>
      </w:r>
      <w:r>
        <w:fldChar w:fldCharType="end"/>
      </w:r>
      <w:r>
        <w:t>), all nucleotide domains are covered. The six incomplete ALVEs are described below.</w:t>
      </w:r>
      <w:r w:rsidR="000E0E32">
        <w:t xml:space="preserve"> All ALVE sequences are in Appendix 2: AF09.</w:t>
      </w:r>
    </w:p>
    <w:p w14:paraId="41E91543" w14:textId="30C68364" w:rsidR="00E31A2C" w:rsidRDefault="00E31A2C" w:rsidP="00391005">
      <w:pPr>
        <w:pStyle w:val="ListParagraph"/>
      </w:pPr>
    </w:p>
    <w:p w14:paraId="4AAB54E4" w14:textId="29B7E651" w:rsidR="00E31A2C" w:rsidRDefault="00E31A2C" w:rsidP="004319F3">
      <w:pPr>
        <w:pStyle w:val="Heading4"/>
      </w:pPr>
      <w:r>
        <w:t xml:space="preserve">Solo LTRs: ALVE15 and </w:t>
      </w:r>
      <w:r w:rsidR="004319F3">
        <w:t>ALVE_ros005</w:t>
      </w:r>
    </w:p>
    <w:p w14:paraId="2DF5BD0E" w14:textId="5C78226D" w:rsidR="00E31A2C" w:rsidRDefault="00BC1016" w:rsidP="00391005">
      <w:pPr>
        <w:pStyle w:val="ListParagraph"/>
      </w:pPr>
      <w:r>
        <w:t>Both</w:t>
      </w:r>
      <w:r w:rsidR="007F439A">
        <w:t xml:space="preserve"> ALVE15 and ALVE_ros005 are</w:t>
      </w:r>
      <w:r>
        <w:t xml:space="preserve"> full length</w:t>
      </w:r>
      <w:r w:rsidR="007F439A">
        <w:t>, solo</w:t>
      </w:r>
      <w:r>
        <w:t xml:space="preserve"> LTRs in the negative orientation. ALVE15 is widespread in layers</w:t>
      </w:r>
      <w:r w:rsidR="00691687">
        <w:t xml:space="preserve"> </w:t>
      </w:r>
      <w:r w:rsidR="00691687">
        <w:fldChar w:fldCharType="begin" w:fldLock="1"/>
      </w:r>
      <w:r w:rsidR="009F253E">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00691687">
        <w:fldChar w:fldCharType="separate"/>
      </w:r>
      <w:r w:rsidR="00691687" w:rsidRPr="00691687">
        <w:rPr>
          <w:noProof/>
        </w:rPr>
        <w:t>(Benkel 1998)</w:t>
      </w:r>
      <w:r w:rsidR="00691687">
        <w:fldChar w:fldCharType="end"/>
      </w:r>
      <w:r>
        <w:t xml:space="preserve">, and is within the final intron of </w:t>
      </w:r>
      <w:r w:rsidR="00691687">
        <w:t xml:space="preserve">the </w:t>
      </w:r>
      <w:r>
        <w:t>negative strand GRIK2</w:t>
      </w:r>
      <w:r w:rsidR="000E0E32">
        <w:t xml:space="preserve"> gene</w:t>
      </w:r>
      <w:r>
        <w:t xml:space="preserve">, 800 bp upstream from the final exon. </w:t>
      </w:r>
      <w:r w:rsidR="00691687">
        <w:t xml:space="preserve">Whilst there is no </w:t>
      </w:r>
      <w:r w:rsidR="00691687">
        <w:lastRenderedPageBreak/>
        <w:t>literature supporting</w:t>
      </w:r>
      <w:r>
        <w:t xml:space="preserve"> any impact of ALVE15 on this gene, </w:t>
      </w:r>
      <w:r w:rsidR="00691687">
        <w:t xml:space="preserve">Ensembl predicts two transcripts for GRIK2, the only difference being the presence or absence of the final 26 amino acid exon. However, there is no available </w:t>
      </w:r>
      <w:r w:rsidR="007F439A">
        <w:t xml:space="preserve">data </w:t>
      </w:r>
      <w:r w:rsidR="00691687">
        <w:t xml:space="preserve">with which to correlate ALVE15 presence/absence with prevalence of these transcript variants. From InterPro analysis, loss of the final exon does not remove any </w:t>
      </w:r>
      <w:r w:rsidR="007F439A">
        <w:t xml:space="preserve">functional </w:t>
      </w:r>
      <w:r w:rsidR="00691687">
        <w:t>domains</w:t>
      </w:r>
      <w:r w:rsidR="007F439A">
        <w:t xml:space="preserve"> or motifs</w:t>
      </w:r>
      <w:r w:rsidR="00691687">
        <w:t xml:space="preserve"> from GRIK2, but there could be impacts on protein structure. Conversely, ALVE_ros005 is intergenic, more than 150 kb from the nearest gene.</w:t>
      </w:r>
    </w:p>
    <w:p w14:paraId="158F12C0" w14:textId="77777777" w:rsidR="004319F3" w:rsidRDefault="004319F3" w:rsidP="00391005">
      <w:pPr>
        <w:pStyle w:val="ListParagraph"/>
      </w:pPr>
    </w:p>
    <w:p w14:paraId="35A7AC6B" w14:textId="67C5DECE" w:rsidR="00E31A2C" w:rsidRDefault="004319F3" w:rsidP="004319F3">
      <w:pPr>
        <w:pStyle w:val="Heading4"/>
      </w:pPr>
      <w:r>
        <w:t>Internal deletion: ALVE3</w:t>
      </w:r>
    </w:p>
    <w:p w14:paraId="01669071" w14:textId="6FD8235C" w:rsidR="00E31A2C" w:rsidRDefault="00D8021B" w:rsidP="00391005">
      <w:pPr>
        <w:pStyle w:val="ListParagraph"/>
      </w:pPr>
      <w:r>
        <w:t xml:space="preserve">ALVE3 has been well studied due to its expression of both </w:t>
      </w:r>
      <w:r>
        <w:rPr>
          <w:i/>
        </w:rPr>
        <w:t>gag</w:t>
      </w:r>
      <w:r>
        <w:t xml:space="preserve"> </w:t>
      </w:r>
      <w:r>
        <w:fldChar w:fldCharType="begin" w:fldLock="1"/>
      </w:r>
      <w:r>
        <w:instrText>ADDIN CSL_CITATION { "citationItems" : [ { "id" : "ITEM-1", "itemData" : { "ISSN" : "0005-2086", "PMID" : "6098248", "abstract" : "Two experiments were conducted to determine the influence of endogenous viral (ev) gene expression on the response of chicken to day-old inoculation with two laboratory and two field strains of avian leukosis virus (ALV). The ev2- and ev3-negative semi-congenic chickens had much higher mortality from a unique non-neoplastic syndrome (NNS) than ev2- and ev3-positive semi-congenic chickens after inoculation with ALV strain RAV-1. The three other ALV strains induced little NNS. All four strains of ALV induced higher incidences of neutralizing antibody and lower incidences of viremia in ev2- and ev3-negative chickens than ev2- and ev3-positive chickens. The semi-congenic ev2- and ev3-negative chickens were only slightly less likely to shed ALV in the cloaca. Chickens of line 0, an unrelated line lacking ev genes, had a much higher rate of antibody production and lower rate of viremia and shedding than the semi-congenic chickens. Surprisingly, line 0 failed to get NNS after RAV-1 inoculation. There were major differences among strains of ALV in induction of antibody response, viremia, and shedding in the cloaca. The two field strains of ALV tended to be less immunogenic than the laboratory strains. We conclude that both the genetics of the host, including variation in ev gene expression, and the strain of ALV can influence the probability of ALV shedding and congenital transmission after horizontal infection.", "author" : [ { "dropping-particle" : "", "family" : "Crittenden", "given" : "L B", "non-dropping-particle" : "", "parse-names" : false, "suffix" : "" }, { "dropping-particle" : "", "family" : "Smith", "given" : "E J", "non-dropping-particle" : "", "parse-names" : false, "suffix" : "" }, { "dropping-particle" : "", "family" : "Fadly", "given" : "a M", "non-dropping-particle" : "", "parse-names" : false, "suffix" : "" } ], "container-title" : "Avian diseases", "id" : "ITEM-1", "issue" : "4", "issued" : { "date-parts" : [ [ "1984" ] ] }, "note" : "Ev genes are homologous to exogenous ALV. Ev genes have a range of expression levels from ev2 which codes for a full virion, ev3 which codes for gag antigens only to ev15 and ev16 which are solo LTRs with no expression. \nPresence of ev genes gives a reported lower frequency and delay in immune response due to established immune tolerance. This varies in ev gene present (tolerance less likely to build against ev2 when it is detrimental whereas ev3 has no risk). This means that in general ev gene birds (where there is expression) will repel viruses with shared antigens at a much slower rate than those lacking ev genes \u2013 reduced antibody response etc. \nTherefore chickens without ev genes are less likely to infect horizontally and may have a selective advantage in ALV infected flocks.", "page" : "1037-56", "title" : "Influence of endogenous viral (ev) gene expression and strain of exogenous avian leukosis virus (ALV) on mortality and ALV infection and shedding in chickens.", "type" : "article-journal", "volume" : "28" }, "uris" : [ "http://www.mendeley.com/documents/?uuid=4b7682b3-08c8-4d07-8a26-74df70fddfff" ] } ], "mendeley" : { "formattedCitation" : "(Crittenden et al. 1984)", "plainTextFormattedCitation" : "(Crittenden et al. 1984)", "previouslyFormattedCitation" : "(Crittenden et al. 1984)" }, "properties" : { "noteIndex" : 0 }, "schema" : "https://github.com/citation-style-language/schema/raw/master/csl-citation.json" }</w:instrText>
      </w:r>
      <w:r>
        <w:fldChar w:fldCharType="separate"/>
      </w:r>
      <w:r w:rsidRPr="00D8021B">
        <w:rPr>
          <w:noProof/>
        </w:rPr>
        <w:t>(Crittenden et al. 1984)</w:t>
      </w:r>
      <w:r>
        <w:fldChar w:fldCharType="end"/>
      </w:r>
      <w:r>
        <w:t xml:space="preserve"> and </w:t>
      </w:r>
      <w:r>
        <w:rPr>
          <w:i/>
        </w:rPr>
        <w:t>envelope</w:t>
      </w:r>
      <w:r>
        <w:t xml:space="preserve"> </w:t>
      </w:r>
      <w:r>
        <w:fldChar w:fldCharType="begin" w:fldLock="1"/>
      </w:r>
      <w:r w:rsidR="00D6310C">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"mendeley" : { "formattedCitation" : "(Robinson et al. 1981)", "plainTextFormattedCitation" : "(Robinson et al. 1981)", "previouslyFormattedCitation" : "(Robinson et al. 1981)" }, "properties" : { "noteIndex" : 0 }, "schema" : "https://github.com/citation-style-language/schema/raw/master/csl-citation.json" }</w:instrText>
      </w:r>
      <w:r>
        <w:fldChar w:fldCharType="separate"/>
      </w:r>
      <w:r w:rsidRPr="00D8021B">
        <w:rPr>
          <w:noProof/>
        </w:rPr>
        <w:t>(Robinson et al. 1981)</w:t>
      </w:r>
      <w:r>
        <w:fldChar w:fldCharType="end"/>
      </w:r>
      <w:r>
        <w:t xml:space="preserve"> glycoproteins. However, ALVE3 is non-autonomous as it lacks approximately 1,370 bp of sequence, encompassing nearly all the </w:t>
      </w:r>
      <w:r>
        <w:rPr>
          <w:i/>
        </w:rPr>
        <w:t>protease</w:t>
      </w:r>
      <w:r>
        <w:t xml:space="preserve"> and </w:t>
      </w:r>
      <w:r>
        <w:rPr>
          <w:i/>
        </w:rPr>
        <w:t>reverse transcriptase</w:t>
      </w:r>
      <w:r>
        <w:t xml:space="preserve"> domains. Either side of this internal deletion, ALVE3 is largely complete and the </w:t>
      </w:r>
      <w:r>
        <w:rPr>
          <w:i/>
        </w:rPr>
        <w:t>gag</w:t>
      </w:r>
      <w:r>
        <w:t>-</w:t>
      </w:r>
      <w:r>
        <w:rPr>
          <w:i/>
        </w:rPr>
        <w:t>pol</w:t>
      </w:r>
      <w:r>
        <w:t xml:space="preserve"> single open reading frame has been maintained, producing a single transcript </w:t>
      </w:r>
      <w:r w:rsidR="00F868F6">
        <w:t xml:space="preserve">spanning the entire </w:t>
      </w:r>
      <w:r w:rsidR="00F868F6">
        <w:rPr>
          <w:i/>
        </w:rPr>
        <w:t>gag</w:t>
      </w:r>
      <w:r w:rsidR="00F868F6">
        <w:t xml:space="preserve"> domain, </w:t>
      </w:r>
      <w:r w:rsidR="00F868F6">
        <w:rPr>
          <w:i/>
        </w:rPr>
        <w:t>RNaseH</w:t>
      </w:r>
      <w:r w:rsidR="00F868F6">
        <w:t xml:space="preserve"> and </w:t>
      </w:r>
      <w:r w:rsidR="00F868F6">
        <w:rPr>
          <w:i/>
        </w:rPr>
        <w:t>integrase</w:t>
      </w:r>
      <w:r w:rsidR="00F868F6">
        <w:t>. The expression of the ALVE3 retroviral constituents is likely facilitated by its location in the sixth intron of the HCK gene, however there is no available literature on the impact ALVE3 presence has on HCK expression or splicing.</w:t>
      </w:r>
    </w:p>
    <w:p w14:paraId="1A71F24C" w14:textId="77777777" w:rsidR="00F868F6" w:rsidRDefault="00F868F6" w:rsidP="00391005">
      <w:pPr>
        <w:pStyle w:val="ListParagraph"/>
      </w:pPr>
    </w:p>
    <w:p w14:paraId="380309D1" w14:textId="157CDC39" w:rsidR="00E31A2C" w:rsidRDefault="004319F3" w:rsidP="004319F3">
      <w:pPr>
        <w:pStyle w:val="Heading4"/>
      </w:pPr>
      <w:r>
        <w:t>3’ truncation: ALVE9, ALVE-NSAC1 and ALVE_ros007</w:t>
      </w:r>
    </w:p>
    <w:p w14:paraId="1B2C3FE2" w14:textId="5978AE45" w:rsidR="00A81F8C" w:rsidRPr="009F253E" w:rsidRDefault="00A81F8C" w:rsidP="00391005">
      <w:pPr>
        <w:pStyle w:val="ListParagraph"/>
      </w:pPr>
      <w:r>
        <w:t>ALVE9, ALVE-NSAC1 and the novel ALVE_ros007 are all</w:t>
      </w:r>
      <w:r w:rsidR="009F253E">
        <w:t xml:space="preserve"> negative orientation insertions</w:t>
      </w:r>
      <w:r>
        <w:t xml:space="preserve"> </w:t>
      </w:r>
      <w:r w:rsidR="009F253E">
        <w:t xml:space="preserve">which are </w:t>
      </w:r>
      <w:r>
        <w:t xml:space="preserve">truncated from their 5’ ends, but to varying degrees. ALVE9 is intact from 185 bp into the </w:t>
      </w:r>
      <w:r>
        <w:rPr>
          <w:i/>
        </w:rPr>
        <w:t>protease</w:t>
      </w:r>
      <w:r>
        <w:t xml:space="preserve"> domain, ALVE-NSAC1 is intact from 74 bp into the </w:t>
      </w:r>
      <w:r>
        <w:rPr>
          <w:i/>
        </w:rPr>
        <w:t>reverse transcriptase</w:t>
      </w:r>
      <w:r>
        <w:t xml:space="preserve"> domain, and ALVE_ros007 is far shorter, </w:t>
      </w:r>
      <w:r w:rsidR="009F253E">
        <w:t xml:space="preserve">intact from 280 bp into the </w:t>
      </w:r>
      <w:r w:rsidR="009F253E">
        <w:rPr>
          <w:i/>
        </w:rPr>
        <w:t>envelope surface</w:t>
      </w:r>
      <w:r w:rsidR="009F253E">
        <w:t xml:space="preserve"> domain. Whilst all three lack the promoter and enhancers within the 5’ LTR, retroviral expression is possible, as ALVE9 expresses high levels of envelope protein, known to inhibit ALVE infection </w:t>
      </w:r>
      <w:r w:rsidR="009F253E">
        <w:fldChar w:fldCharType="begin" w:fldLock="1"/>
      </w:r>
      <w:r w:rsidR="00103C99">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"mendeley" : { "formattedCitation" : "(Robinson et al. 1981)", "plainTextFormattedCitation" : "(Robinson et al. 1981)", "previouslyFormattedCitation" : "(Robinson et al. 1981)" }, "properties" : { "noteIndex" : 0 }, "schema" : "https://github.com/citation-style-language/schema/raw/master/csl-citation.json" }</w:instrText>
      </w:r>
      <w:r w:rsidR="009F253E">
        <w:fldChar w:fldCharType="separate"/>
      </w:r>
      <w:r w:rsidR="009F253E" w:rsidRPr="009F253E">
        <w:rPr>
          <w:noProof/>
        </w:rPr>
        <w:t>(Robinson et al. 1981)</w:t>
      </w:r>
      <w:r w:rsidR="009F253E">
        <w:fldChar w:fldCharType="end"/>
      </w:r>
      <w:r w:rsidR="009F253E">
        <w:t>. However, ALVE9 is intronic which could facilitate its expression, but ALVE-NSAC1 and ALVE_ros007 are both intergenic.</w:t>
      </w:r>
    </w:p>
    <w:p w14:paraId="28AB284F" w14:textId="730E295E" w:rsidR="009F253E" w:rsidRDefault="009F253E" w:rsidP="00391005">
      <w:pPr>
        <w:pStyle w:val="ListParagraph"/>
      </w:pPr>
      <w:r>
        <w:lastRenderedPageBreak/>
        <w:t xml:space="preserve">The truncations for ALVE9 and ALVE-NSAC1 are both clean deletions with no removal of surrounding genomic sequence. ALVE_ros007, however, is associated with a genomic deletion of 1,941 bp (4: </w:t>
      </w:r>
      <w:r w:rsidRPr="00B2043D">
        <w:t>59,843,021-59,844,960</w:t>
      </w:r>
      <w:r>
        <w:t>). Relative to ALVE1, the f</w:t>
      </w:r>
      <w:r w:rsidR="000E0E32">
        <w:t>irst 6,123 bp of ALVE_ros007 has been</w:t>
      </w:r>
      <w:r>
        <w:t xml:space="preserve"> truncated, so the total deletion event removed 8,064 bp of sequence (</w:t>
      </w:r>
      <w:r>
        <w:fldChar w:fldCharType="begin" w:fldLock="1"/>
      </w:r>
      <w:r>
        <w:instrText xml:space="preserve"> REF _Ref478665277 \h </w:instrText>
      </w:r>
      <w:r>
        <w:fldChar w:fldCharType="separate"/>
      </w:r>
      <w:r w:rsidR="002C549C">
        <w:t xml:space="preserve">Figure </w:t>
      </w:r>
      <w:r w:rsidR="002C549C">
        <w:rPr>
          <w:noProof/>
        </w:rPr>
        <w:t>6</w:t>
      </w:r>
      <w:r w:rsidR="002C549C">
        <w:t>.</w:t>
      </w:r>
      <w:r w:rsidR="002C549C">
        <w:rPr>
          <w:noProof/>
        </w:rPr>
        <w:t>21</w:t>
      </w:r>
      <w:r>
        <w:fldChar w:fldCharType="end"/>
      </w:r>
      <w:r>
        <w:t xml:space="preserve">). Whilst there is some evidence of avian constrained sequence in this deleted genomic region, the </w:t>
      </w:r>
      <w:r w:rsidR="00FE1AB9">
        <w:t xml:space="preserve">constrained </w:t>
      </w:r>
      <w:r>
        <w:t xml:space="preserve">region is short and has no protein coding potential or promoter/enhancer activity, although the latter is from ChIP-seq data limited to the adult liver (Eory et al., manuscript in preparation). </w:t>
      </w:r>
    </w:p>
    <w:p w14:paraId="4936340B" w14:textId="77777777" w:rsidR="009F253E" w:rsidRPr="003A3EAD" w:rsidRDefault="009F253E" w:rsidP="00391005">
      <w:pPr>
        <w:pStyle w:val="ListParagraph"/>
      </w:pPr>
    </w:p>
    <w:p w14:paraId="3F775F91" w14:textId="77777777" w:rsidR="009F253E" w:rsidRDefault="009F253E" w:rsidP="00391005">
      <w:pPr>
        <w:pStyle w:val="ListParagraph"/>
      </w:pPr>
      <w:r>
        <w:rPr>
          <w:noProof/>
          <w:lang w:eastAsia="en-GB"/>
        </w:rPr>
        <w:drawing>
          <wp:inline distT="0" distB="0" distL="0" distR="0" wp14:anchorId="6C435A21" wp14:editId="6EE58338">
            <wp:extent cx="4986703" cy="1686296"/>
            <wp:effectExtent l="0" t="0" r="444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18245" cy="1696962"/>
                    </a:xfrm>
                    <a:prstGeom prst="rect">
                      <a:avLst/>
                    </a:prstGeom>
                    <a:noFill/>
                  </pic:spPr>
                </pic:pic>
              </a:graphicData>
            </a:graphic>
          </wp:inline>
        </w:drawing>
      </w:r>
    </w:p>
    <w:p w14:paraId="2130B8FE" w14:textId="31C9747D" w:rsidR="004319F3" w:rsidRDefault="009F253E" w:rsidP="00FC4674">
      <w:pPr>
        <w:pStyle w:val="Figure"/>
      </w:pPr>
      <w:bookmarkStart w:id="519" w:name="_Ref478665277"/>
      <w:bookmarkStart w:id="520" w:name="_Toc486785466"/>
      <w:r>
        <w:t xml:space="preserve">Figure </w:t>
      </w:r>
      <w:fldSimple w:instr=" STYLEREF 1 \s " w:fldLock="1">
        <w:r w:rsidR="002C549C">
          <w:rPr>
            <w:noProof/>
          </w:rPr>
          <w:t>6</w:t>
        </w:r>
      </w:fldSimple>
      <w:r w:rsidR="001167C6">
        <w:t>.</w:t>
      </w:r>
      <w:fldSimple w:instr=" SEQ Figure \* ARABIC \s 1 " w:fldLock="1">
        <w:r w:rsidR="002C549C">
          <w:rPr>
            <w:noProof/>
          </w:rPr>
          <w:t>21</w:t>
        </w:r>
      </w:fldSimple>
      <w:bookmarkEnd w:id="519"/>
      <w:r>
        <w:t xml:space="preserve"> Schematic for the predicted ALVE_ros007 insertion and subsequent genomic deletion. Starting from the wildtype (A) there was an ALVE insertion</w:t>
      </w:r>
      <w:r w:rsidR="007F0839">
        <w:t xml:space="preserve"> in a negative orientation</w:t>
      </w:r>
      <w:r>
        <w:t xml:space="preserve"> (B). There was then a deletion (C; dotted box) of 6,123 bp from the ALVE and 1,941 bp from the host genome, leaving the fragmented insertion of the ALVE 3’ LTR and partial </w:t>
      </w:r>
      <w:r>
        <w:rPr>
          <w:i/>
        </w:rPr>
        <w:t>envelope</w:t>
      </w:r>
      <w:r>
        <w:t xml:space="preserve"> domain (D).</w:t>
      </w:r>
      <w:bookmarkEnd w:id="520"/>
    </w:p>
    <w:p w14:paraId="1101AE0D" w14:textId="7A032D0B" w:rsidR="00E31A2C" w:rsidRDefault="00E31A2C" w:rsidP="00E31A2C">
      <w:pPr>
        <w:pStyle w:val="Heading3"/>
      </w:pPr>
      <w:bookmarkStart w:id="521" w:name="_Toc485721653"/>
      <w:bookmarkStart w:id="522" w:name="_Toc486787233"/>
      <w:bookmarkStart w:id="523" w:name="_Toc486787381"/>
      <w:r>
        <w:t>ALVE LTR alignment and phylogeny</w:t>
      </w:r>
      <w:bookmarkEnd w:id="521"/>
      <w:bookmarkEnd w:id="522"/>
      <w:bookmarkEnd w:id="523"/>
    </w:p>
    <w:p w14:paraId="5F15D930" w14:textId="58E53225" w:rsidR="00E31A2C" w:rsidRPr="003A3EAD" w:rsidRDefault="00122C92" w:rsidP="00391005">
      <w:pPr>
        <w:pStyle w:val="ListParagraph"/>
      </w:pPr>
      <w:r>
        <w:t>The alignment of all twenty-five sequenced LTRs had 98.6 % identity, and LTRs were all 274 bp long, except the 3’LTR of ALVE_ros007 which was degraded. Of the ten intact ALVEs, nine had LTRs with 100 % pair identity, with the LTRs of ALVEB5 sharing 99.6 % identity due to one SNP (G262T) in the 5’ LTR (</w:t>
      </w:r>
      <w:r w:rsidR="007E50AF">
        <w:t>3’LTR was identical to other ALVE LTRs at this site</w:t>
      </w:r>
      <w:r>
        <w:t>). All LTRs contained an intact TATA box motif (146-152) and the nearby transcription start site (168-174</w:t>
      </w:r>
      <w:r w:rsidR="00D6310C">
        <w:t>; U3-R boundary</w:t>
      </w:r>
      <w:r>
        <w:t xml:space="preserve">) </w:t>
      </w:r>
      <w:r w:rsidR="007E50AF">
        <w:t>which was also identified as a</w:t>
      </w:r>
      <w:r>
        <w:t xml:space="preserve"> binding site for the </w:t>
      </w:r>
      <w:r w:rsidR="007E50AF">
        <w:t>SRF (serum response factor) transcription factor (</w:t>
      </w:r>
      <w:r w:rsidR="007E50AF">
        <w:fldChar w:fldCharType="begin" w:fldLock="1"/>
      </w:r>
      <w:r w:rsidR="007E50AF">
        <w:instrText xml:space="preserve"> REF _Ref479759489 \h </w:instrText>
      </w:r>
      <w:r w:rsidR="007E50AF">
        <w:fldChar w:fldCharType="separate"/>
      </w:r>
      <w:r w:rsidR="002C549C">
        <w:t xml:space="preserve">Figure </w:t>
      </w:r>
      <w:r w:rsidR="002C549C">
        <w:rPr>
          <w:noProof/>
        </w:rPr>
        <w:t>6</w:t>
      </w:r>
      <w:r w:rsidR="002C549C">
        <w:t>.</w:t>
      </w:r>
      <w:r w:rsidR="002C549C">
        <w:rPr>
          <w:noProof/>
        </w:rPr>
        <w:t>22</w:t>
      </w:r>
      <w:r w:rsidR="007E50AF">
        <w:fldChar w:fldCharType="end"/>
      </w:r>
      <w:r w:rsidR="007E50AF">
        <w:t>). In addition, a second</w:t>
      </w:r>
      <w:r w:rsidR="00FE1AB9">
        <w:t>, upstream</w:t>
      </w:r>
      <w:r w:rsidR="007E50AF">
        <w:t xml:space="preserve"> SRF site (43-52) was identified in all LTRs.</w:t>
      </w:r>
    </w:p>
    <w:p w14:paraId="12028924" w14:textId="15DFE26A" w:rsidR="007E50AF" w:rsidRDefault="00C1741A" w:rsidP="00391005">
      <w:pPr>
        <w:pStyle w:val="ListParagraph"/>
      </w:pPr>
      <w:r>
        <w:rPr>
          <w:noProof/>
          <w:lang w:eastAsia="en-GB"/>
        </w:rPr>
        <w:lastRenderedPageBreak/>
        <w:drawing>
          <wp:inline distT="0" distB="0" distL="0" distR="0" wp14:anchorId="7D9781C0" wp14:editId="5D2D1DC7">
            <wp:extent cx="5207246" cy="7442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l="1846" r="1951"/>
                    <a:stretch/>
                  </pic:blipFill>
                  <pic:spPr bwMode="auto">
                    <a:xfrm>
                      <a:off x="0" y="0"/>
                      <a:ext cx="5246898" cy="749946"/>
                    </a:xfrm>
                    <a:prstGeom prst="rect">
                      <a:avLst/>
                    </a:prstGeom>
                    <a:noFill/>
                    <a:ln>
                      <a:noFill/>
                    </a:ln>
                    <a:extLst>
                      <a:ext uri="{53640926-AAD7-44D8-BBD7-CCE9431645EC}">
                        <a14:shadowObscured xmlns:a14="http://schemas.microsoft.com/office/drawing/2010/main"/>
                      </a:ext>
                    </a:extLst>
                  </pic:spPr>
                </pic:pic>
              </a:graphicData>
            </a:graphic>
          </wp:inline>
        </w:drawing>
      </w:r>
    </w:p>
    <w:p w14:paraId="04B97A61" w14:textId="240BAA05" w:rsidR="007E50AF" w:rsidRDefault="007E50AF" w:rsidP="007E50AF">
      <w:pPr>
        <w:pStyle w:val="Figure"/>
      </w:pPr>
      <w:bookmarkStart w:id="524" w:name="_Ref479759489"/>
      <w:bookmarkStart w:id="525" w:name="_Toc486785467"/>
      <w:r>
        <w:t xml:space="preserve">Figure </w:t>
      </w:r>
      <w:fldSimple w:instr=" STYLEREF 1 \s " w:fldLock="1">
        <w:r w:rsidR="002C549C">
          <w:rPr>
            <w:noProof/>
          </w:rPr>
          <w:t>6</w:t>
        </w:r>
      </w:fldSimple>
      <w:r w:rsidR="001167C6">
        <w:t>.</w:t>
      </w:r>
      <w:fldSimple w:instr=" SEQ Figure \* ARABIC \s 1 " w:fldLock="1">
        <w:r w:rsidR="002C549C">
          <w:rPr>
            <w:noProof/>
          </w:rPr>
          <w:t>22</w:t>
        </w:r>
      </w:fldSimple>
      <w:bookmarkEnd w:id="524"/>
      <w:r w:rsidR="00D6310C">
        <w:t xml:space="preserve"> The features of the ALVE LTR. </w:t>
      </w:r>
      <w:r w:rsidR="00C1741A">
        <w:t>LTRs are split into three main sections: U3, R and U5, where the U3-R boundary marks the transcription start site (TSS). The U3 contains enhancer/promoter sequences, including the TATA box motif (146-152) and SRF transcription factor binding sites (43-52, 168-174).</w:t>
      </w:r>
      <w:bookmarkEnd w:id="525"/>
    </w:p>
    <w:p w14:paraId="1B608E7C" w14:textId="77777777" w:rsidR="007F0839" w:rsidRDefault="007E50AF" w:rsidP="00391005">
      <w:pPr>
        <w:pStyle w:val="ListParagraph"/>
      </w:pPr>
      <w:r>
        <w:t xml:space="preserve">The alignment of all </w:t>
      </w:r>
      <w:r w:rsidR="00D6310C">
        <w:t xml:space="preserve">ALVE </w:t>
      </w:r>
      <w:r>
        <w:t>3’LTRs, solo LTRs and the ALV-A and ALV-J 3’LTRs had 88.6 % sequence identity. Alignment was best from the TATA box t</w:t>
      </w:r>
      <w:r w:rsidR="00FE1AB9">
        <w:t>hrough to the 3’ end of the LTR</w:t>
      </w:r>
      <w:r w:rsidR="007F0839">
        <w:t xml:space="preserve"> (R-U5 domains)</w:t>
      </w:r>
      <w:r w:rsidR="00FE1AB9">
        <w:t>. This was</w:t>
      </w:r>
      <w:r>
        <w:t xml:space="preserve"> </w:t>
      </w:r>
      <w:r w:rsidR="007F0839">
        <w:t>expected as the U3 LTR domain</w:t>
      </w:r>
      <w:r w:rsidR="00D6310C">
        <w:t xml:space="preserve"> is known to be more divergent as well as contain variable promoters, enhancers and transcription factor binding sites that effect tissue-specific expression </w:t>
      </w:r>
      <w:r w:rsidR="00D6310C">
        <w:fldChar w:fldCharType="begin" w:fldLock="1"/>
      </w:r>
      <w:r w:rsidR="00D6310C">
        <w:instrText>ADDIN CSL_CITATION { "citationItems" : [ { "id" : "ITEM-1", "itemData" : { "abstract" : "Background: Long terminal repeats (LTRs, consisting of U3-R-U5 portions) are important elements of retroviruses and related retrotransposons. They are difficult to analyse due to their variability. The aim was to obtain a more comprehensive view of structure, diversity and phylogeny of LTRs than hitherto possible. Results: Hidden Markov models (HMM) were created for 11 clades of LTRs belonging to Retroviridae (class III retroviruses), animal Metaviridae (Gypsy/Ty3) elements and plant Pseudoviridae (Copia/Ty1) elements, complementing our work with Orthoretrovirus HMMs. The great variation in LTR length of plant Metaviridae and the few divergent animal Pseudoviridae prevented building HMMs from both of these groups. Animal Metaviridae LTRs had the same conserved motifs as retroviral LTRs, confirming that the two groups are closely related. The conserved motifs were the short inverted repeats (SIRs), integrase recognition signals (5 \u0301 TGTTRNR. . .YNYAACA 3 \u0301); the polyadenylation signal or AATAAA motif; a GT-rich stretch downstream of the polyadenylation signal; and a less conserved AT-rich stretch corresponding to the core promoter element, the TATA box. Plant Pseudoviridae LTRs differed slightly in having a conserved TATA-box, TATATA, but no conserved polyadenylation signal, plus a much shorter R region. The sensitivity of the HMMs for detection in genomic sequences was around 50% for most models, at a relatively high specificity, suitable for genome screening. The HMMs yielded consensus sequences, which were aligned by creating an HMM model (a \u2018Superviterbi\u2019 alignment). This yielded a phylogenetic tree that was compared with a Pol-based tree. Both LTR and Pol trees supported monophyly of retroviruses. In both, Pseudoviridae was ancestral to all other LTR retrotransposons. However, the LTR trees showed the chromovirus portion of Metaviridae clustering together with Pseudoviridae, dividing Metaviridae into two portions with distinct phylogeny. Conclusion: The HMMs clearly demonstrated a unitary conserved structure of LTRs, supporting that they arose once during evolution. We attempted to follow the evolution of LTRs by tracing their functional foundations, that is, acquisition of RNAse H, a combined promoter/ polyadenylation site, integrase, hairpin priming and the primer binding site (PBS). Available information did not support a simple evolutionary chain of events.", "author" : [ { "dropping-particle" : "", "family" : "Benachenhou", "given" : "Farid", "non-dropping-particle" : "", "parse-names" : false, "suffix" : "" }, { "dropping-particle" : "", "family" : "Sperber", "given" : "G\u00f6ran", "non-dropping-particle" : "", "parse-names" : false, "suffix" : "" }, { "dropping-particle" : "", "family" : "Bongcam-Rudloff", "given" : "Erik", "non-dropping-particle" : "", "parse-names" : false, "suffix" : "" }, { "dropping-particle" : "", "family" : "Andersson", "given" : "G\u00f6ran", "non-dropping-particle" : "", "parse-names" : false, "suffix" : "" }, { "dropping-particle" : "", "family" : "Boeke", "given" : "Jef", "non-dropping-particle" : "", "parse-names" : false, "suffix" : "" }, { "dropping-particle" : "", "family" : "Blomberg", "given" : "Jonas", "non-dropping-particle" : "", "parse-names" : false, "suffix" : "" } ], "container-title" : "Mobile DNA", "id" : "ITEM-1", "issue" : "5", "issued" : { "date-parts" : [ [ "2013" ] ] }, "note" : "LTRs are difficult to analyse due to their variability.\n\n\nLTR retrotransposons includes retroviruses as well as three other groups:\n1) Pseudoviridae - Copia/Ty1 - plants/fungi/metazoans\n2) Metaviridae - Gypsy/Ty3 - plants/fungi/metazoans\n3) Semotivirus - Bel/Pao - exclusively metazoans\n\n\nTraditionally the relatedness of LTR retortransposons has been studied using the RT domain of pol as it is the most conserved retroelement domain (but not conserved once it becomes endogenous surely)\n\n\nCommon LTR structure was recently found - two unique regions (U5 and U3) and a repetitive (R) region. R and U5 are more conserved, U3 may be more divergent due to application in tissue specificity. \n\n\nAnalysis in this paper could not look at all types of LTR - LTR length is noted as a disruptive factor. As is highly variable sequence.\n\n\nTheir work would suggest that the gypsy/ty3 elements were nested within the retroviruses clade.", "title" : "Conserved structure and inferred evolutionary history of long terminal repeats (LTRs)", "type" : "article-journal", "volume" : "4" }, "uris" : [ "http://www.mendeley.com/documents/?uuid=97cc0e29-2ea9-4133-bab8-bc9c79573e06" ] } ], "mendeley" : { "formattedCitation" : "(Benachenhou et al. 2013)", "plainTextFormattedCitation" : "(Benachenhou et al. 2013)", "previouslyFormattedCitation" : "(Benachenhou et al. 2013)" }, "properties" : { "noteIndex" : 0 }, "schema" : "https://github.com/citation-style-language/schema/raw/master/csl-citation.json" }</w:instrText>
      </w:r>
      <w:r w:rsidR="00D6310C">
        <w:fldChar w:fldCharType="separate"/>
      </w:r>
      <w:r w:rsidR="00D6310C" w:rsidRPr="00D6310C">
        <w:rPr>
          <w:noProof/>
        </w:rPr>
        <w:t>(Benachenhou et al. 2013)</w:t>
      </w:r>
      <w:r w:rsidR="00D6310C">
        <w:fldChar w:fldCharType="end"/>
      </w:r>
      <w:r w:rsidR="007F0839">
        <w:t>. The ALVE U3 domain</w:t>
      </w:r>
      <w:r w:rsidR="00D6310C">
        <w:t xml:space="preserve"> is also known to be much shorter than the U3 of exogenous ALV LTRs, as</w:t>
      </w:r>
      <w:r w:rsidR="007F0839">
        <w:t xml:space="preserve"> ALVEs</w:t>
      </w:r>
      <w:r w:rsidR="00D6310C">
        <w:t xml:space="preserve"> lack sequences essential for expression enhancement which causes a two to three order of magnitude reduction in overall expression </w:t>
      </w:r>
      <w:r w:rsidR="00D6310C">
        <w:fldChar w:fldCharType="begin" w:fldLock="1"/>
      </w:r>
      <w:r w:rsidR="009C546C">
        <w:instrText>ADDIN CSL_CITATION { "citationItems" : [ { "id" : "ITEM-1", "itemData" : { "author" : [ { "dropping-particle" : "", "family" : "Norton", "given" : "Pamela A", "non-dropping-particle" : "", "parse-names" : false, "suffix" : "" }, { "dropping-particle" : "", "family" : "Coffin", "given" : "John M", "non-dropping-particle" : "", "parse-names" : false, "suffix" : "" } ], "container-title" : "Journal of virology", "id" : "ITEM-1", "issue" : "4", "issued" : { "date-parts" : [ [ "1987" ] ] }, "page" : "1171-1179", "title" : "Sarcoma Virus Sequences Essential for Viral Gene Expression", "type" : "article-journal", "volume" : "61" }, "uris" : [ "http://www.mendeley.com/documents/?uuid=ad68a5e0-1019-4ea0-a08f-29a444631285" ] }, { "id" : "ITEM-2", "itemData" : { "abstract" : "An enhancer element is located in the U3 portion of exogenous avian retrovirus long terminal repeats (LTRs). A similar element has not been detected in the LTRs of ev-1 and ev-2, two avian endogenous viruses (evs) that normally are not expressed in vivo. Experiments were initiated to determine whether minor nucleotide differences in the U3 region of a previously untested ev that is ubiquitously expressed in vivo (ev-3) might confer enhancer function on the LTR of this provirus. This question was addressed by inserting U3 regions from ev-3 and from ev-1 and/or ev-2 both upstream of the herpesvirus thymidine kinase gene promoter and in place of the major enhancer domains of the Rous sarcoma virus LTR and determining their relative effects on transcription. U3 regions from all evs tested were unable to enhance transcription from the thymidine kinase gene promoter, indicating that nucleotide differences in the ev U3 regions do not affect their relative enhancer function and therefore are unlikely to play a role in their differential expression in vivo. Unexpectedly, however, all ev U3 regions were able to augment transcription in an orientation-independent manner in the ev-Rous sarcoma virus hybrid LTRs. Further experiments conducted to determine why this enhancer activity is not detectable in intact ev LTRs demonstrated that it was not due to removal of repressor sequences in the ev fragments used that might normally be present in intact ev LTRs. The lack of detectable enhancer activity in intact ev LTRs also was not explained by a defect in ev promoters that makes them unresponsive to enhancers in cis. These experiments therefore identify sequences that, although unable to function detectably as enhancers in their natural context, can function efficiently in a heterologous context. Data are discussed in terms of the modularity of enhancer elements and possible interactions between enhancers and promoter-specific sequences.", "author" : [ { "dropping-particle" : "", "family" : "Conklin", "given" : "KF", "non-dropping-particle" : "", "parse-names" : false, "suffix" : "" } ], "container-title" : "Journal of virology", "id" : "ITEM-2", "issue" : "5", "issued" : { "date-parts" : [ [ "1991" ] ] }, "note" : "Exogenous Retrovirus LTRs contain strong enhancers. The enhancer and promoter for viral RNA transcription are in the U3, with the U3-R boundary marking the transcription start site. In general, it has been found with ALVE loci that U5 and R regions of the LTR are very similar to the exogenous relatives, but the U3 is very divergent: shorter and lacking sequences essential for enhancer function in exogenous counterparts. \nStudies with ev1 and ev2 suggest the LTRs are 10-100 fold less transcriptionally active than exogenous relatives. However, even those elements (such as ev3) that are transcriptionally active have similar deletions and divergence. The expression control is clearly more complicated than missing sequences in the LTR U3.", "page" : "2525-2532", "title" : "Activation of an endogenous retrovirus enhancer by insertion into a heterologous context.", "type" : "article-journal", "volume" : "65" }, "uris" : [ "http://www.mendeley.com/documents/?uuid=2b202731-05d9-42cb-98ca-a28dce245bda" ] }, { "id" : "ITEM-3", "itemData" : { "ISSN" : "0042-6822", "PMID" : "7831764", "author" : [ { "dropping-particle" : "", "family" : "Ruddell", "given" : "A", "non-dropping-particle" : "", "parse-names" : false, "suffix" : "" } ], "container-title" : "Virology", "id" : "ITEM-3", "issue" : "1", "issued" : { "date-parts" : [ [ "1995", "1", "10" ] ] }, "note" : "Avian exogenous LTRs are strong promoters. In infected cells, 20% of the mRNA can be of viral origin. \nThe ability of ALVE loci to induce tumorogenesis in birds is greatly reduced, probably due to weak LTR activity. Replacement of endogenous U3 with that of an exogenous ALV greatly increases oncogenic potential. Although the U3 sites differ between strains (homology ~80%) the protein binding domains are conserved - indicative of selection for their maintenance. \n\n\nRSV (Rous-Sarcoma Virus) LTR was characterised early on. Enhancer mapped to 110 bp regions from -250 to -140 with respect to the transcription start at the U3/R boundary. Enhancer functions in either 5' or 3' orientation of genes, but has highest efficacy in the 5' configuration. \nThe promoter maps from the 3' end of the enhancer region to roughly the transcription start point. \n\n\nMany different porteins bind the promoter and enhancer regions. The LTR Y box elements appear to be essential for promoter function. Many factors have a huge impact on relative expression. Full expression potential is cumulative. The repetitive nature of these elements may also be necessary for high transcription levels. \nEndogenous LTRs have serial deletions. This knocks out individual binding sites and also sites that are repeated. Combined, this has the effect of largely reducing transcriptional activity in the endogenous loci. \nFurther transcriptional silencing appears to also be at play - influence of chromatin structure and DNA methylation at proviral integration sites.", "page" : "1-7", "title" : "Transcription regulatory elements of the avian retroviral long terminal repeat.", "type" : "article-journal", "volume" : "206" }, "uris" : [ "http://www.mendeley.com/documents/?uuid=2095e481-69b8-4f61-af4b-8dd1a82d11cd" ] } ], "mendeley" : { "formattedCitation" : "(Norton &amp; Coffin 1987; Conklin 1991; Ruddell 1995)", "plainTextFormattedCitation" : "(Norton &amp; Coffin 1987; Conklin 1991; Ruddell 1995)", "previouslyFormattedCitation" : "(Norton &amp; Coffin 1987; Conklin 1991; Ruddell 1995)" }, "properties" : { "noteIndex" : 0 }, "schema" : "https://github.com/citation-style-language/schema/raw/master/csl-citation.json" }</w:instrText>
      </w:r>
      <w:r w:rsidR="00D6310C">
        <w:fldChar w:fldCharType="separate"/>
      </w:r>
      <w:r w:rsidR="006B1C59" w:rsidRPr="006B1C59">
        <w:rPr>
          <w:noProof/>
        </w:rPr>
        <w:t>(Norton &amp; Coffin 1987; Conklin 1991; Ruddell 1995)</w:t>
      </w:r>
      <w:r w:rsidR="00D6310C">
        <w:fldChar w:fldCharType="end"/>
      </w:r>
      <w:r w:rsidR="00D6310C">
        <w:t>. Concordantly, the ALV-A and ALV-J LTRs are 324 bp in length, with all 50 ‘additiona</w:t>
      </w:r>
      <w:r w:rsidR="007F0839">
        <w:t xml:space="preserve">l’ bases within the U3 region. </w:t>
      </w:r>
    </w:p>
    <w:p w14:paraId="37AD725C" w14:textId="658B8CDD" w:rsidR="00AE3B95" w:rsidRDefault="00D6310C" w:rsidP="00391005">
      <w:pPr>
        <w:pStyle w:val="ListParagraph"/>
      </w:pPr>
      <w:r>
        <w:t>However, the exogenous ALV LTRs provide a good outgroup for the ALVE phylogeny (</w:t>
      </w:r>
      <w:r>
        <w:fldChar w:fldCharType="begin" w:fldLock="1"/>
      </w:r>
      <w:r>
        <w:instrText xml:space="preserve"> REF _Ref479760380 \h </w:instrText>
      </w:r>
      <w:r>
        <w:fldChar w:fldCharType="separate"/>
      </w:r>
      <w:r w:rsidR="002C549C">
        <w:t xml:space="preserve">Figure </w:t>
      </w:r>
      <w:r w:rsidR="002C549C">
        <w:rPr>
          <w:noProof/>
        </w:rPr>
        <w:t>6</w:t>
      </w:r>
      <w:r w:rsidR="002C549C">
        <w:t>.</w:t>
      </w:r>
      <w:r w:rsidR="002C549C">
        <w:rPr>
          <w:noProof/>
        </w:rPr>
        <w:t>23</w:t>
      </w:r>
      <w:r>
        <w:fldChar w:fldCharType="end"/>
      </w:r>
      <w:r>
        <w:t xml:space="preserve">). </w:t>
      </w:r>
      <w:r w:rsidR="00991D39">
        <w:t>The internal ALVE phylogeny itself is poorly resolved, with limited levels of bootstrapping support. This is not helped by the identical ALVE21, ALVE-TYR, ALVE-NSAC1, ALVE_ros004 and ALVE_ros008 LTR sequences</w:t>
      </w:r>
      <w:r w:rsidR="00AE3B95">
        <w:t>, which force</w:t>
      </w:r>
      <w:r w:rsidR="00991D39">
        <w:t xml:space="preserve"> the poly</w:t>
      </w:r>
      <w:r w:rsidR="007F0839">
        <w:t>tomy at the base of the</w:t>
      </w:r>
      <w:r w:rsidR="00991D39">
        <w:t xml:space="preserve"> lineage. However, the general view is that the ALVEs originating from the brown egg layers are basal to the white egg layer-specific ALVEs. </w:t>
      </w:r>
    </w:p>
    <w:p w14:paraId="61A9CF00" w14:textId="7D5DD2FF" w:rsidR="00AE3B95" w:rsidRPr="003A3EAD" w:rsidRDefault="007F0839" w:rsidP="00391005">
      <w:pPr>
        <w:pStyle w:val="ListParagraph"/>
      </w:pPr>
      <w:r>
        <w:t xml:space="preserve">LTR alignments were chosen as LTRs were common to all obtained sequences, but the short length does not facilitate well resolved phylogenies. However, even alignments with internal domains, such as a 1.3 kb stretch of </w:t>
      </w:r>
      <w:r w:rsidRPr="00991D39">
        <w:rPr>
          <w:i/>
        </w:rPr>
        <w:t>RNaseH</w:t>
      </w:r>
      <w:r>
        <w:t xml:space="preserve"> and </w:t>
      </w:r>
      <w:r w:rsidRPr="00991D39">
        <w:rPr>
          <w:i/>
        </w:rPr>
        <w:t>integrase</w:t>
      </w:r>
      <w:r>
        <w:t xml:space="preserve"> shared between all sequences except ALVE15, ALVE_ros005 and ALVE_ros007, exhibit this same problem. Given their total length, each of the ALVE sequences are very similar, likely due to their recent integration into the genome, and are evolving independently in the different lines. This combination makes a truly representative phylogeny hard to resolve.</w:t>
      </w:r>
    </w:p>
    <w:p w14:paraId="4A772411" w14:textId="03CF7FC5" w:rsidR="00AE3B95" w:rsidRDefault="00747B51" w:rsidP="007F0839">
      <w:pPr>
        <w:pStyle w:val="ListParagraph"/>
        <w:jc w:val="center"/>
      </w:pPr>
      <w:r>
        <w:rPr>
          <w:noProof/>
          <w:lang w:eastAsia="en-GB"/>
        </w:rPr>
        <w:lastRenderedPageBreak/>
        <w:drawing>
          <wp:inline distT="0" distB="0" distL="0" distR="0" wp14:anchorId="2C638B31" wp14:editId="6DF0212E">
            <wp:extent cx="4853881" cy="41529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64799" cy="4162242"/>
                    </a:xfrm>
                    <a:prstGeom prst="rect">
                      <a:avLst/>
                    </a:prstGeom>
                    <a:noFill/>
                  </pic:spPr>
                </pic:pic>
              </a:graphicData>
            </a:graphic>
          </wp:inline>
        </w:drawing>
      </w:r>
    </w:p>
    <w:p w14:paraId="442AB82B" w14:textId="28ABBE5A" w:rsidR="00AE3B95" w:rsidRDefault="00AE3B95" w:rsidP="007F0839">
      <w:pPr>
        <w:pStyle w:val="Figure"/>
      </w:pPr>
      <w:bookmarkStart w:id="526" w:name="_Ref479760380"/>
      <w:bookmarkStart w:id="527" w:name="_Toc486785468"/>
      <w:r>
        <w:t xml:space="preserve">Figure </w:t>
      </w:r>
      <w:fldSimple w:instr=" STYLEREF 1 \s " w:fldLock="1">
        <w:r w:rsidR="002C549C">
          <w:rPr>
            <w:noProof/>
          </w:rPr>
          <w:t>6</w:t>
        </w:r>
      </w:fldSimple>
      <w:r w:rsidR="001167C6">
        <w:t>.</w:t>
      </w:r>
      <w:fldSimple w:instr=" SEQ Figure \* ARABIC \s 1 " w:fldLock="1">
        <w:r w:rsidR="002C549C">
          <w:rPr>
            <w:noProof/>
          </w:rPr>
          <w:t>23</w:t>
        </w:r>
      </w:fldSimple>
      <w:bookmarkEnd w:id="526"/>
      <w:r>
        <w:t xml:space="preserve"> </w:t>
      </w:r>
      <w:r w:rsidR="00747B51">
        <w:t>ALVE LTR phylogeny with the exogenous ALV-A and ALV-J 3’ LTRs forming the outgroup. Bootstrap support greater than 60 % is shown at the relevant nodes, but support is generally limited due to the high identity between the sequences. There are several sites which distinguish the generally brown egg layer ALVEs from the white egg layer ALVE</w:t>
      </w:r>
      <w:r w:rsidR="00641FEA">
        <w:t>s, but the</w:t>
      </w:r>
      <w:r w:rsidR="00747B51">
        <w:t xml:space="preserve"> LTRs </w:t>
      </w:r>
      <w:r w:rsidR="00641FEA">
        <w:t>have high identity.</w:t>
      </w:r>
      <w:bookmarkEnd w:id="527"/>
    </w:p>
    <w:p w14:paraId="27B7A411" w14:textId="7A2A8091" w:rsidR="00E31A2C" w:rsidRPr="008140A1" w:rsidRDefault="00E31A2C" w:rsidP="00E31A2C">
      <w:pPr>
        <w:pStyle w:val="Heading3"/>
      </w:pPr>
      <w:bookmarkStart w:id="528" w:name="_Ref479750896"/>
      <w:bookmarkStart w:id="529" w:name="_Toc485721654"/>
      <w:bookmarkStart w:id="530" w:name="_Toc486787234"/>
      <w:bookmarkStart w:id="531" w:name="_Toc486787382"/>
      <w:r>
        <w:t>ALVE open reading frame integrity and potential expression</w:t>
      </w:r>
      <w:bookmarkEnd w:id="528"/>
      <w:bookmarkEnd w:id="529"/>
      <w:bookmarkEnd w:id="530"/>
      <w:bookmarkEnd w:id="531"/>
    </w:p>
    <w:p w14:paraId="4E49942A" w14:textId="1501BB23" w:rsidR="00084F43" w:rsidRPr="00084F43" w:rsidRDefault="00AE191A" w:rsidP="00391005">
      <w:pPr>
        <w:pStyle w:val="ListParagraph"/>
      </w:pPr>
      <w:r>
        <w:t xml:space="preserve">Exogenous ALV is transcribed from the 5’ LTR transcription start site into two ORFs which are translated, then later cleaved into separate peptides by the retroviral protease. The first ORF is </w:t>
      </w:r>
      <w:r>
        <w:rPr>
          <w:i/>
        </w:rPr>
        <w:t>gag</w:t>
      </w:r>
      <w:r>
        <w:t>-</w:t>
      </w:r>
      <w:r>
        <w:rPr>
          <w:i/>
        </w:rPr>
        <w:t>pol</w:t>
      </w:r>
      <w:r>
        <w:t xml:space="preserve"> and the second ORF is </w:t>
      </w:r>
      <w:r>
        <w:rPr>
          <w:i/>
        </w:rPr>
        <w:t>env</w:t>
      </w:r>
      <w:r>
        <w:t xml:space="preserve">, and is usually phased into the next reading frame.  However, this compact genomic organisation is vulnerable to frame </w:t>
      </w:r>
      <w:r w:rsidR="00FC4674">
        <w:t>shift mutations once under the genetic regulation of the host</w:t>
      </w:r>
      <w:r w:rsidR="00EA0FF7">
        <w:t xml:space="preserve"> when</w:t>
      </w:r>
      <w:r>
        <w:t xml:space="preserve"> the retroviral selective constraints are lost. </w:t>
      </w:r>
      <w:r w:rsidR="00F352CC">
        <w:t>Each of the sequenced ALVEs was annotated for ORFs and their integrity assessed below.</w:t>
      </w:r>
      <w:r>
        <w:t xml:space="preserve"> </w:t>
      </w:r>
      <w:r w:rsidR="00084F43">
        <w:t xml:space="preserve">The </w:t>
      </w:r>
      <w:r w:rsidR="00084F43">
        <w:rPr>
          <w:i/>
        </w:rPr>
        <w:t>gag</w:t>
      </w:r>
      <w:r w:rsidR="00084F43">
        <w:t>-</w:t>
      </w:r>
      <w:r w:rsidR="00084F43">
        <w:rPr>
          <w:i/>
        </w:rPr>
        <w:t>pol</w:t>
      </w:r>
      <w:r w:rsidR="00084F43">
        <w:t xml:space="preserve"> analysis is summarised in </w:t>
      </w:r>
      <w:r w:rsidR="008E24E1">
        <w:fldChar w:fldCharType="begin" w:fldLock="1"/>
      </w:r>
      <w:r w:rsidR="008E24E1">
        <w:instrText xml:space="preserve"> REF _Ref479784206 \h </w:instrText>
      </w:r>
      <w:r w:rsidR="008E24E1">
        <w:fldChar w:fldCharType="separate"/>
      </w:r>
      <w:r w:rsidR="002C549C">
        <w:t xml:space="preserve">Figure </w:t>
      </w:r>
      <w:r w:rsidR="002C549C">
        <w:rPr>
          <w:noProof/>
        </w:rPr>
        <w:t>6</w:t>
      </w:r>
      <w:r w:rsidR="002C549C">
        <w:t>.</w:t>
      </w:r>
      <w:r w:rsidR="002C549C">
        <w:rPr>
          <w:noProof/>
        </w:rPr>
        <w:t>24</w:t>
      </w:r>
      <w:r w:rsidR="008E24E1">
        <w:fldChar w:fldCharType="end"/>
      </w:r>
      <w:r w:rsidR="00084F43">
        <w:t xml:space="preserve">, and the </w:t>
      </w:r>
      <w:r w:rsidR="00084F43">
        <w:rPr>
          <w:i/>
        </w:rPr>
        <w:t>env</w:t>
      </w:r>
      <w:r w:rsidR="00084F43">
        <w:t xml:space="preserve"> analysis in </w:t>
      </w:r>
      <w:r w:rsidR="008E24E1">
        <w:fldChar w:fldCharType="begin" w:fldLock="1"/>
      </w:r>
      <w:r w:rsidR="008E24E1">
        <w:instrText xml:space="preserve"> REF _Ref479784213 \h </w:instrText>
      </w:r>
      <w:r w:rsidR="008E24E1">
        <w:fldChar w:fldCharType="separate"/>
      </w:r>
      <w:r w:rsidR="002C549C">
        <w:t xml:space="preserve">Figure </w:t>
      </w:r>
      <w:r w:rsidR="002C549C">
        <w:rPr>
          <w:noProof/>
        </w:rPr>
        <w:t>6</w:t>
      </w:r>
      <w:r w:rsidR="002C549C">
        <w:t>.</w:t>
      </w:r>
      <w:r w:rsidR="002C549C">
        <w:rPr>
          <w:noProof/>
        </w:rPr>
        <w:t>25</w:t>
      </w:r>
      <w:r w:rsidR="008E24E1">
        <w:fldChar w:fldCharType="end"/>
      </w:r>
      <w:r w:rsidR="00084F43">
        <w:t>.</w:t>
      </w:r>
    </w:p>
    <w:p w14:paraId="31EB7955" w14:textId="730F9FEE" w:rsidR="00E14D34" w:rsidRDefault="00E14D34" w:rsidP="00391005">
      <w:pPr>
        <w:pStyle w:val="ListParagraph"/>
      </w:pPr>
    </w:p>
    <w:p w14:paraId="3977541D" w14:textId="7C943C68" w:rsidR="00E14D34" w:rsidRDefault="00E14D34" w:rsidP="00E14D34">
      <w:pPr>
        <w:pStyle w:val="Heading4"/>
      </w:pPr>
      <w:r>
        <w:lastRenderedPageBreak/>
        <w:t>ORF1: gag-pol</w:t>
      </w:r>
    </w:p>
    <w:p w14:paraId="4E63FAA6" w14:textId="2051E742" w:rsidR="00E14D34" w:rsidRPr="004B3794" w:rsidRDefault="00A46365" w:rsidP="00391005">
      <w:pPr>
        <w:pStyle w:val="ListParagraph"/>
      </w:pPr>
      <w:r>
        <w:t xml:space="preserve">Six of the ten ALVEs with </w:t>
      </w:r>
      <w:r>
        <w:rPr>
          <w:i/>
        </w:rPr>
        <w:t>gag</w:t>
      </w:r>
      <w:r>
        <w:t xml:space="preserve"> nucleotide coverage have one or more mutations in the p10 or p27 domains which truncate any transcripts. In most cases, a second viable ORF is then possible from amino acid 113 within the p27. ALVEB5, ALVE-NSAC7, ALVE_ros001, ALVE_ros003, ALVE_ros004 and ALVE_ros008 all do this with various causative mutations. All these ALVEs, except ALVE_ros003, exhibit </w:t>
      </w:r>
      <w:r w:rsidR="00FC4674">
        <w:t>a viable ORF up to the various frameshift or nonsense mutations</w:t>
      </w:r>
      <w:r>
        <w:t xml:space="preserve"> in p10/p27. In addition, ALVE_ros001 </w:t>
      </w:r>
      <w:r w:rsidR="004B3794">
        <w:t xml:space="preserve">has a frameshift mutation after 39 amino acids of integrase, truncating the transcript, and ALVE_ros004 has a frameshift after 72 amino acids of RNaseH with a secondary, 5’ truncated </w:t>
      </w:r>
      <w:r w:rsidR="004B3794" w:rsidRPr="004B3794">
        <w:rPr>
          <w:i/>
        </w:rPr>
        <w:t>RNaseH</w:t>
      </w:r>
      <w:r w:rsidR="004B3794">
        <w:t>-</w:t>
      </w:r>
      <w:r w:rsidR="004B3794" w:rsidRPr="004B3794">
        <w:rPr>
          <w:i/>
        </w:rPr>
        <w:t>integrase</w:t>
      </w:r>
      <w:r w:rsidR="004B3794">
        <w:t xml:space="preserve"> ORF. </w:t>
      </w:r>
    </w:p>
    <w:p w14:paraId="19DDDCF4" w14:textId="61155B85" w:rsidR="00E14D34" w:rsidRPr="00084F43" w:rsidRDefault="004B3794" w:rsidP="00391005">
      <w:pPr>
        <w:pStyle w:val="ListParagraph"/>
      </w:pPr>
      <w:r>
        <w:t xml:space="preserve">ALVE3 has a full ORF across </w:t>
      </w:r>
      <w:r>
        <w:rPr>
          <w:i/>
        </w:rPr>
        <w:t>gag</w:t>
      </w:r>
      <w:r>
        <w:t>-</w:t>
      </w:r>
      <w:r>
        <w:rPr>
          <w:i/>
        </w:rPr>
        <w:t>pol</w:t>
      </w:r>
      <w:r>
        <w:t xml:space="preserve">, but both the </w:t>
      </w:r>
      <w:r>
        <w:rPr>
          <w:i/>
        </w:rPr>
        <w:t>protease</w:t>
      </w:r>
      <w:r>
        <w:t xml:space="preserve"> and </w:t>
      </w:r>
      <w:r>
        <w:rPr>
          <w:i/>
        </w:rPr>
        <w:t>reverse transcriptase</w:t>
      </w:r>
      <w:r>
        <w:t xml:space="preserve"> are absent from the element. Likewise, ALVE9 and ALVE-NSAC1 have intact ORFs, but due to their 5’ truncation these start at the end of </w:t>
      </w:r>
      <w:r>
        <w:rPr>
          <w:i/>
        </w:rPr>
        <w:t>protease</w:t>
      </w:r>
      <w:r>
        <w:t xml:space="preserve"> and 39 amino acids into </w:t>
      </w:r>
      <w:r>
        <w:rPr>
          <w:i/>
        </w:rPr>
        <w:t>reverse transcriptase</w:t>
      </w:r>
      <w:r>
        <w:t xml:space="preserve"> respectively. The ALVE1 sequence matches the GenBank reference exactly with a single ORF into the </w:t>
      </w:r>
      <w:r>
        <w:rPr>
          <w:i/>
        </w:rPr>
        <w:t>protease</w:t>
      </w:r>
      <w:r>
        <w:t xml:space="preserve"> domain ending with a frameshift mutation</w:t>
      </w:r>
      <w:r w:rsidR="00084F43">
        <w:t xml:space="preserve">. A second ORF overlaps the first but truncates after 214 amino acids into integrase, 100 amino acids before the end of the gag-pol product. ALVE-TYR has a single ORF from </w:t>
      </w:r>
      <w:r w:rsidR="00084F43">
        <w:rPr>
          <w:i/>
        </w:rPr>
        <w:t>gag</w:t>
      </w:r>
      <w:r w:rsidR="00084F43">
        <w:t xml:space="preserve"> until the very start of </w:t>
      </w:r>
      <w:r w:rsidR="00084F43">
        <w:rPr>
          <w:i/>
        </w:rPr>
        <w:t>RNaseH</w:t>
      </w:r>
      <w:r w:rsidR="00084F43">
        <w:t xml:space="preserve">, where there is a frameshift-causing deletion, and a second ORF which begins 53 amino acids into integrase. Only ALVE21 has an intact ORF spanning all the domains. </w:t>
      </w:r>
    </w:p>
    <w:p w14:paraId="3DC26789" w14:textId="5D8BFDE9" w:rsidR="002A100B" w:rsidRPr="003A3EAD" w:rsidRDefault="007F0839" w:rsidP="00391005">
      <w:pPr>
        <w:pStyle w:val="ListParagraph"/>
      </w:pPr>
      <w:r>
        <w:t xml:space="preserve">Due to the number of mutations observed in the p10 and p27 </w:t>
      </w:r>
      <w:r>
        <w:rPr>
          <w:i/>
        </w:rPr>
        <w:t>gag</w:t>
      </w:r>
      <w:r>
        <w:t xml:space="preserve"> regions, intact p27 was only detected from ALVE1, ALVE3, ALVE21 and ALVE-TYR. Whilst ALVE1 is not normally expressed </w:t>
      </w:r>
      <w:r>
        <w:fldChar w:fldCharType="begin" w:fldLock="1"/>
      </w:r>
      <w:r>
        <w:instrText>ADDIN CSL_CITATION { "citationItems" : [ { "id" : "ITEM-1", "itemData" : { "DOI" : "10.1128/MCB.2.6.638.Updated", "ISSN" : "02707306", "abstract" : "The endogenous avian provirus ev-1 is widespread in white leghorn chickens. Although it has no major structural defects, ev-1 has not been associated with any phenotype and is ordinarily expressed at a very low level. In this report, we describe a chicken embryo (Number 1836) cell culture containing both ev-1 and ev-6 which spontaneously expressed the ev-1 provirus. This culture released a high level of noninfectious virions containing a full complement of virion structural (gag) proteins but devoid of reverse transcriptase activity or antigen. These virions contained 70S RNA closely related to the genome of Rous-associated virus type 0, but identifiable as the ev-1 genome by oligonucleotide mapping. A fraction of the RNA molecules in the 70S complex were unusual in that they were polyadenylated 100 to 200 nucleotides downstream of the usual polyadenylation site. Eight sibling embryo cultures did not share this unusual phenotype with 1836, indicating that it was not inherited. However, an identical phenotype was inducible in the sibling cultures by treatment with 5-azacytidine, an inhibitor of DNA methylation, and the induced expression was stable for more than 10 generations. Analysis of chromatin structure and DNA methylation of the ev-1 provirus in 1836 cells revealed the presence (in a fraction of the proviruses) of both DNase I hypersensitive sites in the long terminal repeats and in gag and a pattern of cleavage sites for methyl-sensitive restriction endonuclease not found in a nonexpressing sibling. These results lend strong support to the role of DNA methylation in the control of gene expression. Additionally, they explain the lack of phenotype associated with ev-1 as due to a combination of its low expression and defectiveness in pol and env", "author" : [ { "dropping-particle" : "", "family" : "Conklin", "given" : "Kathleen F", "non-dropping-particle" : "", "parse-names" : false, "suffix" : "" }, { "dropping-particle" : "", "family" : "Coffin", "given" : "John M", "non-dropping-particle" : "", "parse-names" : false, "suffix" : "" }, { "dropping-particle" : "", "family" : "Robinson", "given" : "Harriet L", "non-dropping-particle" : "", "parse-names" : false, "suffix" : "" }, { "dropping-particle" : "", "family" : "Groudine", "given" : "Mark", "non-dropping-particle" : "", "parse-names" : false, "suffix" : "" }, { "dropping-particle" : "", "family" : "Eisenman", "given" : "Robert", "non-dropping-particle" : "", "parse-names" : false, "suffix" : "" } ], "container-title" : "Mol Cell Biol", "id" : "ITEM-1", "issue" : "0270-7306 (Print)", "issued" : { "date-parts" : [ [ "1982" ] ] }, "page" : "638-652", "title" : "Role of methylation in the induced and spontaneous expression of the avian endogenous virus ev-1: DNA structure and gene products", "type" : "article-journal", "volume" : "2" }, "uris" : [ "http://www.mendeley.com/documents/?uuid=d04097bd-67c7-40da-9a0e-5fe5c60baa31" ] } ], "mendeley" : { "formattedCitation" : "(Conklin et al. 1982)", "plainTextFormattedCitation" : "(Conklin et al. 1982)", "previouslyFormattedCitation" : "(Conklin et al. 1982)" }, "properties" : { "noteIndex" : 0 }, "schema" : "https://github.com/citation-style-language/schema/raw/master/csl-citation.json" }</w:instrText>
      </w:r>
      <w:r>
        <w:fldChar w:fldCharType="separate"/>
      </w:r>
      <w:r w:rsidRPr="00DB4F2E">
        <w:rPr>
          <w:noProof/>
        </w:rPr>
        <w:t>(Conklin et al. 1982)</w:t>
      </w:r>
      <w:r>
        <w:fldChar w:fldCharType="end"/>
      </w:r>
      <w:r>
        <w:t xml:space="preserve">, ALVE3, ALVE21 and ALVE-TYR are </w:t>
      </w:r>
      <w:r>
        <w:fldChar w:fldCharType="begin" w:fldLock="1"/>
      </w:r>
      <w:r>
        <w:instrText>ADDIN CSL_CITATION { "citationItems" : [ { "id" : "ITEM-1", "itemData" : { "DOI" : "10.3382/ps.0700618", "ISSN" : "0032-5791", "abstract" : "Endogenous viral (ev) genes are DNA sequences residing permanently in the genome of most chickens that have a high degree of homology to avian leukosis viruses (ALV). Association of ev genes with production trait differences was studied in White Leghorns free of exogenous ALV. The Cornell Strain K and S chickens used in Experiment 1 had multiple ev genes. In each of four lines of chickens in Experiment 2, there was a 1:1 segregation of full-sibs free of ev genes and those carrying one ev gene: ev-12 mat produces the complete endogenous virus, ev-3 or ev-6 that express certain viral antigens, or ev-1, a silent gene. In Experiment 1, the presence of genes ev-10 or ev-19, known to produce the complete virus, was associated with a 9% reduction in the annual egg production rate (P&lt;.05) in Strain S. Similarly, the presence of the virus-producing ev-12 in Experiment 2 was associated with an 8% reduction of annual egg production rate (P&lt;.05), a 2.2-g reduction in egg weight (P&lt;.01), and a .003 reduction in egg specific gravity (P&lt;.01). No significant effects of ev genes on age at first egg, Haugh unit score, percentage of eggs with blood spots, and body weight of hens were observed. It was concluded that ev genes producing complete endogenous virus are associated with production trait differences similar to those associated with subclinical infections with exogenous ALV.", "author" : [ { "dropping-particle" : "", "family" : "Gavora", "given" : "J. S.", "non-dropping-particle" : "", "parse-names" : false, "suffix" : "" }, { "dropping-particle" : "", "family" : "Kuhnlein", "given" : "U.", "non-dropping-particle" : "", "parse-names" : false, "suffix" : "" }, { "dropping-particle" : "", "family" : "Crittenden", "given" : "L. B.", "non-dropping-particle" : "", "parse-names" : false, "suffix" : "" }, { "dropping-particle" : "", "family" : "Spencer", "given" : "J. L.", "non-dropping-particle" : "", "parse-names" : false, "suffix" : "" }, { "dropping-particle" : "", "family" : "Sabour", "given" : "M. P.", "non-dropping-particle" : "", "parse-names" : false, "suffix" : "" } ], "container-title" : "Poultry Science", "id" : "ITEM-1", "issue" : "3", "issued" : { "date-parts" : [ [ "1991", "3", "1" ] ] }, "note" : "Presence of some ev genes is detrimental to the hen rate of egg production, egg size and egg shell thickness. The majority of ev genes allowed to persist in leghorns do not produce full virus \u2013 exception is ev21 because of the link to the K locus \nNot accessible online from Ed Uni - Journals available at the Vet School Library", "page" : "618-623", "title" : "Endogenous Viral Genes: Association with Reduced Egg Production Rate and Egg Size in White Leghorns", "type" : "article-journal", "volume" : "70" }, "uris" : [ "http://www.mendeley.com/documents/?uuid=a4558e2e-c34c-4c11-9982-f2dadb7b3eed" ] }, { "id" : "ITEM-2",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"ITEM-2", "issued" : { "date-parts" : [ [ "2006", "1" ] ] }, "page" : "19", "title" : "Complete association between a retroviral insertion in the tyrosinase gene and the recessive white mutation in chickens.", "type" : "article-journal", "volume" : "7" }, "uris" : [ "http://www.mendeley.com/documents/?uuid=8077fea8-838f-4da4-b799-fb7fa0225565" ] } ], "mendeley" : { "formattedCitation" : "(Gavora et al. 1991; Chang et al. 2006)", "plainTextFormattedCitation" : "(Gavora et al. 1991; Chang et al. 2006)", "previouslyFormattedCitation" : "(Gavora et al. 1991; Chang et al. 2006)" }, "properties" : { "noteIndex" : 0 }, "schema" : "https://github.com/citation-style-language/schema/raw/master/csl-citation.json" }</w:instrText>
      </w:r>
      <w:r>
        <w:fldChar w:fldCharType="separate"/>
      </w:r>
      <w:r w:rsidRPr="008C0083">
        <w:rPr>
          <w:noProof/>
        </w:rPr>
        <w:t>(Gavora et al. 1991; Chang et al. 2006)</w:t>
      </w:r>
      <w:r>
        <w:fldChar w:fldCharType="end"/>
      </w:r>
      <w:r>
        <w:t xml:space="preserve">. These four ALVEs are common and, with respect to the HL lines, are either fixed or at high frequencies.  Furthermore, as partial p27 coverage was observed at both the 5’ and 3’ ends of the other six sequenced ALVEs, it is possible that, if translated, partial protein folding could be enough to create the epitope detected by the industry-standard p27 ELISA </w:t>
      </w:r>
      <w:r>
        <w:fldChar w:fldCharType="begin" w:fldLock="1"/>
      </w:r>
      <w:r>
        <w:instrText>ADDIN CSL_CITATION { "citationItems" : [ { "id" : "ITEM-1", "itemData" : { "ISSN" : "0005-2086", "PMID" : "230808", "abstract" : "Immunoglobulins from antiserum raised against chromatographically purified avian myeloblastosis virus (AMV) group-specific (gs) antigens were used in enzyme-linked immunosorbent assay (ELISA). Readily discernible color was produced with 2--3 ng of AMV protein in microplate wells coated with 4 micrograms of salt-precipitated immunoglobulins. When a biological assay, i.e., phenotypic mixing (PM), was the criterion for the infectious status of specimens, the ELISA consistently identified a greater percentage of virus-positive specimens than direct complement-fixation (DCF) tests. Over 95% concordance was obtained between the ELISA and PM bioassays when meconia and whole-blood samples were tested. Moreover, three DCF(-) egg albumens from one virus shedder hen were positive by the direct ELISA. Complete agreement was found between a biological assay for endogenous virus and the ELISA when blood and albumens from inbred chickens were tested. The ELISA is a rapid and convenient alternative to the DCF test for identifying infected chickens in eradication programs, because virus-rich sources such as meconia and blood that are unsuitable for DCF can be tested directly.", "author" : [ { "dropping-particle" : "", "family" : "Smith", "given" : "E J", "non-dropping-particle" : "", "parse-names" : false, "suffix" : "" }, { "dropping-particle" : "", "family" : "Fadly", "given" : "A", "non-dropping-particle" : "", "parse-names" : false, "suffix" : "" }, { "dropping-particle" : "", "family" : "Okazaki", "given" : "W", "non-dropping-particle" : "", "parse-names" : false, "suffix" : "" } ], "container-title" : "Avian diseases", "id" : "ITEM-1", "issue" : "3", "issued" : { "date-parts" : [ [ "1979" ] ] }, "note" : "Method for deecting various viral elements using ELISA on blood serum.", "page" : "698-707", "title" : "An enzyme-linked immunosorbent assay for detecting avian leukosis-sarcoma viruses.", "type" : "article-journal", "volume" : "23" }, "uris" : [ "http://www.mendeley.com/documents/?uuid=9d0b9432-2ff3-4d1e-b63a-05437bca47bb" ] } ], "mendeley" : { "formattedCitation" : "(Smith et al. 1979)", "plainTextFormattedCitation" : "(Smith et al. 1979)", "previouslyFormattedCitation" : "(Smith et al. 1979)" }, "properties" : { "noteIndex" : 0 }, "schema" : "https://github.com/citation-style-language/schema/raw/master/csl-citation.json" }</w:instrText>
      </w:r>
      <w:r>
        <w:fldChar w:fldCharType="separate"/>
      </w:r>
      <w:r w:rsidRPr="00F779EA">
        <w:rPr>
          <w:noProof/>
        </w:rPr>
        <w:t>(Smith et al. 1979)</w:t>
      </w:r>
      <w:r>
        <w:fldChar w:fldCharType="end"/>
      </w:r>
      <w:r>
        <w:t xml:space="preserve">. </w:t>
      </w:r>
    </w:p>
    <w:p w14:paraId="22278957" w14:textId="271CDC74" w:rsidR="00084F43" w:rsidRDefault="00C158EB" w:rsidP="00391005">
      <w:pPr>
        <w:pStyle w:val="ListParagraph"/>
      </w:pPr>
      <w:r>
        <w:rPr>
          <w:noProof/>
          <w:lang w:eastAsia="en-GB"/>
        </w:rPr>
        <w:lastRenderedPageBreak/>
        <w:drawing>
          <wp:inline distT="0" distB="0" distL="0" distR="0" wp14:anchorId="059FF6F2" wp14:editId="03EC5435">
            <wp:extent cx="5215760" cy="3536830"/>
            <wp:effectExtent l="0" t="0" r="4445"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2">
                      <a:extLst>
                        <a:ext uri="{28A0092B-C50C-407E-A947-70E740481C1C}">
                          <a14:useLocalDpi xmlns:a14="http://schemas.microsoft.com/office/drawing/2010/main" val="0"/>
                        </a:ext>
                      </a:extLst>
                    </a:blip>
                    <a:srcRect l="1202"/>
                    <a:stretch/>
                  </pic:blipFill>
                  <pic:spPr bwMode="auto">
                    <a:xfrm>
                      <a:off x="0" y="0"/>
                      <a:ext cx="5221601" cy="3540791"/>
                    </a:xfrm>
                    <a:prstGeom prst="rect">
                      <a:avLst/>
                    </a:prstGeom>
                    <a:noFill/>
                    <a:ln>
                      <a:noFill/>
                    </a:ln>
                    <a:extLst>
                      <a:ext uri="{53640926-AAD7-44D8-BBD7-CCE9431645EC}">
                        <a14:shadowObscured xmlns:a14="http://schemas.microsoft.com/office/drawing/2010/main"/>
                      </a:ext>
                    </a:extLst>
                  </pic:spPr>
                </pic:pic>
              </a:graphicData>
            </a:graphic>
          </wp:inline>
        </w:drawing>
      </w:r>
    </w:p>
    <w:p w14:paraId="16A722A7" w14:textId="7B6B9EBF" w:rsidR="00E14D34" w:rsidRPr="00EA0FF7" w:rsidRDefault="00084F43" w:rsidP="007F0839">
      <w:pPr>
        <w:pStyle w:val="Figure"/>
      </w:pPr>
      <w:bookmarkStart w:id="532" w:name="_Ref479784206"/>
      <w:bookmarkStart w:id="533" w:name="_Toc486785469"/>
      <w:r>
        <w:t xml:space="preserve">Figure </w:t>
      </w:r>
      <w:fldSimple w:instr=" STYLEREF 1 \s " w:fldLock="1">
        <w:r w:rsidR="002C549C">
          <w:rPr>
            <w:noProof/>
          </w:rPr>
          <w:t>6</w:t>
        </w:r>
      </w:fldSimple>
      <w:r w:rsidR="001167C6">
        <w:t>.</w:t>
      </w:r>
      <w:fldSimple w:instr=" SEQ Figure \* ARABIC \s 1 " w:fldLock="1">
        <w:r w:rsidR="002C549C">
          <w:rPr>
            <w:noProof/>
          </w:rPr>
          <w:t>24</w:t>
        </w:r>
      </w:fldSimple>
      <w:bookmarkEnd w:id="532"/>
      <w:r>
        <w:t xml:space="preserve"> Schematic showing ALVE </w:t>
      </w:r>
      <w:r w:rsidRPr="00084F43">
        <w:rPr>
          <w:i/>
        </w:rPr>
        <w:t>gag-pol</w:t>
      </w:r>
      <w:r>
        <w:t xml:space="preserve"> domains and the open reading frames identified in each of the twelve ALVEs containing </w:t>
      </w:r>
      <w:r>
        <w:rPr>
          <w:i/>
        </w:rPr>
        <w:t>gag</w:t>
      </w:r>
      <w:r>
        <w:t xml:space="preserve"> or </w:t>
      </w:r>
      <w:r>
        <w:rPr>
          <w:i/>
        </w:rPr>
        <w:t>pol</w:t>
      </w:r>
      <w:r>
        <w:t xml:space="preserve"> sequence.</w:t>
      </w:r>
      <w:r w:rsidR="00C158EB">
        <w:t xml:space="preserve"> Non-continuous ORFs are shown with dotted lines. The solid line connecting the ORF blocks of ALVE3 shows contiguity</w:t>
      </w:r>
      <w:r w:rsidR="00EA0FF7">
        <w:t xml:space="preserve"> but the absence of PRO and RT</w:t>
      </w:r>
      <w:r w:rsidR="00C158EB">
        <w:t>.</w:t>
      </w:r>
      <w:r w:rsidR="00EA0FF7">
        <w:t xml:space="preserve"> Abbreviated </w:t>
      </w:r>
      <w:r w:rsidR="00EA0FF7">
        <w:rPr>
          <w:i/>
        </w:rPr>
        <w:t xml:space="preserve">pol </w:t>
      </w:r>
      <w:r w:rsidR="00EA0FF7">
        <w:t xml:space="preserve">domains are: PRO = </w:t>
      </w:r>
      <w:r w:rsidR="00EA0FF7">
        <w:rPr>
          <w:i/>
        </w:rPr>
        <w:t>protease</w:t>
      </w:r>
      <w:r w:rsidR="00EA0FF7">
        <w:t xml:space="preserve">, RT = </w:t>
      </w:r>
      <w:r w:rsidR="00EA0FF7">
        <w:rPr>
          <w:i/>
        </w:rPr>
        <w:t>reverse transcriptase</w:t>
      </w:r>
      <w:r w:rsidR="00EA0FF7">
        <w:t xml:space="preserve">, INT = </w:t>
      </w:r>
      <w:r w:rsidR="00EA0FF7">
        <w:rPr>
          <w:i/>
        </w:rPr>
        <w:t>integrase</w:t>
      </w:r>
      <w:r w:rsidR="00EA0FF7">
        <w:t>.</w:t>
      </w:r>
      <w:bookmarkEnd w:id="533"/>
    </w:p>
    <w:p w14:paraId="67C1DED0" w14:textId="0EED21D2" w:rsidR="00E14D34" w:rsidRDefault="00E14D34" w:rsidP="00E14D34">
      <w:pPr>
        <w:pStyle w:val="Heading4"/>
      </w:pPr>
      <w:r>
        <w:t>ORF2: env</w:t>
      </w:r>
    </w:p>
    <w:p w14:paraId="2E85E384" w14:textId="77777777" w:rsidR="009E692D" w:rsidRDefault="009E692D" w:rsidP="00391005">
      <w:pPr>
        <w:pStyle w:val="ListParagraph"/>
      </w:pPr>
      <w:r>
        <w:t xml:space="preserve">Ten of the sequenced ALVEs exhibited intact </w:t>
      </w:r>
      <w:r>
        <w:rPr>
          <w:i/>
        </w:rPr>
        <w:t>envelope</w:t>
      </w:r>
      <w:r>
        <w:t xml:space="preserve"> ORFs spanning both domains. These were ALVE1, ALVE3, ALVE9, ALVE21, ALVE-TYR, ALVE-NSAC1, ALVE-NSAC7, ALVE_ros003, ALVE_ros004 and ALVE_ros008. On average, each of these exhibited four to six non-synonymous changes across this region. </w:t>
      </w:r>
    </w:p>
    <w:p w14:paraId="1D5F6EF6" w14:textId="2BDF6DB9" w:rsidR="00E14D34" w:rsidRDefault="009E692D" w:rsidP="00391005">
      <w:pPr>
        <w:pStyle w:val="ListParagraph"/>
      </w:pPr>
      <w:r>
        <w:t xml:space="preserve">ALVE_ros001 had a single ORF which covered most of </w:t>
      </w:r>
      <w:r>
        <w:rPr>
          <w:i/>
        </w:rPr>
        <w:t>envelope</w:t>
      </w:r>
      <w:r>
        <w:t xml:space="preserve">, but truncated 47 amino acids short of the 3’ end. Despite this, the transmembrane motif itself was not affected, so the protein may retain function if the cytoplasmic tail is not required for folding. ALVEB5 had two ORFs over the region. The first is truncated so misses 147 amino acids of the surface (SU) domain, but the second ORF covers the entire transmembrane (TM) domain. The largely truncated ALVE_ros007 also has two ORFs. The first starts within 75 bp of the truncated element and covers 67 amino acids of SU </w:t>
      </w:r>
      <w:r>
        <w:lastRenderedPageBreak/>
        <w:t xml:space="preserve">and 33 amino acids of TM before an indel-caused frame shift mutation. The second ORF covers the final 153 TM amino acids. </w:t>
      </w:r>
    </w:p>
    <w:p w14:paraId="35812D2C" w14:textId="56EAE90A" w:rsidR="009E692D" w:rsidRPr="009E692D" w:rsidRDefault="00016190" w:rsidP="00391005">
      <w:pPr>
        <w:pStyle w:val="ListParagraph"/>
      </w:pPr>
      <w:r>
        <w:t>T</w:t>
      </w:r>
      <w:r w:rsidR="009E692D">
        <w:t xml:space="preserve">he majority of sequenced </w:t>
      </w:r>
      <w:r w:rsidR="009E692D">
        <w:rPr>
          <w:i/>
        </w:rPr>
        <w:t>envelope</w:t>
      </w:r>
      <w:r w:rsidR="009E692D">
        <w:t xml:space="preserve"> appears intact, </w:t>
      </w:r>
      <w:r>
        <w:t xml:space="preserve">however expression may be inhibited as </w:t>
      </w:r>
      <w:r w:rsidR="009E692D">
        <w:t>all sequences contain the full miR-155 target site</w:t>
      </w:r>
      <w:r>
        <w:t xml:space="preserve"> </w:t>
      </w:r>
      <w:r>
        <w:fldChar w:fldCharType="begin" w:fldLock="1"/>
      </w:r>
      <w:r w:rsidR="009B2049">
        <w:instrText>ADDIN CSL_CITATION { "citationItems" : [ { "id" : "ITEM-1", "itemData" : { "DOI" : "10.1007/s00705-016-2833-8", "ISSN" : "03048608", "PMID" : "27016933", "abstract" : "Endogenous retroviruses (ERVs) are important retroelements that reside in host genomes. However, ERV expression patterns and regulatory mechanisms are poorly understood. In this study, chicken embryo fibroblasts (CEFs) and MSB1 cells infected with Marek's disease virus (MDV) exhibited significantly increased expression of env from the endogenous retrovirus ALVE. In contrast, env expression was significantly lower in CEF and MSB1 cells infected with exogenous avian leukosis virus J (ALVJ) at the early infection stage. Furthermore, env was found to be ubiquitously expressed in various chicken tissues, with high expression in certain tissues at 2\u00a0days of age and low levels in most tissues, including immune organs (thymus, spleen and bursa) as well as the brain and heart, at 35\u00a0days of age. Sequence analysis revealed miR-155 target sites in env transcripts, which was verified using a firefly luciferase reporter assay, and treatment with miR-155 agomir significantly decreased levels of env transcripts in MSB1 and CEF cells. Together, these findings suggest that the env gene from the endogenous retrovirus ALVE is regulated by miR-155.", "author" : [ { "dropping-particle" : "", "family" : "Hu", "given" : "Xuming", "non-dropping-particle" : "", "parse-names" : false, "suffix" : "" }, { "dropping-particle" : "", "family" : "Zhu", "given" : "Wenqi", "non-dropping-particle" : "", "parse-names" : false, "suffix" : "" }, { "dropping-particle" : "", "family" : "Chen", "given" : "Shihao", "non-dropping-particle" : "", "parse-names" : false, "suffix" : "" }, { "dropping-particle" : "", "family" : "Liu", "given" : "Yangyang", "non-dropping-particle" : "", "parse-names" : false, "suffix" : "" }, { "dropping-particle" : "", "family" : "Sun", "given" : "Zhen", "non-dropping-particle" : "", "parse-names" : false, "suffix" : "" }, { "dropping-particle" : "", "family" : "Geng", "given" : "Tuoyu", "non-dropping-particle" : "", "parse-names" : false, "suffix" : "" }, { "dropping-particle" : "", "family" : "Wang", "given" : "Xiaoyan", "non-dropping-particle" : "", "parse-names" : false, "suffix" : "" }, { "dropping-particle" : "", "family" : "Gao", "given" : "Bo", "non-dropping-particle" : "", "parse-names" : false, "suffix" : "" }, { "dropping-particle" : "", "family" : "Song", "given" : "Chengyi", "non-dropping-particle" : "", "parse-names" : false, "suffix" : "" }, { "dropping-particle" : "", "family" : "Qin", "given" : "Aijian", "non-dropping-particle" : "", "parse-names" : false, "suffix" : "" }, { "dropping-particle" : "", "family" : "Cui", "given" : "Hengmi", "non-dropping-particle" : "", "parse-names" : false, "suffix" : "" } ], "container-title" : "Archives of Virology", "id" : "ITEM-1", "issue" : "6", "issued" : { "date-parts" : [ [ "2016" ] ] }, "page" : "1623-1632", "publisher" : "Springer Vienna", "title" : "Expression of the env gene from the avian endogenous retrovirus ALVE and regulation by miR-155", "type" : "article-journal", "volume" : "161" }, "uris" : [ "http://www.mendeley.com/documents/?uuid=fecfc91f-ea2c-4900-aa16-be66ffa5f8f7" ] } ], "mendeley" : { "formattedCitation" : "(Hu, Zhu, Chen, Liu, Sun, Geng, Wang, et al. 2016)", "plainTextFormattedCitation" : "(Hu, Zhu, Chen, Liu, Sun, Geng, Wang, et al. 2016)", "previouslyFormattedCitation" : "(Hu, Zhu, Chen, Liu, Sun, Geng, Wang, et al. 2016)" }, "properties" : { "noteIndex" : 0 }, "schema" : "https://github.com/citation-style-language/schema/raw/master/csl-citation.json" }</w:instrText>
      </w:r>
      <w:r>
        <w:fldChar w:fldCharType="separate"/>
      </w:r>
      <w:r w:rsidR="009B2049" w:rsidRPr="009B2049">
        <w:rPr>
          <w:noProof/>
        </w:rPr>
        <w:t>(Hu, Zhu, Chen, Liu, Sun, Geng, Wang, et al. 2016)</w:t>
      </w:r>
      <w:r>
        <w:fldChar w:fldCharType="end"/>
      </w:r>
      <w:r w:rsidR="00091112">
        <w:t xml:space="preserve">. </w:t>
      </w:r>
    </w:p>
    <w:p w14:paraId="201A0B6B" w14:textId="64D59DE1" w:rsidR="00084F43" w:rsidRPr="003A3EAD" w:rsidRDefault="00084F43" w:rsidP="00391005">
      <w:pPr>
        <w:pStyle w:val="ListParagraph"/>
      </w:pPr>
    </w:p>
    <w:p w14:paraId="72169CD3" w14:textId="3D6079BC" w:rsidR="00084F43" w:rsidRDefault="00016190" w:rsidP="00391005">
      <w:pPr>
        <w:pStyle w:val="ListParagraph"/>
      </w:pPr>
      <w:r>
        <w:rPr>
          <w:noProof/>
          <w:lang w:eastAsia="en-GB"/>
        </w:rPr>
        <w:drawing>
          <wp:inline distT="0" distB="0" distL="0" distR="0" wp14:anchorId="661860E9" wp14:editId="4BAE8C1F">
            <wp:extent cx="5207651" cy="134572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3">
                      <a:extLst>
                        <a:ext uri="{28A0092B-C50C-407E-A947-70E740481C1C}">
                          <a14:useLocalDpi xmlns:a14="http://schemas.microsoft.com/office/drawing/2010/main" val="0"/>
                        </a:ext>
                      </a:extLst>
                    </a:blip>
                    <a:srcRect l="1580"/>
                    <a:stretch/>
                  </pic:blipFill>
                  <pic:spPr bwMode="auto">
                    <a:xfrm>
                      <a:off x="0" y="0"/>
                      <a:ext cx="5224448" cy="1350062"/>
                    </a:xfrm>
                    <a:prstGeom prst="rect">
                      <a:avLst/>
                    </a:prstGeom>
                    <a:noFill/>
                    <a:ln>
                      <a:noFill/>
                    </a:ln>
                    <a:extLst>
                      <a:ext uri="{53640926-AAD7-44D8-BBD7-CCE9431645EC}">
                        <a14:shadowObscured xmlns:a14="http://schemas.microsoft.com/office/drawing/2010/main"/>
                      </a:ext>
                    </a:extLst>
                  </pic:spPr>
                </pic:pic>
              </a:graphicData>
            </a:graphic>
          </wp:inline>
        </w:drawing>
      </w:r>
    </w:p>
    <w:p w14:paraId="7554AAAF" w14:textId="0002AD3A" w:rsidR="00272D45" w:rsidRDefault="00084F43" w:rsidP="00F45DBD">
      <w:pPr>
        <w:pStyle w:val="Figure"/>
      </w:pPr>
      <w:bookmarkStart w:id="534" w:name="_Ref479784213"/>
      <w:bookmarkStart w:id="535" w:name="_Toc486785470"/>
      <w:r>
        <w:t xml:space="preserve">Figure </w:t>
      </w:r>
      <w:fldSimple w:instr=" STYLEREF 1 \s " w:fldLock="1">
        <w:r w:rsidR="002C549C">
          <w:rPr>
            <w:noProof/>
          </w:rPr>
          <w:t>6</w:t>
        </w:r>
      </w:fldSimple>
      <w:r w:rsidR="001167C6">
        <w:t>.</w:t>
      </w:r>
      <w:fldSimple w:instr=" SEQ Figure \* ARABIC \s 1 " w:fldLock="1">
        <w:r w:rsidR="002C549C">
          <w:rPr>
            <w:noProof/>
          </w:rPr>
          <w:t>25</w:t>
        </w:r>
      </w:fldSimple>
      <w:bookmarkEnd w:id="534"/>
      <w:r>
        <w:t xml:space="preserve"> ALVE </w:t>
      </w:r>
      <w:r>
        <w:rPr>
          <w:i/>
        </w:rPr>
        <w:t>envelope</w:t>
      </w:r>
      <w:r>
        <w:t xml:space="preserve"> schematic showing surface (SU) and transmembrane (TM) domains and the open reading frames </w:t>
      </w:r>
      <w:r w:rsidR="0011469E">
        <w:t xml:space="preserve">identified </w:t>
      </w:r>
      <w:r w:rsidR="00F45DBD">
        <w:t xml:space="preserve">in the three ALVEs with non-intact </w:t>
      </w:r>
      <w:r w:rsidR="00F45DBD">
        <w:rPr>
          <w:i/>
        </w:rPr>
        <w:t>envelope</w:t>
      </w:r>
      <w:r w:rsidR="00F45DBD">
        <w:t xml:space="preserve"> ORFs compared to the intact ORF.</w:t>
      </w:r>
      <w:bookmarkEnd w:id="535"/>
      <w:r w:rsidR="00F45DBD">
        <w:t xml:space="preserve"> </w:t>
      </w:r>
    </w:p>
    <w:p w14:paraId="3DDDA119" w14:textId="77777777" w:rsidR="0064667E" w:rsidRDefault="0064667E" w:rsidP="0064667E">
      <w:pPr>
        <w:pStyle w:val="Heading2"/>
      </w:pPr>
      <w:bookmarkStart w:id="536" w:name="_Toc485721655"/>
      <w:bookmarkStart w:id="537" w:name="_Toc486787235"/>
      <w:bookmarkStart w:id="538" w:name="_Toc486787383"/>
      <w:r>
        <w:t>The ALVEs of the Roslin J-Line</w:t>
      </w:r>
      <w:bookmarkEnd w:id="536"/>
      <w:bookmarkEnd w:id="537"/>
      <w:bookmarkEnd w:id="538"/>
    </w:p>
    <w:p w14:paraId="39D2C2F5" w14:textId="1D9F4A32" w:rsidR="00AE3685" w:rsidRDefault="00B72453" w:rsidP="00391005">
      <w:pPr>
        <w:pStyle w:val="ListParagraph"/>
      </w:pPr>
      <w:r>
        <w:t xml:space="preserve">Three ALVEs were identified in the Roslin J-Line: ALVE15 (3:70,384,294; GTTTAT), ALVE3 (20:10,309,352; AACCAC) and a novel insertion on chromosome 15 </w:t>
      </w:r>
      <w:r w:rsidR="00EA0FF7">
        <w:t xml:space="preserve">named ALVE_ros011 </w:t>
      </w:r>
      <w:r>
        <w:t xml:space="preserve">(15:7,599,053; CTCACT). </w:t>
      </w:r>
      <w:r w:rsidR="00B522EE">
        <w:t xml:space="preserve">As has been </w:t>
      </w:r>
      <w:r>
        <w:t>described</w:t>
      </w:r>
      <w:r w:rsidR="00B522EE">
        <w:t xml:space="preserve"> above</w:t>
      </w:r>
      <w:r>
        <w:t>, ALVE15 and ALVE3 are within gene introns (GRIK2 intron 16 and HCK in</w:t>
      </w:r>
      <w:r w:rsidR="00F90D15">
        <w:t xml:space="preserve">tron 6 respectively), but the novel </w:t>
      </w:r>
      <w:r w:rsidR="00CB0554">
        <w:t>ALVE_ros011</w:t>
      </w:r>
      <w:r>
        <w:t xml:space="preserve"> </w:t>
      </w:r>
      <w:r w:rsidR="00F90D15">
        <w:t>wa</w:t>
      </w:r>
      <w:r w:rsidR="00B522EE">
        <w:t>s</w:t>
      </w:r>
      <w:r>
        <w:t xml:space="preserve"> intergenic.</w:t>
      </w:r>
      <w:r w:rsidR="00210614">
        <w:t xml:space="preserve"> </w:t>
      </w:r>
      <w:r>
        <w:t xml:space="preserve">As the J-Line sequencing data was for individual birds, the ALVE frequencies could be estimated directly from the BAM files. ALVE3 was fixed across the individuals, ALVE15 had a frequency of 0.66 and </w:t>
      </w:r>
      <w:r w:rsidR="00CB0554">
        <w:t>ALVE_ros011</w:t>
      </w:r>
      <w:r w:rsidR="00AF6C16">
        <w:t>of 0.44</w:t>
      </w:r>
      <w:r>
        <w:t>.</w:t>
      </w:r>
      <w:r w:rsidR="00F90D15">
        <w:t xml:space="preserve"> There was no observed sequencing bias between ALVE and wildtype alleles.</w:t>
      </w:r>
    </w:p>
    <w:p w14:paraId="5A045E3D" w14:textId="5B919E36" w:rsidR="00210614" w:rsidRPr="00022DFA" w:rsidRDefault="00022DFA" w:rsidP="00391005">
      <w:pPr>
        <w:pStyle w:val="ListParagraph"/>
      </w:pPr>
      <w:r>
        <w:t>The</w:t>
      </w:r>
      <w:r w:rsidR="000C5AF2">
        <w:t xml:space="preserve"> insertion detection</w:t>
      </w:r>
      <w:r>
        <w:t xml:space="preserve"> modelling suggests that, given the sampling of nine individuals from the population of 32, insertions with frequency greater than or equal to 0.36 would be detected 100% of the time. Insert frequencies of 0.125 can be detected 95% of the time, and frequencies of 0.1 would be detected 90% of the time. This means that any rare ALVEs in the JL could have been missed by sequencing </w:t>
      </w:r>
      <w:r w:rsidR="007A3DC1">
        <w:t>only nine individuals. However</w:t>
      </w:r>
      <w:r w:rsidR="003331B4">
        <w:t xml:space="preserve">, </w:t>
      </w:r>
      <w:r>
        <w:t xml:space="preserve">sampling more individuals has a limited effect on increasing the confidence </w:t>
      </w:r>
      <w:r>
        <w:lastRenderedPageBreak/>
        <w:t>of detecting rarer insertions.</w:t>
      </w:r>
      <w:r w:rsidR="003331B4">
        <w:t xml:space="preserve"> Specifically, 95% confidence of detecting an insert with frequency of 0.05 is only achieved by sampling 20 individuals, and 31 individuals would be needed to achieve 95% confidence of identifying any insertion. </w:t>
      </w:r>
    </w:p>
    <w:p w14:paraId="658E03F3" w14:textId="77777777" w:rsidR="00B72453" w:rsidRDefault="00B72453" w:rsidP="00391005">
      <w:pPr>
        <w:pStyle w:val="ListParagraph"/>
      </w:pPr>
    </w:p>
    <w:p w14:paraId="143A5E0B" w14:textId="321256CE" w:rsidR="00AE3685" w:rsidRDefault="00AE3685" w:rsidP="00AE3685">
      <w:pPr>
        <w:pStyle w:val="Heading3"/>
      </w:pPr>
      <w:bookmarkStart w:id="539" w:name="_Toc485721656"/>
      <w:bookmarkStart w:id="540" w:name="_Toc486787236"/>
      <w:bookmarkStart w:id="541" w:name="_Toc486787384"/>
      <w:r>
        <w:t>PCR assay development and genotyping</w:t>
      </w:r>
      <w:bookmarkEnd w:id="539"/>
      <w:bookmarkEnd w:id="540"/>
      <w:bookmarkEnd w:id="541"/>
    </w:p>
    <w:p w14:paraId="1E367A87" w14:textId="280304B7" w:rsidR="00AE3685" w:rsidRDefault="00B72453" w:rsidP="00391005">
      <w:pPr>
        <w:pStyle w:val="ListParagraph"/>
      </w:pPr>
      <w:r>
        <w:t xml:space="preserve">New </w:t>
      </w:r>
      <w:r w:rsidR="00F90D15">
        <w:t xml:space="preserve">gel-based </w:t>
      </w:r>
      <w:r>
        <w:t xml:space="preserve">PCR primers </w:t>
      </w:r>
      <w:r w:rsidR="00EA0FF7">
        <w:t>were developed for</w:t>
      </w:r>
      <w:r>
        <w:t xml:space="preserve"> </w:t>
      </w:r>
      <w:r w:rsidR="00CB0554">
        <w:t>ALVE_ros011</w:t>
      </w:r>
      <w:r w:rsidR="00EA0FF7">
        <w:t xml:space="preserve"> genotyping</w:t>
      </w:r>
      <w:r>
        <w:t>. All three designed primers were twenty-two nucleotides long, had GC content of 45</w:t>
      </w:r>
      <w:r w:rsidR="00D06B86">
        <w:t xml:space="preserve"> </w:t>
      </w:r>
      <w:r>
        <w:t>-</w:t>
      </w:r>
      <w:r w:rsidR="00D06B86">
        <w:t xml:space="preserve"> </w:t>
      </w:r>
      <w:r>
        <w:t>55</w:t>
      </w:r>
      <w:r w:rsidR="00D06B86">
        <w:t xml:space="preserve"> </w:t>
      </w:r>
      <w:r>
        <w:t xml:space="preserve">%, </w:t>
      </w:r>
      <w:r w:rsidR="00945CFD">
        <w:t>and T</w:t>
      </w:r>
      <w:r w:rsidR="00945CFD">
        <w:rPr>
          <w:vertAlign w:val="subscript"/>
        </w:rPr>
        <w:t>m</w:t>
      </w:r>
      <w:r w:rsidR="00945CFD">
        <w:t xml:space="preserve"> of </w:t>
      </w:r>
      <w:r w:rsidR="00510A2E">
        <w:t xml:space="preserve">approximately </w:t>
      </w:r>
      <w:r w:rsidR="00945CFD">
        <w:t>60˚C. The common forward primer sequence</w:t>
      </w:r>
      <w:r w:rsidR="00510A2E">
        <w:t xml:space="preserve"> was 5’-GTTCAGGCTAACCAACAAAACC,</w:t>
      </w:r>
      <w:r w:rsidR="00945CFD">
        <w:t xml:space="preserve"> the ‘no insert’ reverse primer was 5’-AGACACTTCACACACCTTGTGC, and the ‘insert’ reverse primer was 5’-GACAGACCGTTGA</w:t>
      </w:r>
      <w:r w:rsidR="00EA0FF7">
        <w:t xml:space="preserve">GTCCCTAAC and derived from </w:t>
      </w:r>
      <w:r w:rsidR="00945CFD">
        <w:t>clipped LTR sequence. This design produced bands of 455</w:t>
      </w:r>
      <w:r w:rsidR="00D06B86">
        <w:t xml:space="preserve"> </w:t>
      </w:r>
      <w:r w:rsidR="00945CFD">
        <w:t xml:space="preserve">bp for no </w:t>
      </w:r>
      <w:r w:rsidR="00B522EE">
        <w:t>insert and 289</w:t>
      </w:r>
      <w:r w:rsidR="00D06B86">
        <w:t xml:space="preserve"> </w:t>
      </w:r>
      <w:r w:rsidR="00B522EE">
        <w:t>bp when the ALVE wa</w:t>
      </w:r>
      <w:r w:rsidR="00945CFD">
        <w:t>s present.</w:t>
      </w:r>
      <w:r w:rsidR="00EA0FF7">
        <w:t xml:space="preserve"> P</w:t>
      </w:r>
      <w:r w:rsidR="008F4167">
        <w:t>rimer</w:t>
      </w:r>
      <w:r w:rsidR="00EA0FF7">
        <w:t>s</w:t>
      </w:r>
      <w:r w:rsidR="008F4167">
        <w:t xml:space="preserve"> and </w:t>
      </w:r>
      <w:r w:rsidR="00EA0FF7">
        <w:t>product sizes</w:t>
      </w:r>
      <w:r w:rsidR="008F4167">
        <w:t xml:space="preserve"> for ALVE3 an</w:t>
      </w:r>
      <w:r w:rsidR="00AF6C16">
        <w:t xml:space="preserve">d ALVE15 are presented above in </w:t>
      </w:r>
      <w:r w:rsidR="00AF6C16">
        <w:fldChar w:fldCharType="begin" w:fldLock="1"/>
      </w:r>
      <w:r w:rsidR="00AF6C16">
        <w:instrText xml:space="preserve"> REF _Ref479016310 \h </w:instrText>
      </w:r>
      <w:r w:rsidR="00AF6C16">
        <w:fldChar w:fldCharType="separate"/>
      </w:r>
      <w:r w:rsidR="002C549C">
        <w:t xml:space="preserve">Table </w:t>
      </w:r>
      <w:r w:rsidR="002C549C">
        <w:rPr>
          <w:noProof/>
        </w:rPr>
        <w:t>6</w:t>
      </w:r>
      <w:r w:rsidR="002C549C">
        <w:t>.</w:t>
      </w:r>
      <w:r w:rsidR="002C549C">
        <w:rPr>
          <w:noProof/>
        </w:rPr>
        <w:t>5</w:t>
      </w:r>
      <w:r w:rsidR="00AF6C16">
        <w:fldChar w:fldCharType="end"/>
      </w:r>
      <w:r w:rsidR="008F4167">
        <w:t>.</w:t>
      </w:r>
    </w:p>
    <w:p w14:paraId="2B075F2A" w14:textId="4ED73739" w:rsidR="00945CFD" w:rsidRPr="00945CFD" w:rsidRDefault="00945CFD" w:rsidP="00391005">
      <w:pPr>
        <w:pStyle w:val="ListParagraph"/>
      </w:pPr>
      <w:r>
        <w:t>All flock indi</w:t>
      </w:r>
      <w:r w:rsidR="00EA0FF7">
        <w:t xml:space="preserve">viduals were tested for </w:t>
      </w:r>
      <w:r>
        <w:t>the identified ALVEs. ALV</w:t>
      </w:r>
      <w:r w:rsidR="00AF6C16">
        <w:t>E3 was fixed within the line</w:t>
      </w:r>
      <w:r w:rsidR="007267ED">
        <w:t xml:space="preserve">. ALVE15 had a frequency of 0.63, with twelve of the thirty-two individuals homozygous for the insert, and sixteen </w:t>
      </w:r>
      <w:r w:rsidR="006F2A9A">
        <w:t>heterozygote individuals</w:t>
      </w:r>
      <w:r w:rsidR="007267ED">
        <w:t xml:space="preserve">. </w:t>
      </w:r>
      <w:r w:rsidR="00CB0554">
        <w:t>ALVE_ros011</w:t>
      </w:r>
      <w:r w:rsidR="007267ED">
        <w:t xml:space="preserve"> had a lower frequency </w:t>
      </w:r>
      <w:r w:rsidR="00EA0FF7">
        <w:t>of 0.44, also with twelve</w:t>
      </w:r>
      <w:r w:rsidR="007267ED">
        <w:t xml:space="preserve"> heteroz</w:t>
      </w:r>
      <w:r w:rsidR="00EA0FF7">
        <w:t>ygotes but only six</w:t>
      </w:r>
      <w:r w:rsidR="00AF6C16">
        <w:t xml:space="preserve"> homozygous</w:t>
      </w:r>
      <w:r w:rsidR="00EA0FF7">
        <w:t xml:space="preserve"> individuals</w:t>
      </w:r>
      <w:r w:rsidR="007267ED">
        <w:t>. These observed frequencies for the entire flock from 2016 closely match</w:t>
      </w:r>
      <w:r w:rsidR="00EA0FF7">
        <w:t>ed</w:t>
      </w:r>
      <w:r w:rsidR="007267ED">
        <w:t xml:space="preserve"> the frequencies from the 2013 sequencing dataset. Only one individual was homozygous for all three inserts, and only one lacked both the ALVE15 and </w:t>
      </w:r>
      <w:r w:rsidR="00CB0554">
        <w:t xml:space="preserve">ALVE_ros011 </w:t>
      </w:r>
      <w:r w:rsidR="00AF6C16">
        <w:t>inserts</w:t>
      </w:r>
      <w:r w:rsidR="007267ED">
        <w:t>.</w:t>
      </w:r>
    </w:p>
    <w:p w14:paraId="54DAAB18" w14:textId="77777777" w:rsidR="00AE3685" w:rsidRDefault="00AE3685" w:rsidP="00391005">
      <w:pPr>
        <w:pStyle w:val="ListParagraph"/>
      </w:pPr>
    </w:p>
    <w:p w14:paraId="63E29394" w14:textId="6189181F" w:rsidR="00AE3685" w:rsidRDefault="00AE3685" w:rsidP="00AE3685">
      <w:pPr>
        <w:pStyle w:val="Heading3"/>
      </w:pPr>
      <w:bookmarkStart w:id="542" w:name="_Toc485721657"/>
      <w:bookmarkStart w:id="543" w:name="_Toc486787237"/>
      <w:bookmarkStart w:id="544" w:name="_Toc486787385"/>
      <w:r>
        <w:t>Comparison of results to the J-Line pool sequenced for the 600K paper</w:t>
      </w:r>
      <w:bookmarkEnd w:id="542"/>
      <w:bookmarkEnd w:id="543"/>
      <w:bookmarkEnd w:id="544"/>
    </w:p>
    <w:p w14:paraId="06448922" w14:textId="0D0BE1F3" w:rsidR="00AE3685" w:rsidRDefault="007267ED" w:rsidP="00391005">
      <w:pPr>
        <w:pStyle w:val="ListParagraph"/>
      </w:pPr>
      <w:r>
        <w:t xml:space="preserve">In 2008, ten J-Line individuals were used for an Illumina sequencing pool used in the development of the 600K SNP array </w:t>
      </w:r>
      <w:r>
        <w:fldChar w:fldCharType="begin" w:fldLock="1"/>
      </w:r>
      <w:r w:rsidR="00813982">
        <w:instrText>ADDIN CSL_CITATION { "citationItems" : [ { "id" : "ITEM-1", "itemData" : { "DOI" : "10.1186/1471-2164-14-59", "ISBN" : "1471-2164", "ISSN" : "1471-2164", "PMID" : "23356797", "abstract" : "BACKGROUND: High density (HD) SNP genotyping arrays are an important tool for genetic analyses of animals and plants. Although the chicken is one of the most important farm animals, no HD array is yet available for high resolution genetic analysis of this species. RESULTS: We report here the development of a 600 K Affymetrix\u00ae Axiom\u00ae HD genotyping array designed using SNPs segregating in a wide variety of chicken populations. In order to generate a large catalogue of segregating SNPs, we re-sequenced 243 chickens from 24 chicken lines derived from diverse sources (experimental, commercial broiler and layer lines) by pooling 10-15 samples within each line. About 139 million (M) putative SNPs were detected by mapping sequence reads to the new reference genome (Gallus_gallus_4.0) of which ~78 M appeared to be segregating in different lines. Using criteria such as high SNP-quality score, acceptable design scores predicting high conversion performance in the final array and uniformity of distribution across the genome, we selected ~1.8 M SNPs for validation through genotyping on an independent set of samples (n = 282). About 64% of the SNPs were polymorphic with high call rates (&gt;98%), good cluster separation and stable Mendelian inheritance. Polymorphic SNPs were further analysed for their population characteristics and genomic effects. SNPs with extreme breach of Hardy-Weinberg equilibrium (P &lt; 0.00001) were excluded from the panel. The final array, designed on the basis of these analyses, consists of 580,954 SNPs and includes 21,534 coding variants. SNPs were selected to achieve an essentially uniform distribution based on genetic map distance for both broiler and layer lines. Due to a lower extent of LD in broilers compared to layers, as reported in previous studies, the ratio of broiler and layer SNPs in the array was kept as 3:2. The final panel was shown to genotype a wide range of samples including broilers and layers with over 100 K to 450 K informative SNPs per line. A principal component analysis was used to demonstrate the ability of the array to detect the expected population structure which is an important pre-investigation step for many genome-wide analyses. CONCLUSIONS: This Affymetrix\u00ae Axiom\u00ae array is the first SNP genotyping array for chicken that has been made commercially available to the public as a product. This array is expected to find widespread usage both in research and commercial application such as in genomic selection, genome-wid\u2026", "author" : [ { "dropping-particle" : "", "family" : "Kranis", "given" : "Andreas", "non-dropping-particle" : "", "parse-names" : false, "suffix" : "" }, { "dropping-particle" : "", "family" : "Gheyas", "given" : "Almas A", "non-dropping-particle" : "", "parse-names" : false, "suffix" : "" }, { "dropping-particle" : "", "family" : "Boschiero", "given" : "Clarissa", "non-dropping-particle" : "", "parse-names" : false, "suffix" : "" }, { "dropping-particle" : "", "family" : "Turner", "given" : "Frances", "non-dropping-particle" : "", "parse-names" : false, "suffix" : "" }, { "dropping-particle" : "", "family" : "Yu", "given" : "Le", "non-dropping-particle" : "", "parse-names" : false, "suffix" : "" }, { "dropping-particle" : "", "family" : "Smith", "given" : "Sarah", "non-dropping-particle" : "", "parse-names" : false, "suffix" : "" }, { "dropping-particle" : "", "family" : "Talbot", "given" : "Richard", "non-dropping-particle" : "", "parse-names" : false, "suffix" : "" }, { "dropping-particle" : "", "family" : "Pirani", "given" : "Ali", "non-dropping-particle" : "", "parse-names" : false, "suffix" : "" }, { "dropping-particle" : "", "family" : "Brew", "given" : "Fiona", "non-dropping-particle" : "", "parse-names" : false, "suffix" : "" }, { "dropping-particle" : "", "family" : "Kaiser", "given" : "Pete", "non-dropping-particle" : "", "parse-names" : false, "suffix" : "" }, { "dropping-particle" : "", "family" : "Hocking", "given" : "Paul M", "non-dropping-particle" : "", "parse-names" : false, "suffix" : "" }, { "dropping-particle" : "", "family" : "Fife", "given" : "Mark", "non-dropping-particle" : "", "parse-names" : false, "suffix" : "" }, { "dropping-particle" : "", "family" : "Salmon", "given" : "Nigel", "non-dropping-particle" : "", "parse-names" : false, "suffix" : "" }, { "dropping-particle" : "", "family" : "Fulton", "given" : "Janet", "non-dropping-particle" : "", "parse-names" : false, "suffix" : "" }, { "dropping-particle" : "", "family" : "Strom", "given" : "Tim M", "non-dropping-particle" : "", "parse-names" : false, "suffix" : "" }, { "dropping-particle" : "", "family" : "Haberer", "given" : "Georg", "non-dropping-particle" : "", "parse-names" : false, "suffix" : "" }, { "dropping-particle" : "", "family" : "Weigend", "given" : "Steffen", "non-dropping-particle" : "", "parse-names" : false, "suffix" : "" }, { "dropping-particle" : "", "family" : "Preisinger", "given" : "Rudolf", "non-dropping-particle" : "", "parse-names" : false, "suffix" : "" }, { "dropping-particle" : "", "family" : "Gholami", "given" : "Mahmood", "non-dropping-particle" : "", "parse-names" : false, "suffix" : "" }, { "dropping-particle" : "", "family" : "Qanbari", "given" : "Saber", "non-dropping-particle" : "", "parse-names" : false, "suffix" : "" }, { "dropping-particle" : "", "family" : "Simianer", "given" : "Henner", "non-dropping-particle" : "", "parse-names" : false, "suffix" : "" }, { "dropping-particle" : "", "family" : "Watson", "given" : "Kellie A", "non-dropping-particle" : "", "parse-names" : false, "suffix" : "" }, { "dropping-particle" : "", "family" : "Woolliams", "given" : "John A", "non-dropping-particle" : "", "parse-names" : false, "suffix" : "" }, { "dropping-particle" : "", "family" : "Burt", "given" : "David W", "non-dropping-particle" : "", "parse-names" : false, "suffix" : "" } ], "container-title" : "BMC Genomics", "id" : "ITEM-1", "issue" : "1", "issued" : { "date-parts" : [ [ "2013" ] ] }, "page" : "59", "title" : "Development of a high density 600K SNP genotyping array for chicken.", "type" : "article-journal", "volume" : "14" }, "uris" : [ "http://www.mendeley.com/documents/?uuid=b1923286-29d1-407b-a79a-9b46a222e8f9" ] } ], "mendeley" : { "formattedCitation" : "(Kranis et al. 2013)", "plainTextFormattedCitation" : "(Kranis et al. 2013)", "previouslyFormattedCitation" : "(Kranis et al. 2013)" }, "properties" : { "noteIndex" : 0 }, "schema" : "https://github.com/citation-style-language/schema/raw/master/csl-citation.json" }</w:instrText>
      </w:r>
      <w:r>
        <w:fldChar w:fldCharType="separate"/>
      </w:r>
      <w:r w:rsidRPr="007267ED">
        <w:rPr>
          <w:noProof/>
        </w:rPr>
        <w:t>(Kranis et al. 2013)</w:t>
      </w:r>
      <w:r>
        <w:fldChar w:fldCharType="end"/>
      </w:r>
      <w:r>
        <w:t xml:space="preserve">. Analysis of this dataset with the ALVE identification pipeline identified ALVE3, with the BAM file suggesting the ALVE was homozygous in all individuals, and ALVE15, where there was clear evidence of ‘no insert’ alleles </w:t>
      </w:r>
      <w:r w:rsidR="00EA0FF7">
        <w:t xml:space="preserve">in the population. However, </w:t>
      </w:r>
      <w:r w:rsidR="00CB0554">
        <w:t>ALVE_ros01</w:t>
      </w:r>
      <w:r w:rsidR="00EA0FF7">
        <w:t>1</w:t>
      </w:r>
      <w:r>
        <w:t xml:space="preserve"> was not detected.</w:t>
      </w:r>
    </w:p>
    <w:p w14:paraId="0E4D9434" w14:textId="4CE3C160" w:rsidR="00B522EE" w:rsidRDefault="007267ED" w:rsidP="00391005">
      <w:pPr>
        <w:pStyle w:val="ListParagraph"/>
      </w:pPr>
      <w:r>
        <w:t>Ten sequencing reads covered the ins</w:t>
      </w:r>
      <w:r w:rsidR="00893A8B">
        <w:t xml:space="preserve">ertion site of </w:t>
      </w:r>
      <w:r w:rsidR="00CB0554">
        <w:t>ALVE_ros011</w:t>
      </w:r>
      <w:r w:rsidR="00893A8B">
        <w:t xml:space="preserve"> (</w:t>
      </w:r>
      <w:r>
        <w:t>average genome-wide coverag</w:t>
      </w:r>
      <w:r w:rsidR="00893A8B">
        <w:t>e was 11.27X) with none supporting an ALVE insertion</w:t>
      </w:r>
      <w:r>
        <w:t xml:space="preserve">. As the observed </w:t>
      </w:r>
      <w:r w:rsidR="00CB0554">
        <w:lastRenderedPageBreak/>
        <w:t>ALVE_ros011</w:t>
      </w:r>
      <w:r>
        <w:t xml:space="preserve"> frequency was 0.44 in both the </w:t>
      </w:r>
      <w:r w:rsidR="00B522EE">
        <w:t xml:space="preserve">2013 </w:t>
      </w:r>
      <w:r>
        <w:t>individual sequencing data and full flock 2016 samples, it is unlikely that the insertion cou</w:t>
      </w:r>
      <w:r w:rsidR="006F2A9A">
        <w:t>ld have arisen and reached this frequency</w:t>
      </w:r>
      <w:r>
        <w:t xml:space="preserve"> </w:t>
      </w:r>
      <w:r w:rsidR="006F2A9A">
        <w:t>with</w:t>
      </w:r>
      <w:r>
        <w:t>in five years</w:t>
      </w:r>
      <w:r w:rsidR="00B522EE">
        <w:t>, particularly with no observed increase between 2013 and 2016</w:t>
      </w:r>
      <w:r>
        <w:t>.</w:t>
      </w:r>
      <w:r w:rsidR="00B522EE">
        <w:t xml:space="preserve"> However, in 2016 there were ten individuals which were homozygous for no insert and sixteen heterozygotes, </w:t>
      </w:r>
      <w:r w:rsidR="00815421">
        <w:t xml:space="preserve">so, by a chance, a higher proportion of individuals lacking the insertion could have been chosen for the pool, </w:t>
      </w:r>
      <w:r w:rsidR="006543A4">
        <w:t>but only a 4.27x10</w:t>
      </w:r>
      <w:r w:rsidR="006543A4">
        <w:rPr>
          <w:vertAlign w:val="superscript"/>
        </w:rPr>
        <w:t>-13</w:t>
      </w:r>
      <w:r w:rsidR="003D07C3">
        <w:rPr>
          <w:vertAlign w:val="superscript"/>
        </w:rPr>
        <w:t xml:space="preserve"> </w:t>
      </w:r>
      <w:r w:rsidR="006543A4">
        <w:t>% chance it could have been missed altogether.</w:t>
      </w:r>
      <w:r w:rsidR="00815421">
        <w:t xml:space="preserve"> </w:t>
      </w:r>
      <w:r w:rsidR="00D3260F">
        <w:t xml:space="preserve"> </w:t>
      </w:r>
    </w:p>
    <w:p w14:paraId="1A87EE74" w14:textId="09936D67" w:rsidR="0078081C" w:rsidRDefault="00B522EE" w:rsidP="00391005">
      <w:pPr>
        <w:pStyle w:val="ListParagraph"/>
      </w:pPr>
      <w:r>
        <w:t xml:space="preserve">Genotyping of the original DNA samples used for sequencing revealed that, again, ALVE3 was fixed in the line, but both ALVE15 and </w:t>
      </w:r>
      <w:r w:rsidR="00CB0554">
        <w:t>ALVE_ros011</w:t>
      </w:r>
      <w:r>
        <w:t xml:space="preserve"> had a much lower frequency </w:t>
      </w:r>
      <w:r w:rsidR="006543A4">
        <w:t xml:space="preserve">in these individuals </w:t>
      </w:r>
      <w:r>
        <w:t xml:space="preserve">than was observed in the more recent sampling. ALVE15 frequency was 0.40, with one homozygous individual and six heterozygotes, and </w:t>
      </w:r>
      <w:r w:rsidR="00CB0554">
        <w:t>ALVE_ros011</w:t>
      </w:r>
      <w:r>
        <w:t xml:space="preserve"> frequency was just 0.15, with one homozygous individual and one heterozygote. </w:t>
      </w:r>
      <w:r w:rsidR="00CB0554">
        <w:t>ALVE_ros011</w:t>
      </w:r>
      <w:r>
        <w:t xml:space="preserve"> frequency in the pool was therefore approximately only a third of the predicted line frequency, making it very likely that those alleles were not sampled for sequencing.</w:t>
      </w:r>
      <w:r w:rsidR="00D3260F">
        <w:t xml:space="preserve"> Analysis of this site with the pooled data model fo</w:t>
      </w:r>
      <w:r w:rsidR="00EA1C2B">
        <w:t>r detection probability suggested</w:t>
      </w:r>
      <w:r w:rsidR="00D3260F">
        <w:t xml:space="preserve"> that there was a 64.7</w:t>
      </w:r>
      <w:r w:rsidR="003D07C3">
        <w:t xml:space="preserve"> </w:t>
      </w:r>
      <w:r w:rsidR="00D3260F">
        <w:t>% chan</w:t>
      </w:r>
      <w:r w:rsidR="00EA1C2B">
        <w:t>ce of missing this insertion</w:t>
      </w:r>
      <w:r w:rsidR="0073060A">
        <w:t xml:space="preserve">. </w:t>
      </w:r>
    </w:p>
    <w:p w14:paraId="0E59FEF1" w14:textId="77777777" w:rsidR="007B3D8A" w:rsidRDefault="007B3D8A" w:rsidP="00391005">
      <w:pPr>
        <w:pStyle w:val="ListParagraph"/>
      </w:pPr>
    </w:p>
    <w:p w14:paraId="67DC33E6" w14:textId="2FD42AC4" w:rsidR="0064667E" w:rsidRPr="0064667E" w:rsidRDefault="0064667E" w:rsidP="0064667E">
      <w:pPr>
        <w:pStyle w:val="Heading2"/>
      </w:pPr>
      <w:bookmarkStart w:id="545" w:name="_Toc485721658"/>
      <w:bookmarkStart w:id="546" w:name="_Toc486787238"/>
      <w:bookmarkStart w:id="547" w:name="_Toc486787386"/>
      <w:r>
        <w:t>Discussion</w:t>
      </w:r>
      <w:bookmarkEnd w:id="545"/>
      <w:bookmarkEnd w:id="546"/>
      <w:bookmarkEnd w:id="547"/>
    </w:p>
    <w:p w14:paraId="4F6248EB" w14:textId="70ADC600" w:rsidR="001435BA" w:rsidRDefault="00591AA0" w:rsidP="00391005">
      <w:pPr>
        <w:pStyle w:val="ListParagraph"/>
      </w:pPr>
      <w:r>
        <w:t xml:space="preserve">The new ALVE identification </w:t>
      </w:r>
      <w:r w:rsidR="00142A65">
        <w:t xml:space="preserve">pipeline </w:t>
      </w:r>
      <w:r>
        <w:t>developed here has been successfully used to identify twenty-one different ALVEs across nine chicken layer lines</w:t>
      </w:r>
      <w:r w:rsidR="00142A65">
        <w:t>, without the need for additional targeted sequencing</w:t>
      </w:r>
      <w:r>
        <w:t xml:space="preserve">. </w:t>
      </w:r>
      <w:r w:rsidR="00142A65">
        <w:t>Of these, six were novel to this study. The white egg layer Leghorn lines (including the Roslin J-Line) had</w:t>
      </w:r>
      <w:r w:rsidR="00F90D15">
        <w:t xml:space="preserve"> two to four ALVEs. As expected </w:t>
      </w:r>
      <w:r w:rsidR="00EA1C2B" w:rsidRPr="00EA1C2B">
        <w:fldChar w:fldCharType="begin" w:fldLock="1"/>
      </w:r>
      <w:r w:rsidR="00CF41B7">
        <w:instrText>ADDIN CSL_CITATION { "citationItems" : [ { "id" : "ITEM-1", "itemData" : { "DOI" : "10.3382/ps.0711259", "ISSN" : "0032-5791", "abstract" : "The present study was designed to document the complexity of endogenous viral (ev) genes and seek evidence for their association with production traits in selected and control strains of meat-type chickens. Three populations were studied, each consisting of a control strain and one to three strains selected for various production traits. The ev genes were revealed by digesting genomic DNA with restriction enzymes and detecting DNA fragments on Southern blots using radioactive probes from nucleotide sequences of the avian leukosis virus genome. A total of 31 polymorphic ev loci were identified in these populations from a SacI digest, with an average of 7.3 ev genes per bird. There were no significant differences in ev genes per bird between strains within populations or between selected and control strains overall. Thirty of 62 comparisons in the three populations indicated ev gene frequency differences (P &lt; .05). Within populations, 13 of 93 comparisons of ev gene frequencies between control and selected strains and 8 of 62 between three selected strains of a sire population showed such differences (P &lt; .05). Selection for body weight and feed efficiency had been observed to reduce gene frequencies of the slow-feathering gene, which usually contains the ev21 locus; however, these effects were not detected (.05 &lt; P &lt; .06) between strains of the dam population in the current study. Such differences suggested possible associations between ev genes and production traits in meat-type chickens.", "author" : [ { "dropping-particle" : "", "family" : "Sabour", "given" : "M. P.", "non-dropping-particle" : "", "parse-names" : false, "suffix" : "" }, { "dropping-particle" : "", "family" : "Chambers", "given" : "J. R.", "non-dropping-particle" : "", "parse-names" : false, "suffix" : "" }, { "dropping-particle" : "", "family" : "Grunder", "given" : "A. A.", "non-dropping-particle" : "", "parse-names" : false, "suffix" : "" }, { "dropping-particle" : "", "family" : "Kuhnlein", "given" : "U.", "non-dropping-particle" : "", "parse-names" : false, "suffix" : "" }, { "dropping-particle" : "", "family" : "Gavora", "given" : "J. S.", "non-dropping-particle" : "", "parse-names" : false, "suffix" : "" } ], "container-title" : "Poultry Science", "id" : "ITEM-1", "issue" : "8", "issued" : { "date-parts" : [ [ "1992", "8", "1" ] ] }, "note" : "Identified 31 polymorphic ev loci -&amp;gt; average of 7.3 loci per bird -&amp;gt; identified using SacI digests.\nMost studies focus on the inbred white leghorn line (about 22/23 ev loci) but ev diversity is also known to be high in other birds.\nThis paper looks at meat chickens and whether there is an association between ev genes and production traits.\nExact levels of diversity unknown as digested bands are assumed to be different ev loci rather than accepting the possibility of other influencing indels etc, which may affect band size of what is the same locus.\nThey observe lots of ev loci but cannot associate results with certain traits of interest because the sample size is too small - needed to increase the power.", "page" : "1259-1270", "title" : "Endogenous Viral Gene Distribution in Populations of Meat-Type Chickens", "type" : "article-journal", "volume" : "71" }, "uris" : [ "http://www.mendeley.com/documents/?uuid=ee1c72f5-843c-4581-aa11-c7425ca2b763" ] }, { "id" : "ITEM-2",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"ITEM-2",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"(Sabour et al. 1992; Benkel 1998)", "plainTextFormattedCitation" : "(Sabour et al. 1992; Benkel 1998)", "previouslyFormattedCitation" : "(Sabour et al. 1992; Benkel 1998)" }, "properties" : { "noteIndex" : 0 }, "schema" : "https://github.com/citation-style-language/schema/raw/master/csl-citation.json" }</w:instrText>
      </w:r>
      <w:r w:rsidR="00EA1C2B" w:rsidRPr="00EA1C2B">
        <w:fldChar w:fldCharType="separate"/>
      </w:r>
      <w:r w:rsidR="00EA1C2B" w:rsidRPr="00EA1C2B">
        <w:rPr>
          <w:noProof/>
        </w:rPr>
        <w:t>(Sabour et al. 1992; Benkel 1998)</w:t>
      </w:r>
      <w:r w:rsidR="00EA1C2B" w:rsidRPr="00EA1C2B">
        <w:fldChar w:fldCharType="end"/>
      </w:r>
      <w:r w:rsidR="00142A65" w:rsidRPr="00EA1C2B">
        <w:t>,</w:t>
      </w:r>
      <w:r w:rsidR="00142A65">
        <w:t xml:space="preserve"> the</w:t>
      </w:r>
      <w:r w:rsidR="00F90D15">
        <w:t xml:space="preserve"> three brown egg layer lines </w:t>
      </w:r>
      <w:r w:rsidR="00142A65">
        <w:t>had more identified ALVEs, some of which have been previously identified in broiler l</w:t>
      </w:r>
      <w:r w:rsidR="00EA1C2B">
        <w:t xml:space="preserve">ines. The WPR sister lines </w:t>
      </w:r>
      <w:r w:rsidR="00142A65">
        <w:t>had eight</w:t>
      </w:r>
      <w:r w:rsidR="00704261">
        <w:t xml:space="preserve"> and nine</w:t>
      </w:r>
      <w:r w:rsidR="00142A65">
        <w:t xml:space="preserve"> ALVEs (seven of which were shared)</w:t>
      </w:r>
      <w:r w:rsidR="00704261">
        <w:t>,</w:t>
      </w:r>
      <w:r w:rsidR="00142A65">
        <w:t xml:space="preserve"> and the RIR had eleven. </w:t>
      </w:r>
    </w:p>
    <w:p w14:paraId="67FDE690" w14:textId="37D70832" w:rsidR="001435BA" w:rsidRDefault="001435BA" w:rsidP="00391005">
      <w:pPr>
        <w:pStyle w:val="ListParagraph"/>
      </w:pPr>
      <w:r>
        <w:t xml:space="preserve">Diagnostic assays were developed for each of the ALVEs and used to obtain insert frequencies for multiple generations of each line. ALVE1 was found to be fixed in three WLs (1, 2 and 5), ALVE3 was fixed in the JL, ALVE9 was fixed in WL3, ALVE21 was fixed in WL4 and both WPRs, and, as predicted, ALVE-TYR was fixed in both WPRs. No ALVEs were fixed in the RIR. Most ALVEs had variable frequencies which </w:t>
      </w:r>
      <w:r>
        <w:lastRenderedPageBreak/>
        <w:t>fluctuated randomly over time. It is possible that ALVEs which were rare at population level could have been missed from the identification (discussed below).</w:t>
      </w:r>
    </w:p>
    <w:p w14:paraId="0729B1D2" w14:textId="77777777" w:rsidR="001435BA" w:rsidRDefault="00177487" w:rsidP="00391005">
      <w:pPr>
        <w:pStyle w:val="ListParagraph"/>
      </w:pPr>
      <w:r>
        <w:t xml:space="preserve">Five previously characterised ALVEs (ALVE1, ALVE3, ALVE9, ALVE15 and ALVE-TYR) were intronic insertions, but no novel </w:t>
      </w:r>
      <w:r w:rsidR="00CE001E">
        <w:t>ALVEs</w:t>
      </w:r>
      <w:r>
        <w:t xml:space="preserve"> were found within or near genes. There was no observable insertion site bias related to GC content, and no patterns were observed in the insertion site hexamer sequences.</w:t>
      </w:r>
      <w:r w:rsidR="001435BA">
        <w:t xml:space="preserve"> </w:t>
      </w:r>
    </w:p>
    <w:p w14:paraId="503E22F8" w14:textId="0049F93C" w:rsidR="00CE001E" w:rsidRDefault="00CE001E" w:rsidP="00391005">
      <w:pPr>
        <w:pStyle w:val="ListParagraph"/>
      </w:pPr>
      <w:r>
        <w:t xml:space="preserve">Full </w:t>
      </w:r>
      <w:r w:rsidR="001435BA">
        <w:t xml:space="preserve">ALVE </w:t>
      </w:r>
      <w:r>
        <w:t>sequence was obtained for fif</w:t>
      </w:r>
      <w:r w:rsidR="001435BA">
        <w:t xml:space="preserve">teen of the twenty Hy-Line </w:t>
      </w:r>
      <w:r>
        <w:t xml:space="preserve">insertions. Two of these (ALVE15 and ALVE_ros005) were solo LTRs, and three (ALVE9, ALVE-NSAC1 and ALVE_ros007) had varying 5’ truncations. As previously reported in the literature, the sequence for ALVE3 was intact except for </w:t>
      </w:r>
      <w:r>
        <w:rPr>
          <w:i/>
        </w:rPr>
        <w:t>protease</w:t>
      </w:r>
      <w:r>
        <w:t xml:space="preserve"> and </w:t>
      </w:r>
      <w:r>
        <w:rPr>
          <w:i/>
        </w:rPr>
        <w:t>reverse transcriptase</w:t>
      </w:r>
      <w:r>
        <w:t xml:space="preserve"> domains. The other nine sequenced ALVEs were full length, but varied in terms of their domain intactness when ORFs were predicted. </w:t>
      </w:r>
      <w:r w:rsidR="001435BA">
        <w:t xml:space="preserve">Specifically, most ALVEs exhibited mutations within the p10 or p27 </w:t>
      </w:r>
      <w:r w:rsidR="001435BA">
        <w:rPr>
          <w:i/>
        </w:rPr>
        <w:t>gag</w:t>
      </w:r>
      <w:r w:rsidR="001435BA">
        <w:t xml:space="preserve"> domains which </w:t>
      </w:r>
      <w:r w:rsidR="00133966">
        <w:t>disrupted putative ORFs, however</w:t>
      </w:r>
      <w:r w:rsidR="001435BA">
        <w:t xml:space="preserve"> m</w:t>
      </w:r>
      <w:r w:rsidR="00133966">
        <w:t xml:space="preserve">ost </w:t>
      </w:r>
      <w:r w:rsidR="001435BA">
        <w:t xml:space="preserve">appeared to contain an intact </w:t>
      </w:r>
      <w:r w:rsidR="001435BA">
        <w:rPr>
          <w:i/>
        </w:rPr>
        <w:t>envelope</w:t>
      </w:r>
      <w:r w:rsidR="001435BA">
        <w:t xml:space="preserve"> </w:t>
      </w:r>
      <w:r w:rsidR="00133966">
        <w:t xml:space="preserve">domain. The expression status of the ALVEs remains unknown, but all identified </w:t>
      </w:r>
      <w:r w:rsidR="00133966">
        <w:rPr>
          <w:i/>
        </w:rPr>
        <w:t xml:space="preserve">envelope </w:t>
      </w:r>
      <w:r w:rsidR="00133966">
        <w:t xml:space="preserve">domains contained the target site for the miR-155 microRNA which marks these transcripts for degradation before translation. </w:t>
      </w:r>
      <w:r>
        <w:t xml:space="preserve">The five </w:t>
      </w:r>
      <w:r w:rsidR="00F90D15">
        <w:t>non-sequenced ALVEs were also likely to be full length</w:t>
      </w:r>
      <w:r>
        <w:t xml:space="preserve">, although this is based purely on band length predictions from problematic long range PCRs. </w:t>
      </w:r>
    </w:p>
    <w:p w14:paraId="1827FD22" w14:textId="020B8984" w:rsidR="006C75CD" w:rsidRDefault="00133966" w:rsidP="00391005">
      <w:pPr>
        <w:pStyle w:val="ListParagraph"/>
      </w:pPr>
      <w:r>
        <w:t>The completeness of ALVE identification, wider use of the diagnostic assays, and the relevance of this data for commercial improvement are discussed below.</w:t>
      </w:r>
    </w:p>
    <w:p w14:paraId="7EEE28F3" w14:textId="77777777" w:rsidR="006C75CD" w:rsidRDefault="006C75CD" w:rsidP="00391005">
      <w:pPr>
        <w:pStyle w:val="ListParagraph"/>
      </w:pPr>
    </w:p>
    <w:p w14:paraId="18C3F20D" w14:textId="1A51DA3E" w:rsidR="006C75CD" w:rsidRDefault="006C75CD" w:rsidP="006C75CD">
      <w:pPr>
        <w:pStyle w:val="Heading3"/>
      </w:pPr>
      <w:bookmarkStart w:id="548" w:name="_Toc485721659"/>
      <w:bookmarkStart w:id="549" w:name="_Toc486787239"/>
      <w:bookmarkStart w:id="550" w:name="_Toc486787387"/>
      <w:r>
        <w:t>Critical assessment of the ALVE identification pipeline</w:t>
      </w:r>
      <w:bookmarkEnd w:id="548"/>
      <w:bookmarkEnd w:id="549"/>
      <w:bookmarkEnd w:id="550"/>
    </w:p>
    <w:p w14:paraId="13E33DF9" w14:textId="3AB57025" w:rsidR="009F3C20" w:rsidRDefault="0004021E" w:rsidP="00391005">
      <w:pPr>
        <w:pStyle w:val="ListParagraph"/>
      </w:pPr>
      <w:r>
        <w:t xml:space="preserve">The preliminary analyses attempted with published viral insertion detection software involved the installation of many dependencies (BioPerl, BioPython </w:t>
      </w:r>
      <w:r>
        <w:rPr>
          <w:i/>
        </w:rPr>
        <w:t>etc.</w:t>
      </w:r>
      <w:r>
        <w:t>)</w:t>
      </w:r>
      <w:r w:rsidR="00037302">
        <w:t>. Furthermore,</w:t>
      </w:r>
      <w:r>
        <w:t xml:space="preserve"> the programs were difficult to customise beyond the hard-coded settings for analysis of the human genome for certain viral genera. In contrast, the new ALVE identification pipeline developed here makes use of common NGS data manipulation softwar</w:t>
      </w:r>
      <w:r w:rsidR="00D46C86">
        <w:t>e such as samtools, and scripts we</w:t>
      </w:r>
      <w:r>
        <w:t xml:space="preserve">re written in BASH and Python 2.7, without reliance on modules outside the standard Python library. This has been done to make analysis as easy, user-friendly and adaptable as possible. Developed scripts have logical names and </w:t>
      </w:r>
      <w:r>
        <w:lastRenderedPageBreak/>
        <w:t xml:space="preserve">include clear documentation, built in help messages, and output file name management. </w:t>
      </w:r>
      <w:r w:rsidR="00F55903">
        <w:t>Additionally, multiple analyses can run in parallel, and a</w:t>
      </w:r>
      <w:r w:rsidR="00083395">
        <w:t xml:space="preserve"> complete analysis of a single W</w:t>
      </w:r>
      <w:r w:rsidR="00F55903">
        <w:t>GS chicken dataset typically takes less than two days.</w:t>
      </w:r>
    </w:p>
    <w:p w14:paraId="1963624B" w14:textId="0A4859F5" w:rsidR="00F55903" w:rsidRDefault="00F55903" w:rsidP="00391005">
      <w:pPr>
        <w:pStyle w:val="ListParagraph"/>
      </w:pPr>
      <w:r>
        <w:t>The success of the pipeline is limited by the completeness of the reference genome and the average coverage of the sequencing data. For example, ALVE6 was not detected in any of the nine datasets, despite being a common ALVE in layers</w:t>
      </w:r>
      <w:r w:rsidR="00955C50">
        <w:t xml:space="preserve"> and having previously been </w:t>
      </w:r>
      <w:r>
        <w:t xml:space="preserve">found to have a high frequency in WPR1 from gel-based PCRs performed in the Hy-Line Molecular Genetics laboratory. </w:t>
      </w:r>
      <w:r w:rsidR="00955C50">
        <w:t>However, ALVE6 is located</w:t>
      </w:r>
      <w:r>
        <w:t xml:space="preserve"> at the very 5’ end of the assembled chromosome 1 sequence and is poorly covered by short read sequencing projects, prohibiting identification of incongruently mapped reads. This would likely be an issue for any ALVE found within telomeres, centromeres or other incompletely assembled genomic regions. Even when assembled in the reference genome, regions which are difficult to sequence often have a much lower coverage than the genome-wide average. </w:t>
      </w:r>
      <w:r w:rsidR="00955C50">
        <w:t>Reduced coverage can lead to putative insertion sites not reaching set support thresholds</w:t>
      </w:r>
      <w:r w:rsidR="00D46C86">
        <w:t>,</w:t>
      </w:r>
      <w:r w:rsidR="00955C50">
        <w:t xml:space="preserve"> or insert allele sequence being missed altogether. Initially ALVE insertions were not called by the pipeline unless there was both 5’ and 3’ clipped support, but this reduced the number of identified sites as low frequency inserts in regions of low coverage may only have support for one end of the insert. Altering this parameter did not increase false positive </w:t>
      </w:r>
      <w:r w:rsidR="00037302">
        <w:t>‘</w:t>
      </w:r>
      <w:r w:rsidR="00955C50">
        <w:t>noise</w:t>
      </w:r>
      <w:r w:rsidR="00037302">
        <w:t>’</w:t>
      </w:r>
      <w:r w:rsidR="00955C50">
        <w:t xml:space="preserve"> in the results, but did enable the identification of thirty-six ALVE instances rather than the original </w:t>
      </w:r>
      <w:r w:rsidR="00A44A7F">
        <w:t>twenty-seven.</w:t>
      </w:r>
      <w:r w:rsidR="00955C50">
        <w:t xml:space="preserve"> </w:t>
      </w:r>
    </w:p>
    <w:p w14:paraId="3C86601F" w14:textId="77777777" w:rsidR="009F3C20" w:rsidRDefault="009F3C20" w:rsidP="00391005">
      <w:pPr>
        <w:pStyle w:val="ListParagraph"/>
      </w:pPr>
    </w:p>
    <w:p w14:paraId="0EED25B6" w14:textId="6AF11AB1" w:rsidR="009F3C20" w:rsidRDefault="009F3C20" w:rsidP="009F3C20">
      <w:pPr>
        <w:pStyle w:val="Heading4"/>
      </w:pPr>
      <w:r>
        <w:t>Missing ALVEs due to sampling</w:t>
      </w:r>
    </w:p>
    <w:p w14:paraId="3E99F582" w14:textId="1AF4530F" w:rsidR="009F3C20" w:rsidRDefault="0010006B" w:rsidP="00391005">
      <w:pPr>
        <w:pStyle w:val="ListParagraph"/>
      </w:pPr>
      <w:r>
        <w:t xml:space="preserve">Testing of all the Hy-Line lines with the KASP assays developed in this project identified five additional ALVE instances which were missed by the pipeline. Three of these could not have been detected as the ALVE was not present in any individual chosen for the sequencing pool. </w:t>
      </w:r>
      <w:r w:rsidR="00676401">
        <w:t>In the case of ALVE_ros004 in the WPRs, this was because the insert was rare in the population. However, ALVE_ros010 was missed in WPR1 despite</w:t>
      </w:r>
      <w:r w:rsidR="00695F6E">
        <w:t xml:space="preserve"> being more common, </w:t>
      </w:r>
      <w:r w:rsidR="002D1187">
        <w:t>with</w:t>
      </w:r>
      <w:r w:rsidR="00695F6E">
        <w:t xml:space="preserve"> there being a 75 % chance that at least one heterozygous individual was included in the pool. This highlights the issue with sampling a population for the detection of rarer inserts, and this would not be improved by using individual sequencing libraries rather than pools, or by increasing ALVE coverage through additional targeted </w:t>
      </w:r>
      <w:r w:rsidR="00695F6E">
        <w:lastRenderedPageBreak/>
        <w:t xml:space="preserve">sequencing. Experimental design for sequencing is therefore vital, as researchers and companies need to consider the lower limit of frequencies they need to detect reliably and then sample accordingly, particularly if flock sizes are large. </w:t>
      </w:r>
    </w:p>
    <w:p w14:paraId="2D6DE5F2" w14:textId="5173B667" w:rsidR="00695F6E" w:rsidRDefault="005F713E" w:rsidP="00391005">
      <w:pPr>
        <w:pStyle w:val="ListParagraph"/>
      </w:pPr>
      <w:r>
        <w:t>The other two missed ALVEs (ALVE3 in the RIR, and ALVEB5 in WPR1) were present in the sequencing pool individuals, but no ALVE reads were detected at the sites, even in the full</w:t>
      </w:r>
      <w:r w:rsidR="008E37D9">
        <w:t xml:space="preserve"> BAM file. This is an</w:t>
      </w:r>
      <w:r>
        <w:t xml:space="preserve"> issue created by using sequencing pools for variant discovery, as not all individuals will be represented at each site (depending on coverage) and some alleles will be missed entirely due to random amplification in the PCR stage of sequencing library preparation. These issues can be mediated by increasing coverage in the pooled data or, more comprehensively, </w:t>
      </w:r>
      <w:r w:rsidR="002D1187">
        <w:t xml:space="preserve">by </w:t>
      </w:r>
      <w:r>
        <w:t xml:space="preserve">using individual sequencing libraries rather than pools. This is again a case of experimental design. However, just as </w:t>
      </w:r>
      <w:r w:rsidR="008E37D9">
        <w:t>sequencing has almost completely moved from sing</w:t>
      </w:r>
      <w:r w:rsidR="00083395">
        <w:t>le end to paired end data, new W</w:t>
      </w:r>
      <w:r w:rsidR="008E37D9">
        <w:t>GS projects are now commonly completed using individual seq</w:t>
      </w:r>
      <w:r w:rsidR="005D02AA">
        <w:t>uencing libraries, likely due</w:t>
      </w:r>
      <w:r w:rsidR="00E8536E">
        <w:t xml:space="preserve"> to</w:t>
      </w:r>
      <w:r w:rsidR="008E37D9">
        <w:t xml:space="preserve"> reduction</w:t>
      </w:r>
      <w:r w:rsidR="005D02AA">
        <w:t>s in sequencing cost</w:t>
      </w:r>
      <w:r w:rsidR="008E37D9">
        <w:t xml:space="preserve">. These data generally </w:t>
      </w:r>
      <w:r w:rsidR="005D02AA">
        <w:t>exhibit higher coverage than older pool datasets, and</w:t>
      </w:r>
      <w:r w:rsidR="008E37D9">
        <w:t xml:space="preserve"> in </w:t>
      </w:r>
      <w:r w:rsidR="005D02AA">
        <w:t>areas of lower coverage, there are only two alleles to represent</w:t>
      </w:r>
      <w:r w:rsidR="008E37D9">
        <w:t>.</w:t>
      </w:r>
    </w:p>
    <w:p w14:paraId="2FC11BD1" w14:textId="0DFCC20D" w:rsidR="004D5601" w:rsidRDefault="005D02AA" w:rsidP="00391005">
      <w:pPr>
        <w:pStyle w:val="ListParagraph"/>
      </w:pPr>
      <w:r>
        <w:t>These t</w:t>
      </w:r>
      <w:r w:rsidR="004D5601">
        <w:t xml:space="preserve">wo issues combined means that it is possible that ALVEs which were relatively rare in a line, or were line-specific, could have been missed during this project. This </w:t>
      </w:r>
      <w:r w:rsidR="00083395">
        <w:t>was an issue with the analysed W</w:t>
      </w:r>
      <w:r w:rsidR="004D5601">
        <w:t>GS data, rather than with the identification pipeline itself.</w:t>
      </w:r>
    </w:p>
    <w:p w14:paraId="7A451F20" w14:textId="01588870" w:rsidR="008E37D9" w:rsidRDefault="008E37D9" w:rsidP="00391005">
      <w:pPr>
        <w:pStyle w:val="ListParagraph"/>
      </w:pPr>
    </w:p>
    <w:p w14:paraId="3C76DDCB" w14:textId="43E5500B" w:rsidR="008E37D9" w:rsidRDefault="008E37D9" w:rsidP="008E37D9">
      <w:pPr>
        <w:pStyle w:val="Heading4"/>
      </w:pPr>
      <w:r>
        <w:t>The role of targeted ALVE sequencing</w:t>
      </w:r>
    </w:p>
    <w:p w14:paraId="75586BE4" w14:textId="31C75D86" w:rsidR="008E37D9" w:rsidRDefault="001B47EE" w:rsidP="00391005">
      <w:pPr>
        <w:pStyle w:val="ListParagraph"/>
      </w:pPr>
      <w:r>
        <w:t>Additional targeted sequencing is no better for identifying ALVE insertions than using data obtained from individual sequencing libraries with stand</w:t>
      </w:r>
      <w:r w:rsidR="00F90D15">
        <w:t>ard coverage. Both methods are a</w:t>
      </w:r>
      <w:r>
        <w:t xml:space="preserve">ffected by sampling bias from the flock, but if the sequencing data was to be used solely for the identification of ALVE insertions, targeted sequencing </w:t>
      </w:r>
      <w:r w:rsidR="00105271">
        <w:t>projects would be more cost effective. However, datasets from targeted sequencing are very specific and have limited extra uses, w</w:t>
      </w:r>
      <w:r w:rsidR="00083395">
        <w:t>hereas full genome, individual W</w:t>
      </w:r>
      <w:r w:rsidR="00105271">
        <w:t xml:space="preserve">GS data can be used for a variety of research questions. Targeted ALVE sequencing may be useful to groups with existing pooled sequencing project data who want to more confidently identify the ALVEs in their lines. </w:t>
      </w:r>
    </w:p>
    <w:p w14:paraId="4DCEB536" w14:textId="2CAAF937" w:rsidR="009F3C20" w:rsidRDefault="009F3C20" w:rsidP="00391005">
      <w:pPr>
        <w:pStyle w:val="ListParagraph"/>
      </w:pPr>
    </w:p>
    <w:p w14:paraId="265596B0" w14:textId="0E2380B5" w:rsidR="009F3C20" w:rsidRDefault="009F3C20" w:rsidP="009F3C20">
      <w:pPr>
        <w:pStyle w:val="Heading4"/>
      </w:pPr>
      <w:r>
        <w:lastRenderedPageBreak/>
        <w:t xml:space="preserve">Wider application of the </w:t>
      </w:r>
      <w:r w:rsidR="001B47EE">
        <w:t xml:space="preserve">ALVE identification </w:t>
      </w:r>
      <w:r>
        <w:t>pipeline</w:t>
      </w:r>
    </w:p>
    <w:p w14:paraId="553F28DB" w14:textId="4B06BB80" w:rsidR="009F3C20" w:rsidRDefault="00A44A7F" w:rsidP="00391005">
      <w:pPr>
        <w:pStyle w:val="ListParagraph"/>
      </w:pPr>
      <w:r>
        <w:t>Beyond the Hy-Line elite layer lines and Roslin J-Line</w:t>
      </w:r>
      <w:r w:rsidR="00AD7BD0">
        <w:t>, the</w:t>
      </w:r>
      <w:r>
        <w:t xml:space="preserve"> pipeline has been used in this project to analyse other chicken datasets to more completely assess ALVE diversity across various lines (Chapter 7). The pipeline was also adapted to </w:t>
      </w:r>
      <w:r w:rsidR="00902461">
        <w:t xml:space="preserve">perform a preliminary identification of </w:t>
      </w:r>
      <w:r>
        <w:t>the more numerous EAV insertions in the Hy-Line lines by altering the sequences in the pseudochromosome used for initial mapping.</w:t>
      </w:r>
    </w:p>
    <w:p w14:paraId="4EB7EDB7" w14:textId="19C8E49D" w:rsidR="00A44A7F" w:rsidRDefault="00A44A7F" w:rsidP="00391005">
      <w:pPr>
        <w:pStyle w:val="ListParagraph"/>
      </w:pPr>
      <w:r>
        <w:t>The pipeline is very versatile and could be used for the identification of any viral insertion in any species relative to its reference genome. This would simply require the user to create a FASTA file of one or more viral reference sequences</w:t>
      </w:r>
      <w:r w:rsidR="00902461">
        <w:t>. This file</w:t>
      </w:r>
      <w:r w:rsidR="005D02AA">
        <w:t xml:space="preserve"> would be used to identify assembled </w:t>
      </w:r>
      <w:r>
        <w:t>sites in the reference genome (S1</w:t>
      </w:r>
      <w:r w:rsidR="00AD7BD0" w:rsidRPr="00AD7BD0">
        <w:t>_run_blast_ref_seq.sh</w:t>
      </w:r>
      <w:r>
        <w:t xml:space="preserve">) and </w:t>
      </w:r>
      <w:r w:rsidR="00AD7BD0">
        <w:t>to construct the pseudochr</w:t>
      </w:r>
      <w:r w:rsidR="005D02AA">
        <w:t>omosome</w:t>
      </w:r>
      <w:r w:rsidR="00AD7BD0">
        <w:t xml:space="preserve"> (</w:t>
      </w:r>
      <w:r w:rsidR="00AD7BD0" w:rsidRPr="00AD7BD0">
        <w:t>S2_make_pseudochromosome.py</w:t>
      </w:r>
      <w:r w:rsidR="00AD7BD0">
        <w:t>). The pipeline could therefore be used for the identification of any endogenous viral elements (EVEs), including those responsible for causing cancers in other species, such as human. As mentioned above, any application would be limited by reference genome intactness and coverage. The pipeline may therefore be unable to identify telomeric insertions by herpesviruses such as Marek’s Disease Virus in chickens.</w:t>
      </w:r>
    </w:p>
    <w:p w14:paraId="2D0E1EA8" w14:textId="2DFC1E63" w:rsidR="00EB02D7" w:rsidRDefault="00EB02D7" w:rsidP="00391005">
      <w:pPr>
        <w:pStyle w:val="ListParagraph"/>
      </w:pPr>
    </w:p>
    <w:p w14:paraId="3C267CB4" w14:textId="75B8A753" w:rsidR="006C75CD" w:rsidRDefault="006C75CD" w:rsidP="006C75CD">
      <w:pPr>
        <w:pStyle w:val="Heading3"/>
      </w:pPr>
      <w:bookmarkStart w:id="551" w:name="_Toc485721660"/>
      <w:bookmarkStart w:id="552" w:name="_Toc486787240"/>
      <w:bookmarkStart w:id="553" w:name="_Toc486787388"/>
      <w:r>
        <w:t>Development of diagnostic ALVE assays</w:t>
      </w:r>
      <w:bookmarkEnd w:id="551"/>
      <w:bookmarkEnd w:id="552"/>
      <w:bookmarkEnd w:id="553"/>
    </w:p>
    <w:p w14:paraId="70A8CB6E" w14:textId="56335D8E" w:rsidR="004D3809" w:rsidRDefault="0008428C" w:rsidP="00391005">
      <w:pPr>
        <w:pStyle w:val="ListParagraph"/>
      </w:pPr>
      <w:r>
        <w:t xml:space="preserve">Over the last twenty-five years diagnostic </w:t>
      </w:r>
      <w:r w:rsidR="00F90D15">
        <w:t xml:space="preserve">gel-based </w:t>
      </w:r>
      <w:r>
        <w:t xml:space="preserve">PCR assays have been developed for most well described ALVE insertion sites, generally enabling reliable genotyping. </w:t>
      </w:r>
      <w:r w:rsidR="006E771C">
        <w:t>Exceptions to this included ALVE2, ALVE6, ALVEB4 and ALVEB8, where</w:t>
      </w:r>
      <w:r w:rsidR="004D3809">
        <w:t xml:space="preserve"> published</w:t>
      </w:r>
      <w:r w:rsidR="006E771C">
        <w:t xml:space="preserve"> assays could only determine presence or absence of the ALVE without distinguishing between heterozygous or homozygous individuals, and ALVE21 where results were ambiguous due to the presence of the </w:t>
      </w:r>
      <w:r w:rsidR="006E771C">
        <w:rPr>
          <w:i/>
        </w:rPr>
        <w:t>K</w:t>
      </w:r>
      <w:r w:rsidR="006E771C">
        <w:t xml:space="preserve"> locus duplication </w:t>
      </w:r>
      <w:r w:rsidR="006E771C">
        <w:fldChar w:fldCharType="begin" w:fldLock="1"/>
      </w:r>
      <w:r w:rsidR="00697C21">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rsidR="006E771C">
        <w:fldChar w:fldCharType="separate"/>
      </w:r>
      <w:r w:rsidR="006E771C" w:rsidRPr="006E771C">
        <w:rPr>
          <w:noProof/>
        </w:rPr>
        <w:t>(Benkel 1998)</w:t>
      </w:r>
      <w:r w:rsidR="006E771C">
        <w:fldChar w:fldCharType="end"/>
      </w:r>
      <w:r w:rsidR="006E771C">
        <w:t>. In this project, twelve new, gel-</w:t>
      </w:r>
      <w:r>
        <w:t>based PCR assays were deve</w:t>
      </w:r>
      <w:r w:rsidR="00136CBB">
        <w:t>loped, including an adapted version of the previously published ALVE1 assay to account for the large difference in T</w:t>
      </w:r>
      <w:r w:rsidR="00136CBB">
        <w:rPr>
          <w:vertAlign w:val="subscript"/>
        </w:rPr>
        <w:t>m</w:t>
      </w:r>
      <w:r w:rsidR="00136CBB">
        <w:rPr>
          <w:vertAlign w:val="subscript"/>
        </w:rPr>
        <w:softHyphen/>
        <w:t xml:space="preserve"> </w:t>
      </w:r>
      <w:r w:rsidR="006E771C">
        <w:t xml:space="preserve">values between primers. </w:t>
      </w:r>
      <w:r w:rsidR="008A3519">
        <w:t>A</w:t>
      </w:r>
      <w:r w:rsidR="006E771C">
        <w:t>ssays develop</w:t>
      </w:r>
      <w:r w:rsidR="008A3519">
        <w:t>ed for</w:t>
      </w:r>
      <w:r w:rsidR="006E771C">
        <w:t xml:space="preserve"> long ALVE insertions use</w:t>
      </w:r>
      <w:r w:rsidR="008A3519">
        <w:t>d three primers, where one wa</w:t>
      </w:r>
      <w:r w:rsidR="006E771C">
        <w:t>s within the insertion, enabling unambiguous genotyping. Assays for the truncated ALVE_ros007 and solo LTR ALVE_ros005 use</w:t>
      </w:r>
      <w:r w:rsidR="008A3519">
        <w:t>d</w:t>
      </w:r>
      <w:r w:rsidR="006E771C">
        <w:t xml:space="preserve"> only two primers</w:t>
      </w:r>
      <w:r w:rsidR="004D3809">
        <w:t>,</w:t>
      </w:r>
      <w:r w:rsidR="006E771C">
        <w:t xml:space="preserve"> as standard </w:t>
      </w:r>
      <w:r w:rsidR="008A3519">
        <w:t>PCR conditions can</w:t>
      </w:r>
      <w:r w:rsidR="006E771C">
        <w:t xml:space="preserve"> amplify </w:t>
      </w:r>
      <w:r w:rsidR="008A3519">
        <w:t>through these insert lengths</w:t>
      </w:r>
      <w:r w:rsidR="004D3809">
        <w:t xml:space="preserve">. </w:t>
      </w:r>
    </w:p>
    <w:p w14:paraId="5791E38E" w14:textId="5641AEFC" w:rsidR="00697C21" w:rsidRDefault="004D3809" w:rsidP="00391005">
      <w:pPr>
        <w:pStyle w:val="ListParagraph"/>
      </w:pPr>
      <w:r>
        <w:lastRenderedPageBreak/>
        <w:t>Gel-based PCR assays continue to be a laboratory standard, as they are generally easy to run and interpret, and are app</w:t>
      </w:r>
      <w:r w:rsidR="005D02AA">
        <w:t>licable across diverse lines, breeds and</w:t>
      </w:r>
      <w:r>
        <w:t xml:space="preserve"> populati</w:t>
      </w:r>
      <w:r w:rsidR="005D02AA">
        <w:t>ons. However, when used on large</w:t>
      </w:r>
      <w:r>
        <w:t xml:space="preserve"> commercial flocks, gel-based assays become laborious and expensive, making them an impractical large-scale genotyping tool. </w:t>
      </w:r>
      <w:r w:rsidR="00697C21">
        <w:t xml:space="preserve">The KASP diagnostic assay system was originally developed for high-throughput, inexpensive SNP genotyping, and exhibits limited interference from negative controls and low error rates compared to chip-based genotyping </w:t>
      </w:r>
      <w:r w:rsidR="00697C21">
        <w:fldChar w:fldCharType="begin" w:fldLock="1"/>
      </w:r>
      <w:r w:rsidR="0024621C">
        <w:instrText>ADDIN CSL_CITATION { "citationItems" : [ { "id" : "ITEM-1", "itemData" : { "DOI" : "10.1007/s11032-013-9917-x", "ISBN" : "1380-3743", "ISSN" : "13803743", "abstract" : "Single nucleotide polymorphism (SNP) data can be obtained using one of the numerous uniplex or multiplex SNP genotyping platforms that combine a variety of chemistries, detection methods, and reaction formats. Kompetitive Allele Specific PCR (KASP) is one of the uniplex SNP genotyping platforms, and has evolved to be a global benchmark technology. However, there are no publications relating either to the technology itself or to its application in crop improvement programs. In this review, we provide an overview of the different aspects of the KASP genotyping platform, discuss its application in crop improvement, and compare it with the chip-based Illumina GoldenGate platform. The International Maize and Wheat Improvement Center routinely uses KASP, generating in excess of a million data points annually for crop improvement purposes. We found that (1) 81 % of the SNPs used in a custom-designed GoldenGate assay were transferable to KASP; (2) using KASP, negative controls (no template) consistently clustered together and rarely produced signals exceeding the threshold values for allele calling, in contrast to the situation observed using GoldenGate assays; (3) KASP\u2019s average genotyping error in positive control DNA samples was 0.7\u20131.6 %, which is lower than that observed using GoldenGate (2.0\u20132.4 %); (4) KASP genotyping costs for marker-assisted recurrent selection were 7.9\u201346.1 % cheaper than those of the BeadXpress and GoldenGate platforms; and (5) KASP offers cost-effective and scalable flexibility in applications that require small to moderate numbers of markers, such as quality control analysis, quantitative trait loci (QTL) mapping in bi-parental populations, marker-assisted recurrent selection, marker-assisted backcrossing, and QTL fine mapping.", "author" : [ { "dropping-particle" : "", "family" : "Semagn", "given" : "Kassa", "non-dropping-particle" : "", "parse-names" : false, "suffix" : "" }, { "dropping-particle" : "", "family" : "Babu", "given" : "Raman", "non-dropping-particle" : "", "parse-names" : false, "suffix" : "" }, { "dropping-particle" : "", "family" : "Hearne", "given" : "Sarah", "non-dropping-particle" : "", "parse-names" : false, "suffix" : "" }, { "dropping-particle" : "", "family" : "Olsen", "given" : "Michael", "non-dropping-particle" : "", "parse-names" : false, "suffix" : "" } ], "container-title" : "Molecular Breeding", "id" : "ITEM-1", "issue" : "1", "issued" : { "date-parts" : [ [ "2014" ] ] }, "page" : "1-14", "title" : "Single nucleotide polymorphism genotyping using Kompetitive Allele Specific PCR (KASP): Overview of the technology and its application in crop improvement", "type" : "article-journal", "volume" : "33" }, "uris" : [ "http://www.mendeley.com/documents/?uuid=529a8305-4e15-452a-b2cc-1f1637e221dd" ] } ], "mendeley" : { "formattedCitation" : "(Semagn et al. 2014)", "plainTextFormattedCitation" : "(Semagn et al. 2014)", "previouslyFormattedCitation" : "(Semagn et al. 2014)" }, "properties" : { "noteIndex" : 0 }, "schema" : "https://github.com/citation-style-language/schema/raw/master/csl-citation.json" }</w:instrText>
      </w:r>
      <w:r w:rsidR="00697C21">
        <w:fldChar w:fldCharType="separate"/>
      </w:r>
      <w:r w:rsidR="00697C21" w:rsidRPr="00697C21">
        <w:rPr>
          <w:noProof/>
        </w:rPr>
        <w:t>(Semagn et al. 2014)</w:t>
      </w:r>
      <w:r w:rsidR="00697C21">
        <w:fldChar w:fldCharType="end"/>
      </w:r>
      <w:r w:rsidR="00697C21">
        <w:t xml:space="preserve">. Traditionally the KASP system has not been used for genotyping large structural variants, but in this project we have successfully developed diagnostic KASP assays for the twenty ALVEs identified in the Hy-Line elite layer lines, and an assay to detect the unique sequence in the </w:t>
      </w:r>
      <w:r w:rsidR="00697C21">
        <w:rPr>
          <w:i/>
        </w:rPr>
        <w:t xml:space="preserve">K </w:t>
      </w:r>
      <w:r w:rsidR="00697C21">
        <w:t>locus duplication.</w:t>
      </w:r>
      <w:r w:rsidR="008A3519">
        <w:t xml:space="preserve"> The development of these high throughput assays enabled the largely automated genotyping of almost ten thousand individ</w:t>
      </w:r>
      <w:r w:rsidR="0046723B">
        <w:t>uals for all twenty-one variants</w:t>
      </w:r>
      <w:r w:rsidR="008A3519">
        <w:t xml:space="preserve">. This would have been incredibly expensive and time consuming with gel-based assays.  </w:t>
      </w:r>
    </w:p>
    <w:p w14:paraId="2C404E18" w14:textId="1293576C" w:rsidR="00795806" w:rsidRDefault="008A3519" w:rsidP="00391005">
      <w:pPr>
        <w:pStyle w:val="ListParagraph"/>
      </w:pPr>
      <w:r>
        <w:t xml:space="preserve">Whilst the KASP system works best with large numbers of samples (for genotype group confidence), it can </w:t>
      </w:r>
      <w:r w:rsidR="00F90D15">
        <w:t xml:space="preserve">also </w:t>
      </w:r>
      <w:r>
        <w:t xml:space="preserve">be performed with small sample numbers on a qPCR machine. This means that the assays developed here could be used on other chicken lines, but lineage-specific SNPs in the primer binding regions would likely disrupt the assay.  </w:t>
      </w:r>
      <w:r w:rsidR="006C75CD">
        <w:t>This is an unavoidable issue resulting from the original purpose of this tech</w:t>
      </w:r>
      <w:r w:rsidR="00F90D15">
        <w:t xml:space="preserve">nology as a SNP genotyper, with chemistry </w:t>
      </w:r>
      <w:r w:rsidR="006C75CD">
        <w:t>sensitive to ambiguities in primer</w:t>
      </w:r>
      <w:r w:rsidR="0046723B">
        <w:t xml:space="preserve"> binding</w:t>
      </w:r>
      <w:r w:rsidR="006C75CD">
        <w:t xml:space="preserve"> regions. </w:t>
      </w:r>
      <w:r>
        <w:t xml:space="preserve">This has the potential to limit assay application to lines with available sequence data, where the primers could be checked and modified where applicable. This was observed when these assays were applied to non-sequenced Hy-Line lines (data not shown), and even within those lines with </w:t>
      </w:r>
      <w:r w:rsidR="0046723B">
        <w:t>available sequence data</w:t>
      </w:r>
      <w:r>
        <w:t xml:space="preserve"> (ALVE_ros005; section </w:t>
      </w:r>
      <w:r>
        <w:fldChar w:fldCharType="begin" w:fldLock="1"/>
      </w:r>
      <w:r>
        <w:instrText xml:space="preserve"> REF _Ref479082842 \r \h </w:instrText>
      </w:r>
      <w:r>
        <w:fldChar w:fldCharType="separate"/>
      </w:r>
      <w:r w:rsidR="002C549C">
        <w:t>6.4.1</w:t>
      </w:r>
      <w:r>
        <w:fldChar w:fldCharType="end"/>
      </w:r>
      <w:r>
        <w:t>). However, as KASP assays are generally used for high throughput genotyping,</w:t>
      </w:r>
      <w:r w:rsidR="0045046A">
        <w:t xml:space="preserve"> it is likely </w:t>
      </w:r>
      <w:r>
        <w:t xml:space="preserve">that sequence data would be available for the lines of interest, or </w:t>
      </w:r>
      <w:r w:rsidR="0045046A">
        <w:t xml:space="preserve">obtaining whole genome resequencing data would be a viable option. In addition, as the ALVE_ros005 work showed, targeted Sanger sequencing around a known insertion site in ‘problematic’ samples can be used to advise modifications in existing assay primers. </w:t>
      </w:r>
    </w:p>
    <w:p w14:paraId="51D86465" w14:textId="77777777" w:rsidR="00591AA0" w:rsidRDefault="00591AA0" w:rsidP="00391005">
      <w:pPr>
        <w:pStyle w:val="ListParagraph"/>
      </w:pPr>
    </w:p>
    <w:p w14:paraId="7590473D" w14:textId="033F885C" w:rsidR="00591AA0" w:rsidRDefault="00E7568C" w:rsidP="00591AA0">
      <w:pPr>
        <w:pStyle w:val="Heading3"/>
      </w:pPr>
      <w:bookmarkStart w:id="554" w:name="_Toc485721661"/>
      <w:bookmarkStart w:id="555" w:name="_Toc486787241"/>
      <w:bookmarkStart w:id="556" w:name="_Toc486787389"/>
      <w:r>
        <w:lastRenderedPageBreak/>
        <w:t>ALVE21</w:t>
      </w:r>
      <w:r w:rsidR="00591AA0">
        <w:t xml:space="preserve"> </w:t>
      </w:r>
      <w:r>
        <w:t xml:space="preserve">and </w:t>
      </w:r>
      <w:r w:rsidR="00591AA0">
        <w:t xml:space="preserve">the slow feathering </w:t>
      </w:r>
      <w:r w:rsidR="00591AA0" w:rsidRPr="00E7568C">
        <w:rPr>
          <w:i/>
        </w:rPr>
        <w:t>K</w:t>
      </w:r>
      <w:r w:rsidR="00591AA0">
        <w:t xml:space="preserve"> locus</w:t>
      </w:r>
      <w:bookmarkEnd w:id="554"/>
      <w:bookmarkEnd w:id="555"/>
      <w:bookmarkEnd w:id="556"/>
    </w:p>
    <w:p w14:paraId="034A3B54" w14:textId="6AA776FB" w:rsidR="00E70869" w:rsidRDefault="006937C8" w:rsidP="00391005">
      <w:pPr>
        <w:pStyle w:val="ListParagraph"/>
      </w:pPr>
      <w:r>
        <w:t>The slow feathering locus has provided commercial breeding companies with a cost-effective method for sexing day old chicks. However, the close association of this locus with ALVE21 renders breeding for slow feathered birds an imperfect solution, as ALVE21 is replication competent and known to</w:t>
      </w:r>
      <w:r w:rsidR="003C26C8">
        <w:t xml:space="preserve"> increase mortality rates, facilitate</w:t>
      </w:r>
      <w:r>
        <w:t xml:space="preserve"> viral shedding</w:t>
      </w:r>
      <w:r w:rsidR="003C26C8">
        <w:t>, and detrimentally effect productivity traits such as muscle growth</w:t>
      </w:r>
      <w:r w:rsidR="00A739CD">
        <w:t xml:space="preserve"> rate</w:t>
      </w:r>
      <w:r w:rsidR="003C26C8">
        <w:t xml:space="preserve"> and total egg count</w:t>
      </w:r>
      <w:r>
        <w:t xml:space="preserve"> </w:t>
      </w:r>
      <w:r w:rsidR="003C26C8">
        <w:fldChar w:fldCharType="begin" w:fldLock="1"/>
      </w:r>
      <w:r w:rsidR="00193EA9">
        <w:instrText>ADDIN CSL_CITATION { "citationItems" : [ { "id" : "ITEM-1",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"ITEM-1",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"ITEM-2", "itemData" : { "DOI" : "10.3382/ps.0691251", "ISSN" : "0032-5791", "abstract" : "The influence of the endogenous virus ev6 on congenital transmission of EV21, the infectious viral product encoded by locus ev21, and the immune response to exogenous avian leukosis virus (ALV) infection was studied in rapid-feathering (RF) female progeny from four classes of slow-feathering (SF) (ev21+ and RF (ev21-) dams with and without ev6. Apart from transmitting infectious EV21 and ev6 to progeny, dam ev genotype did not influence the immune response or shedding of RPL-40. The endogenous virus envelope glycoprotein encoded by ev6, however, completely restricted shedding and congenital transmission of infectious endogenous virus EV21, from SF dams. After 19 wk of exposure to ALV strain RPL-40 infected cage mates, only 11% of the congenitally infected female progeny mounted neutralizing antibodies against RPL-40, whereas 73% of their noncongenitally infected sisters seroconverted. More ev6+ female progeny, however, were shedders of RPL-40 and developed tumors than ev6- sisters. Among progeny from the four classes of dams, EV21 congenitally infected hens had the highest incidence (31%) of RPL-40-induced tumors.",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"ITEM-2", "issue" : "8", "issued" : { "date-parts" : [ [ "1990", "8", "1" ] ] }, "note" : "Ev gene products can compromise immune response to ALV due to the antigenic similarity. Ev6 interferes in ALV replication, hence the reason for study \u2013 it is also widely distributed in white leghorns and highly expressed.\n\n\nNot accessible online from Ed Uni - Journals available at the Vet School Library", "page" : "1251-1256", "title" : "Interactions Between Endogenous Virus Loci ev6 and ev21.: 2. Congenital Transmission of EV21 Viral Product to Female Progeny from Slow-Feathering Dams", "type" : "article-journal", "volume" : "69" }, "uris" : [ "http://www.mendeley.com/documents/?uuid=9c4033ab-1161-4834-984e-64f80d9d2659" ] }, { "id" : "ITEM-3", "itemData" : { "author" : [ { "dropping-particle" : "", "family" : "Fadly", "given" : "A M", "non-dropping-particle" : "", "parse-names" : false, "suffix" : "" }, { "dropping-particle" : "", "family" : "Smith", "given" : "E J", "non-dropping-particle" : "", "parse-names" : false, "suffix" : "" } ], "container-title" : "Avian diseases", "id" : "ITEM-3", "issue" : "3", "issued" : { "date-parts" : [ [ "1991" ] ] }, "page" : "443-451", "title" : "Influence of Maternal Antibody on Avian Leukosis Virus Infection in White Leghorn Chickens Harboring Endogenous Virus-21 (EV21)", "type" : "article-journal", "volume" : "35" }, "uris" : [ "http://www.mendeley.com/documents/?uuid=6c50a8e2-2937-48b7-98cf-384124fac34f" ] }, { "id" : "ITEM-4", "itemData" : { "DOI" : "10.1080/03079459508419105", "ISSN" : "0307-9457", "PMID" : "18645822", "abstract" : "The influence of endogenous viral (ev) genes on avian leukosis virus (ALV) infection was studied in ALV-free white leghorn chickens exposed to chicks from ALV shedding dams. The study included four lines, each segregating for one ev gene, one line free of ev genes, and four commercial stocks segregating for a number of ev genes. Genes ev12 and ev21 that produce the complete endogenous virus were associated with significant reductions in antibody response to ALV. In commercial stocks with ev21 in all birds, both antibody response and ALV in oviducts were significantly influenced by the genomic background (stock). In one commercial stock, 37.6% of 133 birds with ev21 and only 5.8% of 120 birds without the gene were test-positive for virus in their oviducts at 180 days of age. No such differences were associated with ev1, ev3 or ev6 that do not produce complete endogenous virus. Thus, virus-producing ev genes were a predisposing factor for shedding ALV.", "author" : [ { "dropping-particle" : "", "family" : "Gavora", "given" : "J S", "non-dropping-particle" : "", "parse-names" : false, "suffix" : "" }, { "dropping-particle" : "", "family" : "Spencer", "given" : "J L", "non-dropping-particle" : "", "parse-names" : false, "suffix" : "" }, { "dropping-particle" : "", "family" : "Benkel", "given" : "B", "non-dropping-particle" : "", "parse-names" : false, "suffix" : "" }, { "dropping-particle" : "", "family" : "Gagnon", "given" : "C", "non-dropping-particle" : "", "parse-names" : false, "suffix" : "" }, { "dropping-particle" : "", "family" : "Emsley", "given" : "a", "non-dropping-particle" : "", "parse-names" : false, "suffix" : "" }, { "dropping-particle" : "", "family" : "Kulenkamp", "given" : "a", "non-dropping-particle" : "", "parse-names" : false, "suffix" : "" } ], "container-title" : "Avian pathology : journal of the W.V.P.A", "id" : "ITEM-4", "issue" : "4", "issued" : { "date-parts" : [ [ "1995" ] ] }, "page" : "653-64", "title" : "Endogenous viral genes influence infection with avian leukosis virus.", "type" : "article-journal", "volume" : "24" }, "uris" : [ "http://www.mendeley.com/documents/?uuid=226e2ce0-ad9b-4fca-be43-af60af79ab83" ] }, { "id" : "ITEM-5", "itemData" : { "ISSN" : "0032-5791", "PMID" : "11372699", "abstract" : "Detection of genes located on the Z-chromosome differs from the detection of genes located on autosomal chromosomes. In the present study, the chicken Z-chromosome is scanned for genes affecting growth traits and feathering. For this purpose, data from a three-generation full-sib-half-sib design was available: parents, full-sib offspring, and half-sib grandoffspring. The parents and full-sib offspring were genotyped for 17 markers on the Z-chromosome. Phenotypic data were only available for grandoffspring. Only the segregation of male chromosomes provides information on the presence of genes, and therefore, a half-sib interval mapping approach was used. The feathering gene was detected significantly and was located between markers ADL0022 and MCW0331. No significant indications were found for the presence of quantitative trait loci affecting growth traits on the Z-chromosome.", "author" : [ { "dropping-particle" : "", "family" : "Hamoen", "given" : "F F", "non-dropping-particle" : "", "parse-names" : false, "suffix" : "" }, { "dropping-particle" : "", "family" : "Kaam", "given" : "J B", "non-dropping-particle" : "Van", "parse-names" : false, "suffix" : "" }, { "dropping-particle" : "", "family" : "Groenen", "given" : "M a", "non-dropping-particle" : "", "parse-names" : false, "suffix" : "" }, { "dropping-particle" : "", "family" : "Vereijken", "given" : "a L", "non-dropping-particle" : "", "parse-names" : false, "suffix" : "" }, { "dropping-particle" : "", "family" : "Bovenhuis", "given" : "H", "non-dropping-particle" : "", "parse-names" : false, "suffix" : "" } ], "container-title" : "Poultry science", "id" : "ITEM-5", "issue" : "5", "issued" : { "date-parts" : [ [ "2001", "5" ] ] }, "note" : "Read. Looking at Z chromosome for relation to growth traits. No real use for ERVs etc.", "page" : "527-34", "title" : "Detection of genes on the Z-chromosome affecting growth and feathering in broilers.", "type" : "article-journal", "volume" : "80" }, "uris" : [ "http://www.mendeley.com/documents/?uuid=704ca668-0078-423d-894d-a5417b9ba7a6" ] }, { "id" : "ITEM-6", "itemData" : { "DOI" : "10.1134/S1022795409010141", "ISBN" : "1022795409010", "ISSN" : "1022-7954", "author" : [ { "dropping-particle" : "", "family" : "Khosravinia", "given" : "H.", "non-dropping-particle" : "", "parse-names" : false, "suffix" : "" } ], "container-title" : "Russian Journal of Genetics", "id" : "ITEM-6", "issue" : "1", "issued" : { "date-parts" : [ [ "2009", "1", "8" ] ] }, "note" : "Describes potential links between the slow feathering locus (K) and physiological commercial traits such as carcass weight etc. No ERV chat - could be useful when describing the importance of the locus and not wanting to eradicate the locus despite the proximity of the ev21 locus.", "page" : "98-104", "title" : "Effect of the slow (K) or rapid (k +) feathering gene on carcass-related traits of broiler chickens selected for breast and thighs weight", "type" : "article-journal", "volume" : "45" }, "uris" : [ "http://www.mendeley.com/documents/?uuid=430a31f0-4de8-4775-97d6-515577e6ad0d" ] } ], "mendeley" : { "formattedCitation" : "(Smith et al. 1990a; Smith et al. 1990b; Fadly &amp; Smith 1991; Gavora et al. 1995; Hamoen et al. 2001; Khosravinia 2009)", "plainTextFormattedCitation" : "(Smith et al. 1990a; Smith et al. 1990b; Fadly &amp; Smith 1991; Gavora et al. 1995; Hamoen et al. 2001; Khosravinia 2009)", "previouslyFormattedCitation" : "(Smith et al. 1990a; Smith et al. 1990b; Fadly &amp; Smith 1991; Gavora et al. 1995; Hamoen et al. 2001; Khosravinia 2009)" }, "properties" : { "noteIndex" : 0 }, "schema" : "https://github.com/citation-style-language/schema/raw/master/csl-citation.json" }</w:instrText>
      </w:r>
      <w:r w:rsidR="003C26C8">
        <w:fldChar w:fldCharType="separate"/>
      </w:r>
      <w:r w:rsidR="003C26C8" w:rsidRPr="003C26C8">
        <w:rPr>
          <w:noProof/>
        </w:rPr>
        <w:t>(Smith et al. 1990a; Smith et al. 1990b; Fadly &amp; Smith 1991; Gavora et al. 1995; Hamoen et al. 2001; Khosravinia 2009)</w:t>
      </w:r>
      <w:r w:rsidR="003C26C8">
        <w:fldChar w:fldCharType="end"/>
      </w:r>
      <w:r>
        <w:t>.</w:t>
      </w:r>
      <w:r w:rsidR="003C26C8">
        <w:t xml:space="preserve"> Full characterisation of this locus, and the development of diagnostic assays,</w:t>
      </w:r>
      <w:r w:rsidR="00A739CD">
        <w:t xml:space="preserve"> has been hindered</w:t>
      </w:r>
      <w:r w:rsidR="003C26C8">
        <w:t xml:space="preserve"> due to the large tandem duplication in the </w:t>
      </w:r>
      <w:r w:rsidR="0046723B">
        <w:t xml:space="preserve">causative </w:t>
      </w:r>
      <w:r w:rsidR="003C26C8">
        <w:t xml:space="preserve">slow feathered </w:t>
      </w:r>
      <w:r w:rsidR="003C26C8">
        <w:rPr>
          <w:i/>
        </w:rPr>
        <w:t>K</w:t>
      </w:r>
      <w:r w:rsidR="0046723B">
        <w:t xml:space="preserve"> allele </w:t>
      </w:r>
      <w:r w:rsidR="00193EA9">
        <w:fldChar w:fldCharType="begin" w:fldLock="1"/>
      </w:r>
      <w:r w:rsidR="00A739CD">
        <w:instrText>ADDIN CSL_CITATION { "citationItems" : [ { "id" : "ITEM-1", "itemData" : { "author" : [ { "dropping-particle" : "", "family" : "Levin", "given" : "Elan", "non-dropping-particle" : "", "parse-names" : false, "suffix" : "" }, { "dropping-particle" : "", "family" : "Smith", "given" : "Eugene J", "non-dropping-particle" : "", "parse-names" : false, "suffix" : "" } ], "container-title" : "Poultry Science", "id" : "ITEM-1", "issued" : { "date-parts" : [ [ "1990" ] ] }, "page" : "2017-2026", "title" : "Molecular Analysis of Endogenous Virus ev21-Slow Feathering Complex of Chickens. 1. Cloning of Proviral-Cell Junction Fragment and Unoccupied Integration Site", "type" : "article-journal", "volume" : "69" }, "uris" : [ "http://www.mendeley.com/documents/?uuid=52bb11d9-b3c5-4682-ab25-1e44ce7d2a1c" ] } ], "mendeley" : { "formattedCitation" : "(Levin &amp; Smith 1990)", "plainTextFormattedCitation" : "(Levin &amp; Smith 1990)", "previouslyFormattedCitation" : "(Levin &amp; Smith 1990)" }, "properties" : { "noteIndex" : 0 }, "schema" : "https://github.com/citation-style-language/schema/raw/master/csl-citation.json" }</w:instrText>
      </w:r>
      <w:r w:rsidR="00193EA9">
        <w:fldChar w:fldCharType="separate"/>
      </w:r>
      <w:r w:rsidR="00193EA9" w:rsidRPr="00193EA9">
        <w:rPr>
          <w:noProof/>
        </w:rPr>
        <w:t>(Levin &amp; Smith 1990)</w:t>
      </w:r>
      <w:r w:rsidR="00193EA9">
        <w:fldChar w:fldCharType="end"/>
      </w:r>
      <w:r w:rsidR="00A739CD">
        <w:t xml:space="preserve">. </w:t>
      </w:r>
    </w:p>
    <w:p w14:paraId="1D9FB150" w14:textId="03C90833" w:rsidR="004E5FBE" w:rsidRDefault="00E70869" w:rsidP="00391005">
      <w:pPr>
        <w:pStyle w:val="ListParagraph"/>
      </w:pPr>
      <w:r>
        <w:t>I</w:t>
      </w:r>
      <w:r w:rsidR="00A739CD">
        <w:t>n this project</w:t>
      </w:r>
      <w:r>
        <w:t>,</w:t>
      </w:r>
      <w:r w:rsidR="00A739CD">
        <w:t xml:space="preserve"> </w:t>
      </w:r>
      <w:r>
        <w:t xml:space="preserve">two high-throughput diagnostic KASP assays have been developed to facilitate unambiguous </w:t>
      </w:r>
      <w:r w:rsidR="00561F2C">
        <w:t xml:space="preserve">ALVE21 and </w:t>
      </w:r>
      <w:r w:rsidR="00561F2C">
        <w:rPr>
          <w:i/>
        </w:rPr>
        <w:t xml:space="preserve">K </w:t>
      </w:r>
      <w:r>
        <w:t>locus</w:t>
      </w:r>
      <w:r w:rsidR="00690121">
        <w:t xml:space="preserve"> genotyping when used in tandem. </w:t>
      </w:r>
      <w:r w:rsidR="004E5FBE">
        <w:t>As discussed above, it is possible that these assays may not be applicable to all commercial stock due to SNPs or indels. This is particularly relevant for the duplication bridge assay, as multiple slow feathering phenotype variants have been observ</w:t>
      </w:r>
      <w:r w:rsidR="00561F2C">
        <w:t>ed,</w:t>
      </w:r>
      <w:r w:rsidR="004E5FBE">
        <w:t xml:space="preserve"> suggesting that the extent of the underlying duplication may differ</w:t>
      </w:r>
      <w:r w:rsidR="00561F2C">
        <w:t xml:space="preserve"> between</w:t>
      </w:r>
      <w:r w:rsidR="004E5FBE">
        <w:t xml:space="preserve"> lines </w:t>
      </w:r>
      <w:r w:rsidR="00561F2C">
        <w:fldChar w:fldCharType="begin" w:fldLock="1"/>
      </w:r>
      <w:r w:rsidR="00154139">
        <w:instrText>ADDIN CSL_CITATION { "citationItems" : [ { "id" : "ITEM-1", "itemData" : { "ISSN" : "0268-9146", "PMID" : "7793680", "abstract" : "Nucleotide sequence analysis of polymerase chain reaction products confirmed that ev21 integrated into one of two large homologous elements on the Z chromosome of late-feathering (LF) White Leghorn chickens. Southern blots of NotI-, NaeI-, KspI- and BamHI-digested DNA from early-feathering (EF) and LF White Leghorns, that had been hybridized with a probe that flanks ev21, indicated a 180 kb duplication of an unoccupied repeat in the LF genotype of White Leghorns. A KspI fragment that carries ev21 was about 32 kb smaller than the KspI fragment found in EF DNA. In the evolution of LF, retroviral insertion into one of two large repeats and a 32 kb deletion may have generated LF.", "author" : [ { "dropping-particle" : "", "family" : "Iraqi", "given" : "F", "non-dropping-particle" : "", "parse-names" : false, "suffix" : "" }, { "dropping-particle" : "", "family" : "Smith", "given" : "E J", "non-dropping-particle" : "", "parse-names" : false, "suffix" : "" } ], "container-title" : "Animal genetics", "id" : "ITEM-1", "issue" : "3", "issued" : { "date-parts" : [ [ "1995" ] ] }, "page" : "141-6", "title" : "Organization of the sex-linked late-feathering haplotype in chickens.", "type" : "article-journal", "volume" : "26" }, "uris" : [ "http://www.mendeley.com/documents/?uuid=f31b0c70-add2-490a-afcd-0859e7638210" ] }, { "id" : "ITEM-2", "itemData" : { "DOI" : "DOI 10.1111/j.1439-0388.1996.tb00622.x", "ISBN" : "0931-2668", "abstract" : "Alleles of the sex linked K-gene determine the rate of feathering in chicks leading to rapid and slow feathering phenotypes and allowing sex identification of chicks. The slow feathering phenotype is associated with the integration of the endogenous viral gene ev21 coding for the complete, infectious, endogenous, avian leukosis virus EV21 and the repetition of the integration site. Of our major interest is a new mutation observed in the local population, Nunukan, from Kalimantan, Indonesia, characterized by a very slow rate of feathering (SSF = super slow feathering). This new variant is expected to be favourable to overcome resistence problems to leukosis infections associated with the use of the K-Gen and to increase productive adaptability to tropical conditions. A genomic library of a SSF female was prepared and a restriction map of a clone containing the ev21 Insertion was constructed for further analyses. Furthermore a PCR test was designed to allow the rapid screening of different populations segregating for the alleles of the R-gene to search for rare genotypes. Another PCR test was developed in order to amplify the ev21 insertion and to detect the deletion of ev21 expected to exist associated with the SSF mutation. Sequencing of the PCR product showed that a deletion of 4500 bp exist in the SSF mutant covering the 5'-end of the ev21 insertion and about 650 bp of the 5'-flanking chicken genomic region. This deletion is a common feature of the SSF variant.", "author" : [ { "dropping-particle" : "", "family" : "Wimmers", "given" : "K", "non-dropping-particle" : "", "parse-names" : false, "suffix" : "" }, { "dropping-particle" : "", "family" : "Schmidt", "given" : "P", "non-dropping-particle" : "", "parse-names" : false, "suffix" : "" }, { "dropping-particle" : "", "family" : "ValleZarate", "given" : "A", "non-dropping-particle" : "", "parse-names" : false, "suffix" : "" }, { "dropping-particle" : "", "family" : "Brockmann", "given" : "G", "non-dropping-particle" : "", "parse-names" : false, "suffix" : "" }, { "dropping-particle" : "", "family" : "Horst", "given" : "P", "non-dropping-particle" : "", "parse-names" : false, "suffix" : "" }, { "dropping-particle" : "", "family" : "Schwerin", "given" : "M", "non-dropping-particle" : "", "parse-names" : false, "suffix" : "" } ], "container-title" : "Journal of Animal Breeding and Genetics-Zeitschrift Fur Tierzuchtung Und Zuchtungsbiologie", "id" : "ITEM-2", "issue" : "4-5", "issued" : { "date-parts" : [ [ "1996" ] ] }, "page" : "323-329", "title" : "Molecular analysis of a new variant of the ev21 insertion/K-gene complex in the super slow feathering Nunukan chicken", "type" : "article-journal", "volume" : "113" }, "uris" : [ "http://www.mendeley.com/documents/?uuid=147a7efc-0c7f-48ed-8f8c-c99b362956e4" ] }, { "id" : "ITEM-3", "itemData" : { "abstract" : "Very poor feather development has been observed in chickens of the Nunukan strain, originating from Indonesia. The wing of the newly hatched chick does not show any primary or covert feathers; this phenotype will be referred to as very-late feathering (VLF). As adults, chickens are feathered but tail feathers are short and fragile. An experimental population was set up at the National Institute of Agronomic Research (INRA), Jouy-en-Josas, from one Nunukan male and four Nunukan females. Preliminary observations did not support the hypothesis of a sex-linked dominant mode of inheritance for the VLF phenotype. A restriction fragment length polymorphism (RFLP) study using five restriction enzymes and two probes, RAV-2 and en- dogenous virus (ev) ev21-int specific for the endogenous viral locus ALVE21, showed the presence of the expected 3\u2032 junction fragments for the ev21 occupied site but failed to reveal the expected 5\u2032 junction fragments for ev21 in Nunukan chickens. The unoccupied site corresponded to the ev21 unoccupied repeat (UR) of type a (URa). A deletion in the 5\u2032 region of the provirus and of the insertion site was indicated by the RFLP analysis and confirmed by a PCR study. Primers were designed in order to amplify a 5\u2032 junction fragment specific to the modified ev21 found in the Nunukan chickens. The sequence of this amplified product showed that the deletion started 652 bp upstream of the insertion site of ev21 and ended within the pol gene of the viral genome. This deletion represents a new allele, OSD, at the ev21 insertion site (locus ALVE21), that appears insufficient to produce a complete virus. Current data do not show a clear causal relationship between OSD and the VLF phenotype. The presence of OSD may be required but is not in itself sufficient to obtain the VLF phenotype. The genetic relationships between OSD and the altered feathering phenotype of Nunukan chickens will be investigated further in families segregating for the VLF phenotype, using the locus-specific PCR test developed as part of this study.", "author" : [ { "dropping-particle" : "", "family" : "Tixier-Boichard", "given" : "M", "non-dropping-particle" : "", "parse-names" : false, "suffix" : "" }, { "dropping-particle" : "", "family" : "Boulliou-Robic", "given" : "A", "non-dropping-particle" : "", "parse-names" : false, "suffix" : "" } ], "container-title" : "Poultry science", "id" : "ITEM-3", "issued" : { "date-parts" : [ [ "1997" ] ] }, "note" : "Identified a deletion at the ALVE21 locus which means the locus is now insufficient to produce virus. The deletion starts 652bp upstream of the standard insertion site for ev21 and ends within the pol gene. It may still be able to express the env gene, like ev6 does. \n\n\nThe locus was investigated due to the identification of the VLF (very late feathering) phenotype in Nunukan strain chickens from Indonesia. The genetic relationships were not fully explained. But the fact that there is a deletion in a closely linked ERV is quite suggestive.\n\n\nThe presence of ev21 alone is not sufficient to induce the mutant late-feathering phenotype.", "page" : "733-742", "title" : "A deleted retroviral insertion at the ev21-K complex locus in Indonesian chickens", "type" : "article-journal", "volume" : "76" }, "uris" : [ "http://www.mendeley.com/documents/?uuid=cc34bfa0-1512-4230-96a8-5fd8643b41eb" ] }, { "id" : "ITEM-4", "itemData" : { "abstract" : "The avian endogenous virus gene (ev21) and dominant sex-linked late feathering (LF) gene (K) are closely associated on the Z chromosome of LF chickens. The K gene is linked to two large repeats: ev21-unoccupied repeat region (URa) and ev21-occupied repeat region (OR). On the other hand, the recessive allele (early feathering, EF: k+) is linked to ev21-unoccupied region (URb). These three regions show high similarity but due to minor sequence differences, restriction enzyme treatment distinguishes URa and URb in White Leghorn. However, the applicability of the PCR-RFLP technique or the association between ev21 and K gene are not well investigated in the other breeds or strains. In this study, ev21 loci were detected in White Leghorn, Nagoya, Silky, Geline but not Gifujidori breeds of chickens, and the URa and URb from the various breeds were sequenced. Four types of sequence (URa-1 and URa-2 from LF or ev21 positive, URb-1 and URb-2 from EF or ev21 negative) were identified. At position 1072-1075, URa-2, URb-1 and URb-2 had \u201cGGCC\u201d whereas URa-1 had \u201cAGCC\u201d. The transition at 1072 clearly indicates that the PCR-RFLP technique used for White Leghorn is not applicable to Nagoya. Interestingly, both URa-1 and URa-2 were obtained from the ev21 positive sample of Geline. Presence of different sequence of URa in the Geline may explain that fixation of one of sequences to White Leghorn or Nagoya had occurred during breed establishment.", "author" : [ { "dropping-particle" : "", "family" : "Kansaku", "given" : "Norio", "non-dropping-particle" : "", "parse-names" : false, "suffix" : "" }, { "dropping-particle" : "", "family" : "Gu\u00e9men\u00e9", "given" : "Daniel", "non-dropping-particle" : "", "parse-names" : false, "suffix" : "" }, { "dropping-particle" : "", "family" : "Nakamura", "given" : "Akihiro", "non-dropping-particle" : "", "parse-names" : false, "suffix" : "" }, { "dropping-particle" : "", "family" : "Uchida", "given" : "Masaoki", "non-dropping-particle" : "", "parse-names" : false, "suffix" : "" } ], "container-title" : "Journal of Poultry Science", "id" : "ITEM-4", "issued" : { "date-parts" : [ [ "2011" ] ] }, "note" : "female bird selection has been facilitated by the introduction of the sex-linked late feathering (LF) gene &amp;quot;Kurz&amp;quot; (K). LF trait is dominant to early feathering (EF)(k+) so mating LF females to EF males give EF female progeny - this allows rapid sexing of the one day old chick.\n\n\nev21 is closely associated to K on the Z chromosome. Linkage distance is estimated at less than 0.3cM\n3 sequence regions identified: ev21 integrated site (occupied repeat: OR), a homologous region produced by duplication (unoccupied repeat URa), and non-ev21 integrated regions (unoccupied repeat: URb). \nTest designed for leghorns to determine differences between these different regions. Unknown whether the test would apply to different breeds/strains.\n\n\nStudy shows that different breeds have differing sequences in the URa and URb regions. Association between the locus and ev21 still not fully understood. ev21 presence is not a prerequisite for early feathering.", "page" : "181-186", "title" : "Sequence Characterization of K-gene Linked Region in Various Chicken Breeds", "type" : "article-journal", "volume" : "48" }, "uris" : [ "http://www.mendeley.com/documents/?uuid=171a50a6-e445-4937-90cd-a5633bfd1fe6" ] } ], "mendeley" : { "formattedCitation" : "(Iraqi &amp; Smith 1995; Wimmers et al. 1996; Tixier-Boichard &amp; Boulliou-Robic 1997; Kansaku et al. 2011)", "plainTextFormattedCitation" : "(Iraqi &amp; Smith 1995; Wimmers et al. 1996; Tixier-Boichard &amp; Boulliou-Robic 1997; Kansaku et al. 2011)", "previouslyFormattedCitation" : "(Iraqi &amp; Smith 1995; Wimmers et al. 1996; Tixier-Boichard &amp; Boulliou-Robic 1997; Kansaku et al. 2011)" }, "properties" : { "noteIndex" : 0 }, "schema" : "https://github.com/citation-style-language/schema/raw/master/csl-citation.json" }</w:instrText>
      </w:r>
      <w:r w:rsidR="00561F2C">
        <w:fldChar w:fldCharType="separate"/>
      </w:r>
      <w:r w:rsidR="00561F2C" w:rsidRPr="00561F2C">
        <w:rPr>
          <w:noProof/>
        </w:rPr>
        <w:t>(Iraqi &amp; Smith 1995; Wimmers et al. 1996; Tixier-Boichard &amp; Boulliou-Robic 1997; Kansaku et al. 2011)</w:t>
      </w:r>
      <w:r w:rsidR="00561F2C">
        <w:fldChar w:fldCharType="end"/>
      </w:r>
      <w:r w:rsidR="004E5FBE">
        <w:t xml:space="preserve">. If application of the assay developed here gave unexpected results across different lines, it would be prudent to fully characterise the bridging location following the methodology </w:t>
      </w:r>
      <w:r w:rsidR="00561F2C">
        <w:t xml:space="preserve">previously </w:t>
      </w:r>
      <w:r w:rsidR="004E5FBE">
        <w:t xml:space="preserve">used to identify the site in layers </w:t>
      </w:r>
      <w:r w:rsidR="004E5FBE">
        <w:fldChar w:fldCharType="begin" w:fldLock="1"/>
      </w:r>
      <w:r w:rsidR="00561F2C">
        <w:instrText>ADDIN CSL_CITATION { "citationItems" : [ { "id" : "ITEM-1", "itemData" : { "DOI" : "10.1186/1471-2164-9-391", "ISSN" : "1471-2164", "PMID" : "18713476", "abstract" : "BACKGROUND: One of the loci responsible for feather development in chickens is K. The K allele is partially dominant to the k+ allele and causes a retard in the emergence of flight feathers at hatch. The K locus is sex linked and located on the Z chromosome. Therefore, the locus can be utilized to produce phenotypes that identify the sexes of chicks at hatch. Previous studies on the organization of the K allele concluded the integration of endogenous retrovirus 21 (ev21) into one of two large homologous segments located on the Z chromosome of late feathering chickens. In this study, a detailed molecular analysis of the K locus and a DNA test to distinguish between homozygous and heterozygous late feathering males are presented. RESULTS: The K locus was investigated with quantitative PCR by examining copy number variations in a total of fourteen markers surrounding the ev21 integration site. The results showed a duplication at the K allele and sequence analysis of the breakpoint junction indicated a tandem duplication of 176,324 basepairs. The tandem duplication of this region results in the partial duplication of two genes; the prolactin receptor and the gene encoding sperm flagellar protein 2. Sequence analysis revealed that the duplication is similar in Broiler and White Leghorn. In addition, twelve late feathering animals, including Broiler, White Leghorn, and Brown Layer lines, contained a 78 bp breakpoint junction fragment, indicating that the duplication is similar in all breeds. The breakpoint junction was used to develop a TaqMan-based quantitative PCR test to allow distinction between homozygous and heterozygous late feathering males. In total, 85.3% of the animals tested were correctly assigned, 14.7% were unassigned and no animals were incorrectly assigned. CONCLUSION: The detailed molecular analysis presented in this study revealed the presence of a tandem duplication in the K allele. The duplication resulted in the partial duplication of two genes; the prolactin receptor and the gene encoding sperm flagellar protein 2. Furthermore, a DNA test was developed to distinguish between homozygous and heterozygous late feathering males.", "author" : [ { "dropping-particle" : "", "family" : "Elferink", "given" : "Martin G", "non-dropping-particle" : "", "parse-names" : false, "suffix" : "" }, { "dropping-particle" : "", "family" : "Vall\u00e9e", "given" : "Am\u00e9lie a a", "non-dropping-particle" : "", "parse-names" : false, "suffix" : "" }, { "dropping-particle" : "", "family" : "Jungerius", "given" : "Annemieke P", "non-dropping-particle" : "", "parse-names" : false, "suffix" : "" }, { "dropping-particle" : "", "family" : "Crooijmans", "given" : "Richard P M a", "non-dropping-particle" : "", "parse-names" : false, "suffix" : "" }, { "dropping-particle" : "", "family" : "Groenen", "given" : "Martien a M", "non-dropping-particle" : "", "parse-names" : false, "suffix" : "" } ], "container-title" : "BMC genomics", "id" : "ITEM-1", "issued" : { "date-parts" : [ [ "2008", "1" ] ] }, "page" : "391", "title" : "Partial duplication of the PRLR and SPEF2 genes at the late feathering locus in chicken.", "type" : "article-journal", "volume" : "9" }, "uris" : [ "http://www.mendeley.com/documents/?uuid=c0f6c8e2-2413-434a-bc72-3bcc3de5d016" ] }, { "id" : "ITEM-2", "itemData" : { "DOI" : "10.1530/JME-13-0068", "ISSN" : "1479-6813", "PMID" : "23940279", "abstract" : "A partial duplication of the prolactin (PRL) receptor gene (designated as dPRLR) has been identified at the late-feathering (LF) K locus on chromosome Z of some chicken strains recently, implying that dPRLR is probably a candidate gene associated with LF development in chickens. However, little is known about the structure, functionality, and spatiotemporal expression of the dPRLR gene in chickens. In this study, using 3'-RACE and RT-PCR, the full-length cDNA of the dPRLR obtained from the kidneys of male Lohmann layer chickens carrying a K allele was cloned. The cloned dPRLR is predicted to encode a membrane-spanning receptor of 683 amino acids, which is nearly identical to the original PRLR, except for its lack of a 149-amino acid C-terminal tail. Using a 5\u00d7 STAT5-Luciferase reporter system and western blot analysis, we demonstrated that dPRLR expressed in HepG2 cells could be potently activated by chicken PRL and functionally coupled to the intracellular STAT5 signaling pathway, suggesting that dPRLR may function as a novel receptor for PRL. RT-PCR assays revealed that similar to the original PRLR gene, dPRLR mRNA is widely expressed in all embryonic and adult tissues examined including the skin of male Lohmann chickens with a K allele. These findings, together with the expression of PRL mRNA detected in the skin of embryos at embryonic day 20 and 1-week-old chicks, suggest that skin-expressed dPRLR and PRLR, together with plasma and skin-derived PRL, may be involved in the control of the LF development of chicks at hatching. Moreover, the wide tissue expression of dPRLR implies that dPRLR may regulate other physiological processes of chickens carrying the K allele.", "author" : [ { "dropping-particle" : "", "family" : "Bu", "given" : "Guixian", "non-dropping-particle" : "", "parse-names" : false, "suffix" : "" }, { "dropping-particle" : "", "family" : "Huang", "given" : "Guian", "non-dropping-particle" : "", "parse-names" : false, "suffix" : "" }, { "dropping-particle" : "", "family" : "Fu", "given" : "Hao", "non-dropping-particle" : "", "parse-names" : false, "suffix" : "" }, { "dropping-particle" : "", "family" : "Li", "given" : "Juan", "non-dropping-particle" : "", "parse-names" : false, "suffix" : "" }, { "dropping-particle" : "", "family" : "Huang", "given" : "Simiao", "non-dropping-particle" : "", "parse-names" : false, "suffix" : "" }, { "dropping-particle" : "", "family" : "Wang", "given" : "Yajun", "non-dropping-particle" : "", "parse-names" : false, "suffix" : "" } ], "container-title" : "Journal of molecular endocrinology", "id" : "ITEM-2", "issue" : "2", "issued" : { "date-parts" : [ [ "2013", "1" ] ] }, "page" : "261-76", "title" : "Characterization of the novel duplicated PRLR gene at the late-feathering K locus in Lohmann chickens.", "type" : "article-journal", "volume" : "51" }, "uris" : [ "http://www.mendeley.com/documents/?uuid=91ac1252-e4fb-4002-abd8-32f19e159081" ] } ], "mendeley" : { "formattedCitation" : "(Elferink et al. 2008; Bu et al. 2013)", "plainTextFormattedCitation" : "(Elferink et al. 2008; Bu et al. 2013)", "previouslyFormattedCitation" : "(Elferink et al. 2008; Bu et al. 2013)" }, "properties" : { "noteIndex" : 0 }, "schema" : "https://github.com/citation-style-language/schema/raw/master/csl-citation.json" }</w:instrText>
      </w:r>
      <w:r w:rsidR="004E5FBE">
        <w:fldChar w:fldCharType="separate"/>
      </w:r>
      <w:r w:rsidR="004E5FBE" w:rsidRPr="004E5FBE">
        <w:rPr>
          <w:noProof/>
        </w:rPr>
        <w:t>(Elferink et al. 2008; Bu et al. 2013)</w:t>
      </w:r>
      <w:r w:rsidR="004E5FBE">
        <w:fldChar w:fldCharType="end"/>
      </w:r>
      <w:r w:rsidR="004E5FBE">
        <w:t>.</w:t>
      </w:r>
      <w:r w:rsidR="00561F2C">
        <w:t xml:space="preserve"> </w:t>
      </w:r>
    </w:p>
    <w:p w14:paraId="2DF54745" w14:textId="77777777" w:rsidR="002C2298" w:rsidRDefault="00561F2C" w:rsidP="00391005">
      <w:pPr>
        <w:pStyle w:val="ListParagraph"/>
      </w:pPr>
      <w:r>
        <w:t xml:space="preserve">It was disappointing that the BioNano high resolution optic mapping generated during this project was unable to fully characterise the duplicated region in the </w:t>
      </w:r>
      <w:r>
        <w:rPr>
          <w:i/>
        </w:rPr>
        <w:t xml:space="preserve">K </w:t>
      </w:r>
      <w:r>
        <w:t xml:space="preserve">locus due to insufficient data. However, further analysis is underway and the provision of more data by the Earlham Institute should facilitate the full elucidation of the locus and identification of the ALVE21 site which is occupied. </w:t>
      </w:r>
      <w:r w:rsidR="00441F11">
        <w:t xml:space="preserve">In addition, as the new BioNano Access software becomes more widely used it will be much easier to analyse the data. </w:t>
      </w:r>
    </w:p>
    <w:p w14:paraId="0A8D1F09" w14:textId="059ACF98" w:rsidR="00561F2C" w:rsidRDefault="00441F11" w:rsidP="00391005">
      <w:pPr>
        <w:pStyle w:val="ListParagraph"/>
      </w:pPr>
      <w:r>
        <w:t xml:space="preserve">Optic maps currently represent the only technology capable of fully characterising a variant as long as the 180 kb duplication within the </w:t>
      </w:r>
      <w:r>
        <w:rPr>
          <w:i/>
        </w:rPr>
        <w:t xml:space="preserve">K </w:t>
      </w:r>
      <w:r>
        <w:t xml:space="preserve">allele. Complete characterisation would advise breeding companies on how to best mitigate the ALVE21 insertion, perhaps through CRISPR/Cas9-mediated deletions (discussed below in section </w:t>
      </w:r>
      <w:r>
        <w:fldChar w:fldCharType="begin" w:fldLock="1"/>
      </w:r>
      <w:r>
        <w:instrText xml:space="preserve"> REF _Ref486600280 \r \h </w:instrText>
      </w:r>
      <w:r>
        <w:fldChar w:fldCharType="separate"/>
      </w:r>
      <w:r w:rsidR="002C549C">
        <w:t>6.8.4</w:t>
      </w:r>
      <w:r>
        <w:fldChar w:fldCharType="end"/>
      </w:r>
      <w:r>
        <w:t xml:space="preserve">). However, another consideration is that the partially duplicated genes within the </w:t>
      </w:r>
      <w:r>
        <w:rPr>
          <w:i/>
        </w:rPr>
        <w:t xml:space="preserve">K </w:t>
      </w:r>
      <w:r>
        <w:t xml:space="preserve">allele </w:t>
      </w:r>
      <w:r>
        <w:lastRenderedPageBreak/>
        <w:t>may also contribute to the detrimental effects on productivity traits</w:t>
      </w:r>
      <w:r w:rsidR="00154139">
        <w:t xml:space="preserve">, particularly as PRLR SNPs have previously been linked, in wildtype fast feathering birds, to reductions in layer success </w:t>
      </w:r>
      <w:r w:rsidR="00154139">
        <w:fldChar w:fldCharType="begin" w:fldLock="1"/>
      </w:r>
      <w:r w:rsidR="00154139">
        <w:instrText>ADDIN CSL_CITATION { "citationItems" : [ { "id" : "ITEM-1", "itemData" : { "author" : [ { "dropping-particle" : "", "family" : "Zhang", "given" : "L", "non-dropping-particle" : "", "parse-names" : false, "suffix" : "" }, { "dropping-particle" : "", "family" : "Li", "given" : "D Y", "non-dropping-particle" : "", "parse-names" : false, "suffix" : "" }, { "dropping-particle" : "", "family" : "Liu", "given" : "Y P", "non-dropping-particle" : "", "parse-names" : false, "suffix" : "" }, { "dropping-particle" : "", "family" : "Wang", "given" : "Y", "non-dropping-particle" : "", "parse-names" : false, "suffix" : "" }, { "dropping-particle" : "", "family" : "Zhao", "given" : "X L", "non-dropping-particle" : "", "parse-names" : false, "suffix" : "" }, { "dropping-particle" : "", "family" : "Zhu", "given" : "Q", "non-dropping-particle" : "", "parse-names" : false, "suffix" : "" } ], "container-title" : "Genetics and Molecular Research", "id" : "ITEM-1", "issue" : "4", "issued" : { "date-parts" : [ [ "2012" ] ] }, "page" : "4307-4315", "title" : "Genetic effect of the prolactin receptor gene on egg production traits in chickens", "type" : "article-journal", "volume" : "11" }, "uris" : [ "http://www.mendeley.com/documents/?uuid=741e9b06-c61b-41f5-9855-252826938b72" ] } ], "mendeley" : { "formattedCitation" : "(Zhang et al. 2012)", "plainTextFormattedCitation" : "(Zhang et al. 2012)", "previouslyFormattedCitation" : "(Zhang et al. 2012)" }, "properties" : { "noteIndex" : 0 }, "schema" : "https://github.com/citation-style-language/schema/raw/master/csl-citation.json" }</w:instrText>
      </w:r>
      <w:r w:rsidR="00154139">
        <w:fldChar w:fldCharType="separate"/>
      </w:r>
      <w:r w:rsidR="00154139" w:rsidRPr="00154139">
        <w:rPr>
          <w:noProof/>
        </w:rPr>
        <w:t>(Zhang et al. 2012)</w:t>
      </w:r>
      <w:r w:rsidR="00154139">
        <w:fldChar w:fldCharType="end"/>
      </w:r>
      <w:r>
        <w:t xml:space="preserve">. Recent studies have identified that </w:t>
      </w:r>
      <w:r w:rsidR="00154139">
        <w:t xml:space="preserve">both PRLR and SPEF2 </w:t>
      </w:r>
      <w:r>
        <w:t xml:space="preserve">mRNA levels </w:t>
      </w:r>
      <w:r w:rsidR="00154139">
        <w:t>we</w:t>
      </w:r>
      <w:r>
        <w:t>re elevated in slow feathered individuals</w:t>
      </w:r>
      <w:r w:rsidR="00154139">
        <w:t xml:space="preserve"> (with no evidence of antisense RNA interference),</w:t>
      </w:r>
      <w:r>
        <w:t xml:space="preserve"> and that the duplicate transcripts exhibit</w:t>
      </w:r>
      <w:r w:rsidR="00154139">
        <w:t>ed</w:t>
      </w:r>
      <w:r>
        <w:t xml:space="preserve"> a similar</w:t>
      </w:r>
      <w:r w:rsidR="00154139">
        <w:t>, and very broad,</w:t>
      </w:r>
      <w:r>
        <w:t xml:space="preserve"> spatiotemporal distribution</w:t>
      </w:r>
      <w:r w:rsidR="00154139">
        <w:t xml:space="preserve"> </w:t>
      </w:r>
      <w:r w:rsidR="00154139">
        <w:fldChar w:fldCharType="begin" w:fldLock="1"/>
      </w:r>
      <w:r w:rsidR="003B2CB2">
        <w:instrText>ADDIN CSL_CITATION { "citationItems" : [ { "id" : "ITEM-1", "itemData" : { "author" : [ { "dropping-particle" : "", "family" : "Luo", "given" : "C", "non-dropping-particle" : "", "parse-names" : false, "suffix" : "" }, { "dropping-particle" : "", "family" : "Shen", "given" : "X", "non-dropping-particle" : "", "parse-names" : false, "suffix" : "" }, { "dropping-particle" : "", "family" : "Rao", "given" : "Y", "non-dropping-particle" : "", "parse-names" : false, "suffix" : "" }, { "dropping-particle" : "", "family" : "Xu", "given" : "H", "non-dropping-particle" : "", "parse-names" : false, "suffix" : "" }, { "dropping-particle" : "", "family" : "Tang", "given" : "H", "non-dropping-particle" : "", "parse-names" : false, "suffix" : "" }, { "dropping-particle" : "", "family" : "Tang", "given" : "J", "non-dropping-particle" : "", "parse-names" : false, "suffix" : "" }, { "dropping-particle" : "", "family" : "Sun", "given" : "L", "non-dropping-particle" : "", "parse-names" : false, "suffix" : "" }, { "dropping-particle" : "", "family" : "Nie", "given" : "Q", "non-dropping-particle" : "", "parse-names" : false, "suffix" : "" }, { "dropping-particle" : "", "family" : "Zhang", "given" : "X", "non-dropping-particle" : "", "parse-names" : false, "suffix" : "" } ], "container-title" : "Molecular Biology Reports", "id" : "ITEM-1", "issue" : "5", "issued" : { "date-parts" : [ [ "2012" ] ] }, "page" : "6283-6288", "title" : "Differences of Z chromosome and genomic expression between early- and late-feathering chickens", "type" : "article-journal", "volume" : "39" }, "uris" : [ "http://www.mendeley.com/documents/?uuid=26e17ad1-a85f-416a-ab83-0b440570fab1" ] }, { "id" : "ITEM-2", "itemData" : { "DOI" : "10.1530/JME-13-0068", "ISSN" : "1479-6813", "PMID" : "23940279", "abstract" : "A partial duplication of the prolactin (PRL) receptor gene (designated as dPRLR) has been identified at the late-feathering (LF) K locus on chromosome Z of some chicken strains recently, implying that dPRLR is probably a candidate gene associated with LF development in chickens. However, little is known about the structure, functionality, and spatiotemporal expression of the dPRLR gene in chickens. In this study, using 3'-RACE and RT-PCR, the full-length cDNA of the dPRLR obtained from the kidneys of male Lohmann layer chickens carrying a K allele was cloned. The cloned dPRLR is predicted to encode a membrane-spanning receptor of 683 amino acids, which is nearly identical to the original PRLR, except for its lack of a 149-amino acid C-terminal tail. Using a 5\u00d7 STAT5-Luciferase reporter system and western blot analysis, we demonstrated that dPRLR expressed in HepG2 cells could be potently activated by chicken PRL and functionally coupled to the intracellular STAT5 signaling pathway, suggesting that dPRLR may function as a novel receptor for PRL. RT-PCR assays revealed that similar to the original PRLR gene, dPRLR mRNA is widely expressed in all embryonic and adult tissues examined including the skin of male Lohmann chickens with a K allele. These findings, together with the expression of PRL mRNA detected in the skin of embryos at embryonic day 20 and 1-week-old chicks, suggest that skin-expressed dPRLR and PRLR, together with plasma and skin-derived PRL, may be involved in the control of the LF development of chicks at hatching. Moreover, the wide tissue expression of dPRLR implies that dPRLR may regulate other physiological processes of chickens carrying the K allele.", "author" : [ { "dropping-particle" : "", "family" : "Bu", "given" : "Guixian", "non-dropping-particle" : "", "parse-names" : false, "suffix" : "" }, { "dropping-particle" : "", "family" : "Huang", "given" : "Guian", "non-dropping-particle" : "", "parse-names" : false, "suffix" : "" }, { "dropping-particle" : "", "family" : "Fu", "given" : "Hao", "non-dropping-particle" : "", "parse-names" : false, "suffix" : "" }, { "dropping-particle" : "", "family" : "Li", "given" : "Juan", "non-dropping-particle" : "", "parse-names" : false, "suffix" : "" }, { "dropping-particle" : "", "family" : "Huang", "given" : "Simiao", "non-dropping-particle" : "", "parse-names" : false, "suffix" : "" }, { "dropping-particle" : "", "family" : "Wang", "given" : "Yajun", "non-dropping-particle" : "", "parse-names" : false, "suffix" : "" } ], "container-title" : "Journal of molecular endocrinology", "id" : "ITEM-2", "issue" : "2", "issued" : { "date-parts" : [ [ "2013", "1" ] ] }, "page" : "261-76", "title" : "Characterization of the novel duplicated PRLR gene at the late-feathering K locus in Lohmann chickens.", "type" : "article-journal", "volume" : "51" }, "uris" : [ "http://www.mendeley.com/documents/?uuid=91ac1252-e4fb-4002-abd8-32f19e159081" ] }, { "id" : "ITEM-3", "itemData" : { "author" : [ { "dropping-particle" : "", "family" : "Zhao", "given" : "J", "non-dropping-particle" : "", "parse-names" : false, "suffix" : "" }, { "dropping-particle" : "", "family" : "Yao", "given" : "J", "non-dropping-particle" : "", "parse-names" : false, "suffix" : "" }, { "dropping-particle" : "", "family" : "Li", "given" : "F", "non-dropping-particle" : "", "parse-names" : false, "suffix" : "" }, { "dropping-particle" : "", "family" : "Yang", "given" : "Z", "non-dropping-particle" : "", "parse-names" : false, "suffix" : "" }, { "dropping-particle" : "", "family" : "Sun", "given" : "Z", "non-dropping-particle" : "", "parse-names" : false, "suffix" : "" }, { "dropping-particle" : "", "family" : "Qu", "given" : "L", "non-dropping-particle" : "", "parse-names" : false, "suffix" : "" }, { "dropping-particle" : "", "family" : "Wang", "given" : "K", "non-dropping-particle" : "", "parse-names" : false, "suffix" : "" }, { "dropping-particle" : "", "family" : "Su", "given" : "Y", "non-dropping-particle" : "", "parse-names" : false, "suffix" : "" }, { "dropping-particle" : "", "family" : "Zhang", "given" : "A", "non-dropping-particle" : "", "parse-names" : false, "suffix" : "" }, { "dropping-particle" : "", "family" : "Montgomery", "given" : "S A", "non-dropping-particle" : "", "parse-names" : false, "suffix" : "" }, { "dropping-particle" : "", "family" : "Geng", "given" : "T", "non-dropping-particle" : "", "parse-names" : false, "suffix" : "" }, { "dropping-particle" : "", "family" : "Cui", "given" : "H", "non-dropping-particle" : "", "parse-names" : false, "suffix" : "" } ], "id" : "ITEM-3", "issued" : { "date-parts" : [ [ "2016" ] ] }, "page" : "1-6", "title" : "Identification of candidate genes for chicken early- and late-feathering Gene in Chicken Strand-specific Transcription of the Fusion Gene in Chicken", "type" : "article-journal" }, "uris" : [ "http://www.mendeley.com/documents/?uuid=bc22050b-9550-4613-b7ce-ab0e8fa174cd" ] } ], "mendeley" : { "formattedCitation" : "(Luo et al. 2012; Bu et al. 2013; Zhao et al. 2016)", "plainTextFormattedCitation" : "(Luo et al. 2012; Bu et al. 2013; Zhao et al. 2016)", "previouslyFormattedCitation" : "(Luo et al. 2012; Bu et al. 2013; Zhao et al. 2016)" }, "properties" : { "noteIndex" : 0 }, "schema" : "https://github.com/citation-style-language/schema/raw/master/csl-citation.json" }</w:instrText>
      </w:r>
      <w:r w:rsidR="00154139">
        <w:fldChar w:fldCharType="separate"/>
      </w:r>
      <w:r w:rsidR="00154139" w:rsidRPr="00154139">
        <w:rPr>
          <w:noProof/>
        </w:rPr>
        <w:t>(Luo et al. 2012; Bu et al. 2013; Zhao et al. 2016)</w:t>
      </w:r>
      <w:r w:rsidR="00154139">
        <w:fldChar w:fldCharType="end"/>
      </w:r>
      <w:r>
        <w:t>.</w:t>
      </w:r>
      <w:r w:rsidR="00154139">
        <w:t xml:space="preserve"> This may reflect a diverse range of phenotypic effects due the slow feathering locus, and it may be better for commercial breeders to pursue a different sex marker.</w:t>
      </w:r>
    </w:p>
    <w:p w14:paraId="457EE9B5" w14:textId="77777777" w:rsidR="002C2298" w:rsidRPr="00441F11" w:rsidRDefault="002C2298" w:rsidP="00391005">
      <w:pPr>
        <w:pStyle w:val="ListParagraph"/>
      </w:pPr>
    </w:p>
    <w:p w14:paraId="0F01790C" w14:textId="2A8C6D59" w:rsidR="00441F11" w:rsidRDefault="00154139" w:rsidP="00154139">
      <w:pPr>
        <w:pStyle w:val="Heading4"/>
      </w:pPr>
      <w:r>
        <w:t>WPR2</w:t>
      </w:r>
      <w:r w:rsidR="00A91BFE">
        <w:t xml:space="preserve"> is a fast feathering revertant line</w:t>
      </w:r>
    </w:p>
    <w:p w14:paraId="08546FE4" w14:textId="521EC26F" w:rsidR="00FE6CD4" w:rsidRDefault="00A91BFE" w:rsidP="00391005">
      <w:pPr>
        <w:pStyle w:val="ListParagraph"/>
      </w:pPr>
      <w:r>
        <w:t>Development of the ALVE identification pipeline was facilitated by the positive controls of known associations between ALVEs and spe</w:t>
      </w:r>
      <w:r w:rsidR="0046723B">
        <w:t>cific phenotypes. B</w:t>
      </w:r>
      <w:r>
        <w:t>oth WPR lines were known to contain the recessive white mutation caused by ALVE-TYR</w:t>
      </w:r>
      <w:r w:rsidR="00FE6CD4">
        <w:t>,</w:t>
      </w:r>
      <w:r>
        <w:t xml:space="preserve"> and the slow feathered WPR1 and WL4 were expected to conta</w:t>
      </w:r>
      <w:r w:rsidR="0046723B">
        <w:t>in ALVE21. It was therefore</w:t>
      </w:r>
      <w:r>
        <w:t xml:space="preserve"> surprising that WPR2, the fast feathered sister line to WPR1, was also fixed for ALV</w:t>
      </w:r>
      <w:r w:rsidR="0046723B">
        <w:t>E21. T</w:t>
      </w:r>
      <w:r>
        <w:t>his finding was validated by manual inspection of the genome alignment maps (BAM files), positive ALV</w:t>
      </w:r>
      <w:r w:rsidR="0046723B">
        <w:t xml:space="preserve">E21 KASP assay results, and the </w:t>
      </w:r>
      <w:r>
        <w:t xml:space="preserve">visualisation of the insertion using BioNano optic mapping. However, the fast feathered phenotype was also validated by the homozygous ALVE21 KASP result, the negative </w:t>
      </w:r>
      <w:r>
        <w:rPr>
          <w:i/>
        </w:rPr>
        <w:t xml:space="preserve">K </w:t>
      </w:r>
      <w:r>
        <w:t>locus bridging KASP result, and the absence of reads mapping through th</w:t>
      </w:r>
      <w:r w:rsidR="0046723B">
        <w:t>e insertion site</w:t>
      </w:r>
      <w:r>
        <w:t xml:space="preserve">. </w:t>
      </w:r>
    </w:p>
    <w:p w14:paraId="4E609E5F" w14:textId="05EEEB85" w:rsidR="0046723B" w:rsidRDefault="00FE6CD4" w:rsidP="00391005">
      <w:pPr>
        <w:pStyle w:val="ListParagraph"/>
      </w:pPr>
      <w:r>
        <w:t>Together, these results support a fast feathered revertant origin for the WPR2 line. The WPR sister lines were separated based on their feathering rates, and it is therefore likely that the ancestral WPR line was slow feathering but the occasional fast feathered revertant made it seem like the line was still segregating. WPR2 therefore contains an ALVE insertion which has a wide range of detrimental phenotypic effects, including on productivity</w:t>
      </w:r>
      <w:r w:rsidR="0046723B">
        <w:t xml:space="preserve"> traits</w:t>
      </w:r>
      <w:r>
        <w:t>, but also lacks the commercia</w:t>
      </w:r>
      <w:r w:rsidR="002C2298">
        <w:t>lly useful slow feathering allele</w:t>
      </w:r>
      <w:r>
        <w:t xml:space="preserve">. This result should be considered by Hy-Line when planning future breeding programmes. </w:t>
      </w:r>
    </w:p>
    <w:p w14:paraId="3C403673" w14:textId="77777777" w:rsidR="0046723B" w:rsidRPr="0046723B" w:rsidRDefault="0046723B" w:rsidP="00391005">
      <w:pPr>
        <w:pStyle w:val="ListParagraph"/>
      </w:pPr>
    </w:p>
    <w:p w14:paraId="42D28F08" w14:textId="19577AD8" w:rsidR="006C75CD" w:rsidRDefault="006C75CD" w:rsidP="006C75CD">
      <w:pPr>
        <w:pStyle w:val="Heading3"/>
      </w:pPr>
      <w:bookmarkStart w:id="557" w:name="_Toc485721662"/>
      <w:bookmarkStart w:id="558" w:name="_Ref486600280"/>
      <w:bookmarkStart w:id="559" w:name="_Toc486787242"/>
      <w:bookmarkStart w:id="560" w:name="_Toc486787390"/>
      <w:r>
        <w:lastRenderedPageBreak/>
        <w:t>The commercial response to ALVE loci</w:t>
      </w:r>
      <w:bookmarkEnd w:id="557"/>
      <w:bookmarkEnd w:id="558"/>
      <w:bookmarkEnd w:id="559"/>
      <w:bookmarkEnd w:id="560"/>
    </w:p>
    <w:p w14:paraId="497B3938" w14:textId="0F01B3C0" w:rsidR="006C75CD" w:rsidRDefault="00A260C6" w:rsidP="00391005">
      <w:pPr>
        <w:pStyle w:val="ListParagraph"/>
      </w:pPr>
      <w:r>
        <w:t>This work has characterised the ALVE content of eight Hy-Line elite layer lines. Whilst it is possible that line-specific ALVEs may have been missed due to population sampling or incomplete allele amplification, this data enables Hy-Line to develop a management program</w:t>
      </w:r>
      <w:r w:rsidR="0046723B">
        <w:t xml:space="preserve">me for these </w:t>
      </w:r>
      <w:r w:rsidR="003B67AC">
        <w:t>variants</w:t>
      </w:r>
      <w:r>
        <w:t>. Some po</w:t>
      </w:r>
      <w:r w:rsidR="003B67AC">
        <w:t>ssibilities and considerations are explored below.</w:t>
      </w:r>
      <w:r>
        <w:t xml:space="preserve"> </w:t>
      </w:r>
    </w:p>
    <w:p w14:paraId="6BA1A7B7" w14:textId="0DA68D85" w:rsidR="00A165EE" w:rsidRDefault="00A165EE" w:rsidP="00391005">
      <w:pPr>
        <w:pStyle w:val="ListParagraph"/>
      </w:pPr>
    </w:p>
    <w:p w14:paraId="498FF278" w14:textId="4CFC0F0E" w:rsidR="00A165EE" w:rsidRDefault="003B67AC" w:rsidP="00A165EE">
      <w:pPr>
        <w:pStyle w:val="Heading4"/>
      </w:pPr>
      <w:r>
        <w:t>Evidence for current ALVE-related selection</w:t>
      </w:r>
    </w:p>
    <w:p w14:paraId="71E9BFB3" w14:textId="0E9FEA8F" w:rsidR="003B67AC" w:rsidRDefault="003B67AC" w:rsidP="00391005">
      <w:pPr>
        <w:pStyle w:val="ListParagraph"/>
      </w:pPr>
      <w:r>
        <w:t xml:space="preserve">Multi-generational </w:t>
      </w:r>
      <w:r w:rsidR="0046723B">
        <w:t xml:space="preserve">KASP assay </w:t>
      </w:r>
      <w:r>
        <w:t xml:space="preserve">genotyping has shown that the frequencies of most ALVEs are not changing in a directional manner. This is unsurprising, as there has been no </w:t>
      </w:r>
      <w:r w:rsidR="00F90D15">
        <w:t xml:space="preserve">targeted </w:t>
      </w:r>
      <w:r>
        <w:t xml:space="preserve">breeding programme designed for the elimination of ALVEs, and selection against p27 limits selective pressure to ALVEs with intact </w:t>
      </w:r>
      <w:r>
        <w:rPr>
          <w:i/>
        </w:rPr>
        <w:t>gag</w:t>
      </w:r>
      <w:r>
        <w:t xml:space="preserve"> expressed at the point of testing (prior to their selection as breeder birds). Most ALVE frequencies are fluctuating randomly due to drift, which means ALVEs at rare frequencies could be lost (</w:t>
      </w:r>
      <w:r w:rsidR="0046723B">
        <w:rPr>
          <w:i/>
        </w:rPr>
        <w:t>e.g.</w:t>
      </w:r>
      <w:r w:rsidR="0046723B">
        <w:t xml:space="preserve"> </w:t>
      </w:r>
      <w:r>
        <w:t>ALVE_ros004 in either WPR line), or those at very high frequencies could become fixed (</w:t>
      </w:r>
      <w:r w:rsidR="0046723B">
        <w:rPr>
          <w:i/>
        </w:rPr>
        <w:t>e.g.</w:t>
      </w:r>
      <w:r w:rsidR="0046723B">
        <w:t xml:space="preserve"> </w:t>
      </w:r>
      <w:r>
        <w:t>ALVE15 in WL1).</w:t>
      </w:r>
    </w:p>
    <w:p w14:paraId="69BC24DE" w14:textId="6017E82D" w:rsidR="009321F8" w:rsidRDefault="003B67AC" w:rsidP="00391005">
      <w:pPr>
        <w:pStyle w:val="ListParagraph"/>
      </w:pPr>
      <w:r>
        <w:t>Only ALVE3 had any directional selective effect, with freque</w:t>
      </w:r>
      <w:r w:rsidR="00F90D15">
        <w:t xml:space="preserve">ncy increasing in all three </w:t>
      </w:r>
      <w:r>
        <w:t>WLs (WL2, WL3, WL4)</w:t>
      </w:r>
      <w:r w:rsidR="00F90D15">
        <w:t xml:space="preserve"> inheriting this insertion</w:t>
      </w:r>
      <w:r>
        <w:t xml:space="preserve">, but only random fluctuations were observed in the RIR. </w:t>
      </w:r>
      <w:r w:rsidR="009321F8" w:rsidRPr="007E40B1">
        <w:t xml:space="preserve">ALVE3 is a well described element, and it has been long known to express both </w:t>
      </w:r>
      <w:r w:rsidR="009321F8" w:rsidRPr="00005C89">
        <w:t xml:space="preserve">gag </w:t>
      </w:r>
      <w:r w:rsidR="009321F8" w:rsidRPr="007E40B1">
        <w:t xml:space="preserve">and </w:t>
      </w:r>
      <w:r w:rsidR="009321F8" w:rsidRPr="00005C89">
        <w:t xml:space="preserve">envelope </w:t>
      </w:r>
      <w:r w:rsidR="00F90D15">
        <w:t>proteins, with the latter at</w:t>
      </w:r>
      <w:r w:rsidR="009321F8" w:rsidRPr="007E40B1">
        <w:t xml:space="preserve"> a particularly high titre </w:t>
      </w:r>
      <w:r w:rsidR="009321F8" w:rsidRPr="007E40B1">
        <w:fldChar w:fldCharType="begin" w:fldLock="1"/>
      </w:r>
      <w:r w:rsidR="009321F8" w:rsidRPr="007E40B1">
        <w:instrText>ADDIN CSL_CITATION { "citationItems" : [ { "id" : "ITEM-1", "itemData" : { "author" : [ { "dropping-particle" : "", "family" : "Astrin", "given" : "S M", "non-dropping-particle" : "", "parse-names" : false, "suffix" : "" }, { "dropping-particle" : "", "family" : "Robinson", "given" : "HL", "non-dropping-particle" : "", "parse-names" : false, "suffix" : "" } ], "container-title" : "Journal of Virology", "id" : "ITEM-1", "issue" : "2", "issued" : { "date-parts" : [ [ "1979" ] ] }, "page" : "420-425", "title" : "Gs , an Allele of Chickens for Endogenous Avian Leukosis Viral Antigens , Segregates with ev 3 , a Genetic Locus That Contains Structural Genes for Virus", "type" : "article-journal", "volume" : "31" }, "uris" : [ "http://www.mendeley.com/documents/?uuid=92f6d6ca-888f-4afb-8649-ebb63e87da5b" ] }, { "id" : "ITEM-2",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"ITEM-2", "issue" : "3", "issued" : { "date-parts" : [ [ "1981" ] ] }, "page" : "745-51", "title" : "Host Susceptibility to endogenous viruses: defective, glycoprotein-expressing proviruses interfere with infections.", "type" : "article-journal", "volume" : "40" }, "uris" : [ "http://www.mendeley.com/documents/?uuid=56707bd3-ea0a-4eba-8694-48d913ca265d" ] } ], "mendeley" : { "formattedCitation" : "(Astrin &amp; Robinson 1979; Robinson et al. 1981)", "plainTextFormattedCitation" : "(Astrin &amp; Robinson 1979; Robinson et al. 1981)", "previouslyFormattedCitation" : "(Astrin &amp; Robinson 1979; Robinson et al. 1981)" }, "properties" : { "noteIndex" : 0 }, "schema" : "https://github.com/citation-style-language/schema/raw/master/csl-citation.json" }</w:instrText>
      </w:r>
      <w:r w:rsidR="009321F8" w:rsidRPr="007E40B1">
        <w:fldChar w:fldCharType="separate"/>
      </w:r>
      <w:r w:rsidR="009321F8" w:rsidRPr="007E40B1">
        <w:rPr>
          <w:noProof/>
        </w:rPr>
        <w:t>(Astrin &amp; Robinson 1979; Robinson et al. 1981)</w:t>
      </w:r>
      <w:r w:rsidR="009321F8" w:rsidRPr="007E40B1">
        <w:fldChar w:fldCharType="end"/>
      </w:r>
      <w:r w:rsidR="009321F8" w:rsidRPr="007E40B1">
        <w:t xml:space="preserve">. Concordantly, ALVE3 does elicit a regulatory effect on infection by both exogenous and endogenous ALV through receptor interference </w:t>
      </w:r>
      <w:r w:rsidR="009321F8" w:rsidRPr="007E40B1">
        <w:fldChar w:fldCharType="begin" w:fldLock="1"/>
      </w:r>
      <w:r w:rsidR="009321F8" w:rsidRPr="007E40B1">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"id" : "ITEM-2",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"ITEM-2",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"ITEM-3", "itemData" : { "DOI" : "10.3382/ps.0691251", "ISSN" : "0032-5791", "abstract" : "The influence of the endogenous virus ev6 on congenital transmission of EV21, the infectious viral product encoded by locus ev21, and the immune response to exogenous avian leukosis virus (ALV) infection was studied in rapid-feathering (RF) female progeny from four classes of slow-feathering (SF) (ev21+ and RF (ev21-) dams with and without ev6. Apart from transmitting infectious EV21 and ev6 to progeny, dam ev genotype did not influence the immune response or shedding of RPL-40. The endogenous virus envelope glycoprotein encoded by ev6, however, completely restricted shedding and congenital transmission of infectious endogenous virus EV21, from SF dams. After 19 wk of exposure to ALV strain RPL-40 infected cage mates, only 11% of the congenitally infected female progeny mounted neutralizing antibodies against RPL-40, whereas 73% of their noncongenitally infected sisters seroconverted. More ev6+ female progeny, however, were shedders of RPL-40 and developed tumors than ev6- sisters. Among progeny from the four classes of dams, EV21 congenitally infected hens had the highest incidence (31%) of RPL-40-induced tumors.",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"ITEM-3", "issue" : "8", "issued" : { "date-parts" : [ [ "1990", "8", "1" ] ] }, "note" : "Ev gene products can compromise immune response to ALV due to the antigenic similarity. Ev6 interferes in ALV replication, hence the reason for study \u2013 it is also widely distributed in white leghorns and highly expressed.\n\n\nNot accessible online from Ed Uni - Journals available at the Vet School Library", "page" : "1251-1256", "title" : "Interactions Between Endogenous Virus Loci ev6 and ev21.: 2. Congenital Transmission of EV21 Viral Product to Female Progeny from Slow-Feathering Dams", "type" : "article-journal", "volume" : "69" }, "uris" : [ "http://www.mendeley.com/documents/?uuid=9c4033ab-1161-4834-984e-64f80d9d2659" ] } ], "mendeley" : { "formattedCitation" : "(Robinson et al. 1981; Smith et al. 1990a; Smith et al. 1990b)", "plainTextFormattedCitation" : "(Robinson et al. 1981; Smith et al. 1990a; Smith et al. 1990b)", "previouslyFormattedCitation" : "(Robinson et al. 1981; Smith et al. 1990a; Smith et al. 1990b)" }, "properties" : { "noteIndex" : 0 }, "schema" : "https://github.com/citation-style-language/schema/raw/master/csl-citation.json" }</w:instrText>
      </w:r>
      <w:r w:rsidR="009321F8" w:rsidRPr="007E40B1">
        <w:fldChar w:fldCharType="separate"/>
      </w:r>
      <w:r w:rsidR="009321F8" w:rsidRPr="007E40B1">
        <w:rPr>
          <w:noProof/>
        </w:rPr>
        <w:t>(Robinson et al. 1981; Smith et al. 1990a; Smith et al. 1990b)</w:t>
      </w:r>
      <w:r w:rsidR="009321F8" w:rsidRPr="007E40B1">
        <w:fldChar w:fldCharType="end"/>
      </w:r>
      <w:r w:rsidR="00005C89">
        <w:t>. However,</w:t>
      </w:r>
      <w:r w:rsidR="009321F8" w:rsidRPr="007E40B1">
        <w:t xml:space="preserve"> the HL lines a</w:t>
      </w:r>
      <w:r w:rsidR="00005C89">
        <w:t>re not under recurrent</w:t>
      </w:r>
      <w:r w:rsidR="009321F8" w:rsidRPr="007E40B1">
        <w:t xml:space="preserve"> ALV selecti</w:t>
      </w:r>
      <w:r w:rsidR="00005C89">
        <w:t>ve</w:t>
      </w:r>
      <w:r w:rsidR="009321F8">
        <w:t xml:space="preserve"> pressure and ALVE3 produces p</w:t>
      </w:r>
      <w:r w:rsidR="009321F8" w:rsidRPr="007E40B1">
        <w:t>27</w:t>
      </w:r>
      <w:r w:rsidR="009321F8">
        <w:t xml:space="preserve">, so </w:t>
      </w:r>
      <w:r w:rsidR="009321F8" w:rsidRPr="007E40B1">
        <w:t>it is unlikely that ALVE3 is being directly selected for, particularly as this is not seen in the RIR.</w:t>
      </w:r>
      <w:r w:rsidR="009321F8">
        <w:t xml:space="preserve"> </w:t>
      </w:r>
      <w:r w:rsidR="003F629C">
        <w:t xml:space="preserve">It is possible that the </w:t>
      </w:r>
      <w:r w:rsidR="009321F8">
        <w:t xml:space="preserve">proximity of ALVE3 to two </w:t>
      </w:r>
      <w:r w:rsidR="00005C89">
        <w:t>genes with immune roles relevant to MDV infection success (which is under direct selection)</w:t>
      </w:r>
      <w:r w:rsidR="009321F8">
        <w:t xml:space="preserve"> </w:t>
      </w:r>
      <w:r w:rsidR="00005C89">
        <w:t>has resulted in increasing</w:t>
      </w:r>
      <w:r w:rsidR="003F629C">
        <w:t xml:space="preserve"> frequency du</w:t>
      </w:r>
      <w:r w:rsidR="0046723B">
        <w:t xml:space="preserve">e to linkage disequilibrium. This effect may have </w:t>
      </w:r>
      <w:r w:rsidR="003F629C">
        <w:t>been broken in the RIR, rather than selection specifically differing between the two breeds.</w:t>
      </w:r>
    </w:p>
    <w:p w14:paraId="0DBD6594" w14:textId="26E5565C" w:rsidR="00A165EE" w:rsidRDefault="00005C89" w:rsidP="00391005">
      <w:pPr>
        <w:pStyle w:val="ListParagraph"/>
      </w:pPr>
      <w:r>
        <w:t xml:space="preserve">The impact of selecting </w:t>
      </w:r>
      <w:r w:rsidR="001242B4">
        <w:t xml:space="preserve">against </w:t>
      </w:r>
      <w:r>
        <w:t xml:space="preserve">p27 expression </w:t>
      </w:r>
      <w:r w:rsidR="001242B4">
        <w:t xml:space="preserve">may also be apparent from the general </w:t>
      </w:r>
      <w:r w:rsidR="001242B4">
        <w:rPr>
          <w:i/>
        </w:rPr>
        <w:t xml:space="preserve">gag </w:t>
      </w:r>
      <w:r w:rsidR="001242B4" w:rsidRPr="001242B4">
        <w:t>sequence</w:t>
      </w:r>
      <w:r w:rsidR="001242B4">
        <w:t xml:space="preserve"> degradation observed in six of the structurally intact sequenced ALVEs.</w:t>
      </w:r>
    </w:p>
    <w:p w14:paraId="7DAB87AA" w14:textId="058A61FC" w:rsidR="003B67AC" w:rsidRDefault="003B67AC" w:rsidP="003B67AC">
      <w:pPr>
        <w:pStyle w:val="Heading4"/>
      </w:pPr>
      <w:r>
        <w:lastRenderedPageBreak/>
        <w:t>Assessing ALVE phenotypic effects</w:t>
      </w:r>
    </w:p>
    <w:p w14:paraId="32193D06" w14:textId="79936AE1" w:rsidR="003B67AC" w:rsidRDefault="00DE5196" w:rsidP="00391005">
      <w:pPr>
        <w:pStyle w:val="ListParagraph"/>
      </w:pPr>
      <w:r>
        <w:t xml:space="preserve">The high structural identity of many of the sequenced ALVEs suggests that they may retain the ability to retrotranspose, even if individual ALVE insertions do not contain all retroviral domains. For example, any line containing </w:t>
      </w:r>
      <w:r w:rsidR="002E1CE0">
        <w:t xml:space="preserve">expressed </w:t>
      </w:r>
      <w:r>
        <w:t>ALVE21 would be able to retrotranspose any other ALVE</w:t>
      </w:r>
      <w:r w:rsidR="00E45C70">
        <w:t xml:space="preserve"> insertion. </w:t>
      </w:r>
      <w:r>
        <w:t>ALVE polymerase proteins could</w:t>
      </w:r>
      <w:r w:rsidR="00E45C70">
        <w:t xml:space="preserve"> also</w:t>
      </w:r>
      <w:r>
        <w:t xml:space="preserve"> facilitate the movement of </w:t>
      </w:r>
      <w:r w:rsidR="00E45C70">
        <w:t xml:space="preserve">other </w:t>
      </w:r>
      <w:r>
        <w:t xml:space="preserve">autonomous and non-autonomous </w:t>
      </w:r>
      <w:r w:rsidR="00E45C70">
        <w:t>retrotransposons, increasing the potential for insertional mut</w:t>
      </w:r>
      <w:r w:rsidR="002E1CE0">
        <w:t>agenesis in the individual bird</w:t>
      </w:r>
      <w:r w:rsidR="00CF41B7">
        <w:t>. However, as the steady-state methylation</w:t>
      </w:r>
      <w:r w:rsidR="00E45C70">
        <w:t xml:space="preserve"> of all the insertions is unknown, it remains unclear how likely retrotransposition is under normal conditions. During early embryogenesis (when methylation patterns are removed) ALVEs may be able to retrotranspose, although recent work</w:t>
      </w:r>
      <w:r w:rsidR="0066550B">
        <w:t xml:space="preserve"> has detected piRNA-mediated defence</w:t>
      </w:r>
      <w:r w:rsidR="00E45C70">
        <w:t xml:space="preserve"> </w:t>
      </w:r>
      <w:r w:rsidR="0066550B">
        <w:t>against ALVE retrotransposition</w:t>
      </w:r>
      <w:r w:rsidR="00E45C70">
        <w:t xml:space="preserve"> </w:t>
      </w:r>
      <w:r w:rsidR="0066550B">
        <w:t xml:space="preserve">in domesticated chickens </w:t>
      </w:r>
      <w:r w:rsidR="0066550B">
        <w:fldChar w:fldCharType="begin" w:fldLock="1"/>
      </w:r>
      <w:r w:rsidR="007E1A3A">
        <w:instrText>ADDIN CSL_CITATION { "citationItems" : [ { "id" : "ITEM-1", "itemData" : { "DOI" : "10.7554/eLife.24695", "ISSN" : "2050-084X", "abstract" : "&lt;p&gt;PIWI-interacting RNAs (piRNAs) protect the germ line by targeting transposable elements (TEs) through the base-pair complementarity. We do not know how piRNAs co-evolve with TEs in chickens. Here we reported that all active TEs in the chicken germ line are targeted by piRNAs, and as TEs lose their activity, the corresponding piRNAs erode away. We observed de novo piRNA birth as host responds to a recent retroviral invasion. Avian leukosis virus (ALV) has endogenized prior to chicken domestication, remains infectious, and threatens poultry industry. Domestic fowl produce piRNAs targeting ALV from one ALV provirus that was known to render its host ALV resistant. This proviral locus does not produce piRNAs in undomesticated wild chickens. Our findings uncover rapid piRNA evolution reflecting contemporary TE activity, identify a new piRNA acquisition modality by activating a pre-existing genomic locus, and extend piRNA defense roles to include the period when endogenous retroviruses are still infectious.&lt;/p&gt;", "author" : [ { "dropping-particle" : "", "family" : "Sun", "given" : "Yu Huining", "non-dropping-particle" : "", "parse-names" : false, "suffix" : "" }, { "dropping-particle" : "", "family" : "Xie", "given" : "Li Huitong", "non-dropping-particle" : "", "parse-names" : false, "suffix" : "" }, { "dropping-particle" : "", "family" : "Zhuo", "given" : "Xiaoyu", "non-dropping-particle" : "", "parse-names" : false, "suffix" : "" }, { "dropping-particle" : "", "family" : "Chen", "given" : "Qiang", "non-dropping-particle" : "", "parse-names" : false, "suffix" : "" }, { "dropping-particle" : "", "family" : "Ghoneim", "given" : "Dalia", "non-dropping-particle" : "", "parse-names" : false, "suffix" : "" }, { "dropping-particle" : "", "family" : "Zhang", "given" : "Bin", "non-dropping-particle" : "", "parse-names" : false, "suffix" : "" }, { "dropping-particle" : "", "family" : "Jagne", "given" : "Jarra", "non-dropping-particle" : "", "parse-names" : false, "suffix" : "" }, { "dropping-particle" : "", "family" : "Yang", "given" : "Chengbo", "non-dropping-particle" : "", "parse-names" : false, "suffix" : "" }, { "dropping-particle" : "", "family" : "Li", "given" : "Xin Zhiguo", "non-dropping-particle" : "", "parse-names" : false, "suffix" : "" } ], "container-title" : "eLife", "id" : "ITEM-1", "issued" : { "date-parts" : [ [ "2017" ] ] }, "page" : "1-24", "title" : "Domestic chickens activate a piRNA defense against avian leukosis virus", "type" : "article-journal", "volume" : "6" }, "uris" : [ "http://www.mendeley.com/documents/?uuid=8893f1a4-d592-4098-bb09-86ae8cad79d3" ] } ], "mendeley" : { "formattedCitation" : "(Sun et al. 2017)", "plainTextFormattedCitation" : "(Sun et al. 2017)", "previouslyFormattedCitation" : "(Sun et al. 2017)" }, "properties" : { "noteIndex" : 0 }, "schema" : "https://github.com/citation-style-language/schema/raw/master/csl-citation.json" }</w:instrText>
      </w:r>
      <w:r w:rsidR="0066550B">
        <w:fldChar w:fldCharType="separate"/>
      </w:r>
      <w:r w:rsidR="0066550B" w:rsidRPr="0066550B">
        <w:rPr>
          <w:noProof/>
        </w:rPr>
        <w:t>(Sun et al. 2017)</w:t>
      </w:r>
      <w:r w:rsidR="0066550B">
        <w:fldChar w:fldCharType="end"/>
      </w:r>
      <w:r w:rsidR="00E45C70">
        <w:t>.</w:t>
      </w:r>
      <w:r w:rsidR="0066550B">
        <w:t xml:space="preserve"> Any full length ALVE or intact ALVE domain poses a future genomic threat for recombination, retrotransposition or reactivation of expression after li</w:t>
      </w:r>
      <w:r w:rsidR="007E1A3A">
        <w:t>ne crosses or epigenetic modifications</w:t>
      </w:r>
      <w:r w:rsidR="0066550B">
        <w:t>.</w:t>
      </w:r>
    </w:p>
    <w:p w14:paraId="28EB531A" w14:textId="77777777" w:rsidR="007E1A3A" w:rsidRDefault="002E1CE0" w:rsidP="00391005">
      <w:pPr>
        <w:pStyle w:val="ListParagraph"/>
      </w:pPr>
      <w:r>
        <w:t xml:space="preserve">The </w:t>
      </w:r>
      <w:r w:rsidR="007E1A3A">
        <w:t xml:space="preserve">full </w:t>
      </w:r>
      <w:r>
        <w:t xml:space="preserve">expression status for many of the identified ALVEs is unknown, despite the sequence data obtained in this study. Structurally intact sequences may not be expressed due to methylation or genomic location, but this </w:t>
      </w:r>
      <w:r w:rsidR="0066550B">
        <w:t xml:space="preserve">cannot be fully or uniquely elucidated without expression data in a range of tissues from a range of developmental stages. </w:t>
      </w:r>
      <w:r>
        <w:t xml:space="preserve">Due to high sequence identity between ALVE insertions, any transcriptomics data would need to be long read sequencing, such as PacBio, to uniquely describe expression levels. It would also be pertinent to characterise microRNA expression, as many of the sequenced ALVE </w:t>
      </w:r>
      <w:r>
        <w:rPr>
          <w:i/>
        </w:rPr>
        <w:t>envelope</w:t>
      </w:r>
      <w:r>
        <w:t xml:space="preserve"> domains are intact at the nucleotide level, but contain the miR-155 recognition sequence which would target these transcripts for degradation prior to translation. Additional, novel microRNAs may be present which regulate expression from other ALVE domains. </w:t>
      </w:r>
    </w:p>
    <w:p w14:paraId="22E8639D" w14:textId="4438CE5E" w:rsidR="002E1CE0" w:rsidRDefault="007E1A3A" w:rsidP="00391005">
      <w:pPr>
        <w:pStyle w:val="ListParagraph"/>
      </w:pPr>
      <w:r>
        <w:t xml:space="preserve">Even if an ALVE is not expressed, presence of an insertion alone may elicit a phenotypic effect. For example, an ALVE LTR insertion modulates the expression profile of the </w:t>
      </w:r>
      <w:r>
        <w:rPr>
          <w:i/>
        </w:rPr>
        <w:t xml:space="preserve">aromatase </w:t>
      </w:r>
      <w:r>
        <w:t xml:space="preserve">gene, causing the </w:t>
      </w:r>
      <w:r>
        <w:rPr>
          <w:i/>
        </w:rPr>
        <w:t>henny-feathering</w:t>
      </w:r>
      <w:r>
        <w:t xml:space="preserve"> mutation </w:t>
      </w:r>
      <w:r>
        <w:fldChar w:fldCharType="begin" w:fldLock="1"/>
      </w:r>
      <w:r w:rsidR="00F7577C">
        <w:instrText>ADDIN CSL_CITATION { "citationItems" : [ { "id" : "ITEM-1", "itemData" : { "author" : [ { "dropping-particle" : "", "family" : "Matsumine", "given" : "Hiroto", "non-dropping-particle" : "", "parse-names" : false, "suffix" : "" }, { "dropping-particle" : "", "family" : "Herbst", "given" : "MA", "non-dropping-particle" : "", "parse-names" : false, "suffix" : "" }, { "dropping-particle" : "", "family" : "Ou", "given" : "SH", "non-dropping-particle" : "", "parse-names" : false, "suffix" : "" } ], "container-title" : "Journal of Biological \u2026", "id" : "ITEM-1", "issue" : "30", "issued" : { "date-parts" : [ [ "1991" ] ] }, "note" : "Aromatase is an enzyme that converts 19-carbon steroids such as testosterone, into estrogen. It has tissue-specific enzyme expression: males in the hypothalamus, females in the hypothalamus and in the ovary.\nHowever, in birds with the henny-feathering trait (male chickens to develop a female feathering pattern [henny] as a result of increased extraglandular estrogen) the tissue specificty is lost and structural identical aromatase is produced in many tissues including skin and fibroblasts.\n\n\nNo non-synonymous differences in the coding sequence, and the aromatase from mutant and wild type is structurally and kinetically identical. \n\n\nStudies show the henny-feathering trait is cis derived to the aromatase gene and that this gene lies between ev1 and ev6. A promoter region in the upstream ERV appears to impact on tissue specific expression.", "page" : "19900-19907", "title" : "Aromatase mRNA in the extragonadal tissues of chickens with the henny-feathering trait is derived from a distinctive promoter structure that contains a segment of a retroviral long terminal repeat", "type" : "article-journal", "volume" : "266" }, "uris" : [ "http://www.mendeley.com/documents/?uuid=2eaff544-d4c3-4fb6-aa86-403c2831fe21" ] } ], "mendeley" : { "formattedCitation" : "(Matsumine et al. 1991)", "plainTextFormattedCitation" : "(Matsumine et al. 1991)", "previouslyFormattedCitation" : "(Matsumine et al. 1991)" }, "properties" : { "noteIndex" : 0 }, "schema" : "https://github.com/citation-style-language/schema/raw/master/csl-citation.json" }</w:instrText>
      </w:r>
      <w:r>
        <w:fldChar w:fldCharType="separate"/>
      </w:r>
      <w:r w:rsidRPr="007E1A3A">
        <w:rPr>
          <w:noProof/>
        </w:rPr>
        <w:t>(Matsumine et al. 1991)</w:t>
      </w:r>
      <w:r>
        <w:fldChar w:fldCharType="end"/>
      </w:r>
      <w:r>
        <w:t xml:space="preserve">, and the insertion of ALVE-TYR into the final intron of the </w:t>
      </w:r>
      <w:r>
        <w:rPr>
          <w:i/>
        </w:rPr>
        <w:t xml:space="preserve">tyrosinase </w:t>
      </w:r>
      <w:r>
        <w:t>gene cau</w:t>
      </w:r>
      <w:r w:rsidR="00F7577C">
        <w:t>ses truncation of the final</w:t>
      </w:r>
      <w:r>
        <w:t xml:space="preserve"> exon</w:t>
      </w:r>
      <w:r w:rsidR="00F7577C">
        <w:t>,</w:t>
      </w:r>
      <w:r>
        <w:t xml:space="preserve"> producing the recessive white mutation </w:t>
      </w:r>
      <w:r w:rsidR="00F7577C">
        <w:fldChar w:fldCharType="begin" w:fldLock="1"/>
      </w:r>
      <w:r w:rsidR="00F7577C">
        <w:instrText>ADDIN CSL_CITATION { "citationItems" : [ { "id" : "ITEM-1",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"ITEM-1", "issued" : { "date-parts" : [ [ "2006", "1" ] ] }, "page" : "19", "title" : "Complete association between a retroviral insertion in the tyrosinase gene and the recessive white mutation in chickens.", "type" : "article-journal", "volume" : "7" }, "uris" : [ "http://www.mendeley.com/documents/?uuid=8077fea8-838f-4da4-b799-fb7fa0225565" ] }, { "id" : "ITEM-2", "itemData" : { "DOI" : "10.1111/j.1365-2052.2007.01581.x", "ISBN" : "0268-9146", "ISSN" : "02689146", "PMID" : "17355394", "abstract" : "Recently, we reported the complete association of a retroviral insertion in intron 4 of the tyrosinase gene and the recessive white mutation (c) in chickens. The mutant allele carrying the retroviral insertion produced, in skin samples of 10-week-old chickens, aberrant tyrosinase transcripts that did not contain exon 5. In the present study, we performed serial molecular and statistical analyses on embryos and 10-week-old chickens to characterize the quantitative effect of the retroviral insertion on the expression pattern of tyrosinase in different tissues (skin and retina). By using quantitative real-time RT-PCR, we observed that the expression level of tyrosinase was significantly lower in recessive white chickens than in wild-type coloured chickens, but that this pattern was age- and tissue-dependent. The differential expression in skin was not significant in embryos, whereas it was highly significant in 10-week-old chickens. Furthermore, there was no difference in the expression of tyrosinase in the retinal pigment epithelium of animals with different genotypes; this corresponds to phenotypic data, which show pigmented eyes in both genotypes. These findings show that the retroviral insertion disturbs tyrosinase expression in the recessive white mutant chickens, and suggests that the regulation of tyrosinase expression in chickens differs between embryos and growing animals, as well as between skin and retina.", "author" : [ { "dropping-particle" : "", "family" : "Chang", "given" : "C. M.", "non-dropping-particle" : "", "parse-names" : false, "suffix" : "" }, { "dropping-particle" : "", "family" : "Furet", "given" : "J. P.", "non-dropping-particle" : "", "parse-names" : false, "suffix" : "" }, { "dropping-particle" : "", "family" : "Coville", "given" : "J. L.", "non-dropping-particle" : "", "parse-names" : false, "suffix" : "" }, { "dropping-particle" : "", "family" : "Coquerelle", "given" : "G.", "non-dropping-particle" : "", "parse-names" : false, "suffix" : "" }, { "dropping-particle" : "", "family" : "Gourichon", "given" : "D.", "non-dropping-particle" : "", "parse-names" : false, "suffix" : "" }, { "dropping-particle" : "", "family" : "Tixier-Boichard", "given" : "M.", "non-dropping-particle" : "", "parse-names" : false, "suffix" : "" } ], "container-title" : "Animal Genetics", "id" : "ITEM-2", "issue" : "2", "issued" : { "date-parts" : [ [ "2007" ] ] }, "page" : "162-167", "title" : "Quantitative effects of an intronic retroviral insertion on the transcription of the tyrosinase gene in recessive white chickens", "type" : "article-journal", "volume" : "38" }, "uris" : [ "http://www.mendeley.com/documents/?uuid=ac81b6ab-53a1-4a28-bd4d-e27106d17ff8" ] } ], "mendeley" : { "formattedCitation" : "(Chang et al. 2006; Chang et al. 2007)", "plainTextFormattedCitation" : "(Chang et al. 2006; Chang et al. 2007)", "previouslyFormattedCitation" : "(Chang et al. 2006; Chang et al. 2007)" }, "properties" : { "noteIndex" : 0 }, "schema" : "https://github.com/citation-style-language/schema/raw/master/csl-citation.json" }</w:instrText>
      </w:r>
      <w:r w:rsidR="00F7577C">
        <w:fldChar w:fldCharType="separate"/>
      </w:r>
      <w:r w:rsidR="00F7577C" w:rsidRPr="007E1A3A">
        <w:rPr>
          <w:noProof/>
        </w:rPr>
        <w:t>(Chang et al. 2006; Chang et al. 2007)</w:t>
      </w:r>
      <w:r w:rsidR="00F7577C">
        <w:fldChar w:fldCharType="end"/>
      </w:r>
      <w:r>
        <w:t>. The</w:t>
      </w:r>
      <w:r w:rsidR="00F7577C">
        <w:t xml:space="preserve"> phenotypic effect of the</w:t>
      </w:r>
      <w:r>
        <w:t xml:space="preserve"> five intronic insertions identified in the Hy-Line </w:t>
      </w:r>
      <w:r>
        <w:lastRenderedPageBreak/>
        <w:t>elite layer lines have been well described, so further analysis may not be necessary, but this should be a consideration for any novel ALVEs identified in future.</w:t>
      </w:r>
    </w:p>
    <w:p w14:paraId="2D1BA90D" w14:textId="36398BFA" w:rsidR="00A165EE" w:rsidRDefault="00F7577C" w:rsidP="00391005">
      <w:pPr>
        <w:pStyle w:val="ListParagraph"/>
      </w:pPr>
      <w:r>
        <w:t>Even with this extra data on ALVE activity and local impact, a full association analysis with phenotypic data would be needed to assess the individual and cumulative effects of the ALVEs on the host. Hy-Line collects phenotypic data for many commercially relevant productivity traits, and all individuals can now be genotyped for their ALVE content using the KASP assays from this work. This kind of study may identify specific ALVE insertions as priorities for eradication from the lines.</w:t>
      </w:r>
      <w:r w:rsidR="00C17755">
        <w:t xml:space="preserve"> However, the effect of any ALVE which is fixed within a line cannot be detected as there is no variation at that site.</w:t>
      </w:r>
    </w:p>
    <w:p w14:paraId="42A26675" w14:textId="76857B03" w:rsidR="00A165EE" w:rsidRDefault="00A165EE" w:rsidP="00391005">
      <w:pPr>
        <w:pStyle w:val="ListParagraph"/>
      </w:pPr>
    </w:p>
    <w:p w14:paraId="79CD2523" w14:textId="035BC0F2" w:rsidR="00A165EE" w:rsidRDefault="00A165EE" w:rsidP="00A165EE">
      <w:pPr>
        <w:pStyle w:val="Heading4"/>
      </w:pPr>
      <w:r>
        <w:t>Methods for ALVE eradication from the Hy-Line elite layer lines</w:t>
      </w:r>
    </w:p>
    <w:p w14:paraId="57AC9EBF" w14:textId="1E155159" w:rsidR="00A165EE" w:rsidRDefault="00F7577C" w:rsidP="00391005">
      <w:pPr>
        <w:pStyle w:val="ListParagraph"/>
      </w:pPr>
      <w:r>
        <w:t xml:space="preserve">ALVE insertions pose current and future threats, but as non-essential genomic components </w:t>
      </w:r>
      <w:r>
        <w:fldChar w:fldCharType="begin" w:fldLock="1"/>
      </w:r>
      <w:r w:rsidR="00A9351A">
        <w:instrText>ADDIN CSL_CITATION { "citationItems" : [ { "id" : "ITEM-1", "itemData" : { "ISSN" : "0005-2086", "PMID" : "18939628", "abstract" : "Primary chicken embryo fibroblasts (CEF) from special specific pathogen-free chicken lines are used for detection of contamination of adult or embryonic tissues, meconium, or tissue culture fluids with avian leukosis viruses (ALV). The suitability and efficiency of such tests depend on the susceptibility of CEF to the various subgroups of exogenous as well as endogenous ALV. The ideal CEF for such tests should be not only susceptible to all retroviruses, but also free of endogenous viruses so that such tests are immune to any interference that may occur between the endogenous and the tested (exogenous) viruses. CEF and/or chickens free of endogenous viruses are also desirable for gene transfer studies using retroviral vectors, such as RNA interference (RNAi) experiments and transgenic work. The absence of ev genes in CEF or chickens can empower clean detection of successful RNAi construct delivery or gene transfer. CEF free of ev genes are also essential reagents routinely used in growing and detecting unknown retroviruses in varied viral assays. This report documents the development of a new line of chickens, 0.TVB*S1, that is free of endogenous viruses and susceptible to all subgroups of ALV identified in chickens.", "author" : [ { "dropping-particle" : "", "family" : "Zhang", "given" : "Huanmin", "non-dropping-particle" : "", "parse-names" : false, "suffix" : "" }, { "dropping-particle" : "", "family" : "Bacon", "given" : "Larry D", "non-dropping-particle" : "", "parse-names" : false, "suffix" : "" }, { "dropping-particle" : "", "family" : "Fadly", "given" : "Aly M", "non-dropping-particle" : "", "parse-names" : false, "suffix" : "" } ], "container-title" : "Avian diseases", "id" : "ITEM-1", "issue" : "3", "issued" : { "date-parts" : [ [ "2008", "9" ] ] }, "note" : "Susceptibility to ALV is mediated by autosomal tumour virus (TV) loci - tva, tvb, tvc and tvj - all of which carry alleles encoding receptors which mediate or block entry. \ntva and tvc are found close together on chromosome 28, tvb is the most complex locus (allele S1 gives susceptibility to B/D/E, S3 to B/D and R is a truncated receptor which blocks B/D/E infection) and is on chromosome 22, tvj is the most recently identified locus and is on chromosome 23. \n\n\nEv genes are non-essential, as various fertile lines have been created that are ev free. \n\n\nUseful to create lines that are free of ev genes so that you can test the impact of various exogenous ALVs without the risk of endogenisation.", "page" : "412-8", "title" : "Development of an endogenous virus-free line of chickens susceptible to all subgroups of avian leukosis virus.", "type" : "article-journal", "volume" : "52" }, "uris" : [ "http://www.mendeley.com/documents/?uuid=152d773d-8504-4bd0-a81d-57f1a3c55ae8" ] } ], "mendeley" : { "formattedCitation" : "(Zhang et al. 2008)", "plainTextFormattedCitation" : "(Zhang et al. 2008)", "previouslyFormattedCitation" : "(Zhang et al. 2008)" }, "properties" : { "noteIndex" : 0 }, "schema" : "https://github.com/citation-style-language/schema/raw/master/csl-citation.json" }</w:instrText>
      </w:r>
      <w:r>
        <w:fldChar w:fldCharType="separate"/>
      </w:r>
      <w:r w:rsidRPr="00F7577C">
        <w:rPr>
          <w:noProof/>
        </w:rPr>
        <w:t>(Zhang et al. 2008)</w:t>
      </w:r>
      <w:r>
        <w:fldChar w:fldCharType="end"/>
      </w:r>
      <w:r>
        <w:t>, they can be eliminated from the genome</w:t>
      </w:r>
      <w:r w:rsidR="00C17755">
        <w:t xml:space="preserve"> without negative developmental or physiological effects</w:t>
      </w:r>
      <w:r>
        <w:t xml:space="preserve">. In </w:t>
      </w:r>
      <w:r w:rsidR="00C17755">
        <w:t xml:space="preserve">commercial </w:t>
      </w:r>
      <w:r>
        <w:t xml:space="preserve">lines which are otherwise ALV free, this would likely halt any further </w:t>
      </w:r>
      <w:r w:rsidR="00C17755">
        <w:t xml:space="preserve">ALVE integrations. </w:t>
      </w:r>
    </w:p>
    <w:p w14:paraId="68CA5A8D" w14:textId="77777777" w:rsidR="00134D57" w:rsidRDefault="007A567E" w:rsidP="00391005">
      <w:pPr>
        <w:pStyle w:val="ListParagraph"/>
      </w:pPr>
      <w:r>
        <w:t>Traditional breeding methods could be used to gradually reduce ALVE frequency in each line, focusing on those with g</w:t>
      </w:r>
      <w:r w:rsidR="002B3ED6">
        <w:t>reatest predicted effects in an</w:t>
      </w:r>
      <w:r>
        <w:t xml:space="preserve"> association analysis, or those inserts which are structurally intact or in regions of the genome where they elicit a phenotypic effect. However, such methods are slow and would have to be integrated within existing selective breeding programmes. Any fixed ALVE could also not be removed in this manner, requiring crosses with other lines which may create varied, undesirable phenotypic effect</w:t>
      </w:r>
      <w:r w:rsidR="000950BC">
        <w:t xml:space="preserve">s. </w:t>
      </w:r>
      <w:r>
        <w:t>The CRISPR/Cas9 system makes it possible to perform targeted genetic modification without the need for generations of selective breeding</w:t>
      </w:r>
      <w:r w:rsidR="009E5F78">
        <w:t>.</w:t>
      </w:r>
      <w:r>
        <w:t xml:space="preserve"> Large, targeted deletions are possible </w:t>
      </w:r>
      <w:r>
        <w:fldChar w:fldCharType="begin" w:fldLock="1"/>
      </w:r>
      <w:r>
        <w:instrText>ADDIN CSL_CITATION { "citationItems" : [ { "id" : "ITEM-1", "itemData" : { "DOI" : "10.1093/nar/gku806", "ISBN" : "1362-4962 (Electronic)\\n0305-1048 (Linking)", "ISSN" : "13624962", "PMID" : "25200087", "abstract" : "The Cas9/sgRNA of the CRISPR/Cas system has emerged as a robust technology for targeted gene editing in various organisms, including plants, where Cas9/sgRNA-mediated small deletions/insertions at single cleavage sites have been reported in transient and stable transformations, although genetic transmission of edits has been reported only in Arabidopsis and rice. Large chromosomal excision between two remote nuclease-targeted loci has been reported only in a few non-plant species. Here we report in rice Cas9/sgRNA-induced large chromosomal segment deletions, the inheritance of genome edits in multiple generations and construction of a set of facile vectors for high-efficiency, multiplex gene targeting. Four sugar efflux transporter genes were modified in rice at high efficiency; the most efficient system yielding 87-100% editing in T0 transgenic plants, all with di-allelic edits. Furthermore, genetic crosses segregating Cas9/sgRNA transgenes away from edited genes yielded several genome-edited but transgene-free rice plants. We also demonstrated proof-of-efficiency of Cas9/sgRNAs in producing large chromosomal deletions (115-245 kb) involving three different clusters of genes in rice protoplasts and verification of deletions of two clusters in regenerated T0 generation plants. Together, these data demonstrate the power of our Cas9/sgRNA platform for targeted gene/genome editing in rice and other crops, enabling both basic research and agricultural applications.", "author" : [ { "dropping-particle" : "", "family" : "Zhou", "given" : "Huanbin", "non-dropping-particle" : "", "parse-names" : false, "suffix" : "" }, { "dropping-particle" : "", "family" : "Liu", "given" : "Bo", "non-dropping-particle" : "", "parse-names" : false, "suffix" : "" }, { "dropping-particle" : "", "family" : "Weeks", "given" : "Donald P.", "non-dropping-particle" : "", "parse-names" : false, "suffix" : "" }, { "dropping-particle" : "", "family" : "Spalding", "given" : "Martin H.", "non-dropping-particle" : "", "parse-names" : false, "suffix" : "" }, { "dropping-particle" : "", "family" : "Yang", "given" : "Bing", "non-dropping-particle" : "", "parse-names" : false, "suffix" : "" } ], "container-title" : "Nucleic Acids Research", "id" : "ITEM-1", "issue" : "17", "issued" : { "date-parts" : [ [ "2014" ] ] }, "page" : "10903-10914", "title" : "Large chromosomal deletions and heritable small genetic changes induced by CRISPR/Cas9 in rice", "type" : "article-journal", "volume" : "42" }, "uris" : [ "http://www.mendeley.com/documents/?uuid=e42359ac-8505-431c-a207-d16fed336651" ] } ], "mendeley" : { "formattedCitation" : "(Zhou et al. 2014)", "plainTextFormattedCitation" : "(Zhou et al. 2014)", "previouslyFormattedCitation" : "(Zhou et al. 2014)" }, "properties" : { "noteIndex" : 0 }, "schema" : "https://github.com/citation-style-language/schema/raw/master/csl-citation.json" }</w:instrText>
      </w:r>
      <w:r>
        <w:fldChar w:fldCharType="separate"/>
      </w:r>
      <w:r w:rsidRPr="00E67E7B">
        <w:rPr>
          <w:noProof/>
        </w:rPr>
        <w:t>(Zhou et al. 2014)</w:t>
      </w:r>
      <w:r>
        <w:fldChar w:fldCharType="end"/>
      </w:r>
      <w:r>
        <w:t xml:space="preserve">, and recent work has made CRISPR/Cas9 possible in chickens following initial problems with accessing zygotes without disturbing development </w:t>
      </w:r>
      <w:r>
        <w:fldChar w:fldCharType="begin" w:fldLock="1"/>
      </w:r>
      <w:r>
        <w:instrText>ADDIN CSL_CITATION { "citationItems" : [ { "id" : "ITEM-1", "itemData" : { "DOI" : "10.1371/journal.pone.0154303", "ISBN" : "1932-6203 (Electronic)\\r1932-6203 (Linking)", "ISSN" : "19326203", "PMID" : "27099923", "abstract" : "The CRISPR/Cas9 system has been applied in a large number of animal and plant species for genome editing. In chickens, CRISPR has been used to knockout genes in somatic tissues, but no CRISPR-mediated germline modification has yet been reported. Here we use CRISPR to target the chicken immunoglobulin heavy chain locus in primordial germ cells (PGCs) to produce transgenic progeny. Guide RNAs were co-transfected with a donor vector for homology-directed repair of the double-strand break, and clonal populations were selected. All of the resulting drug-resistant clones contained the correct targeting event. The targeted cells gave rise to healthy progeny containing the CRISPR-targeted locus. The results show that gene-edited chickens can be obtained by modifying PGCs in vitro with the CRISPR/Cas9 system, opening up many potential applications for efficient genetic modification in birds.", "author" : [ { "dropping-particle" : "", "family" : "Dimitrov", "given" : "Lazar", "non-dropping-particle" : "", "parse-names" : false, "suffix" : "" }, { "dropping-particle" : "", "family" : "Pedersen", "given" : "Darlene", "non-dropping-particle" : "", "parse-names" : false, "suffix" : "" }, { "dropping-particle" : "", "family" : "Ching", "given" : "Kathryn H.", "non-dropping-particle" : "", "parse-names" : false, "suffix" : "" }, { "dropping-particle" : "", "family" : "Yi", "given" : "Henry", "non-dropping-particle" : "", "parse-names" : false, "suffix" : "" }, { "dropping-particle" : "", "family" : "Collarini", "given" : "Ellen J.", "non-dropping-particle" : "", "parse-names" : false, "suffix" : "" }, { "dropping-particle" : "", "family" : "Izquierdo", "given" : "Shelley", "non-dropping-particle" : "", "parse-names" : false, "suffix" : "" }, { "dropping-particle" : "", "family" : "Lavoir", "given" : "Marie Cecile", "non-dropping-particle" : "Van De", "parse-names" : false, "suffix" : "" }, { "dropping-particle" : "", "family" : "Leighton", "given" : "Philip A.", "non-dropping-particle" : "", "parse-names" : false, "suffix" : "" } ], "container-title" : "PLoS ONE", "id" : "ITEM-1", "issue" : "4", "issued" : { "date-parts" : [ [ "2016" ] ] }, "page" : "1-10", "title" : "Germline gene editing in chickens by efficient crispr-mediated homologous recombination in primordial germ cells", "type" : "article-journal", "volume" : "11" }, "uris" : [ "http://www.mendeley.com/documents/?uuid=ea588226-b938-4619-bde1-8c611f295cec" ] }, { "id" : "ITEM-2", "itemData" : { "DOI" : "10.1038/srep23980", "ISSN" : "2045-2322", "PMID" : "27050479", "abstract" : "The CRISPR/Cas9 system is a simple and powerful tool for genome editing in various organisms including livestock animals. However, the system has not been applied to poultry because of the difficulty in accessing their zygotes. Here we report the implementation of CRISPR/Cas9-mediated gene targeting in chickens. Two egg white genes, ovalbumin and ovomucoid, were efficiently (&gt;90%) mutagenized in cultured chicken primordial germ cells (PGCs) by transfection of circular plasmids encoding Cas9, a single guide RNA, and a gene encoding drug resistance, followed by transient antibiotic selection. We transplanted CRISPR-induced mutant-ovomucoid PGCs into recipient chicken embryos and established three germline chimeric roosters (G0). All of the roosters had donor-derived mutant-ovomucoid spermatozoa, and the two with a high transmission rate of donor-derived gametes produced heterozygous mutant ovomucoid chickens as about half of their donor-derived offspring in the next generation (G1). Furthermore, we generated ovomucoid homozygous mutant offspring (G2) by crossing the G1 mutant chickens. Taken together, these results demonstrate that the CRISPR/Cas9 system is a simple and effective gene-targeting method in chickens.", "author" : [ { "dropping-particle" : "", "family" : "Oishi", "given" : "Isao", "non-dropping-particle" : "", "parse-names" : false, "suffix" : "" }, { "dropping-particle" : "", "family" : "Yoshii", "given" : "Kyoko", "non-dropping-particle" : "", "parse-names" : false, "suffix" : "" }, { "dropping-particle" : "", "family" : "Miyahara", "given" : "Daichi", "non-dropping-particle" : "", "parse-names" : false, "suffix" : "" }, { "dropping-particle" : "", "family" : "Kagami", "given" : "Hiroshi", "non-dropping-particle" : "", "parse-names" : false, "suffix" : "" }, { "dropping-particle" : "", "family" : "Tagami", "given" : "Takahiro", "non-dropping-particle" : "", "parse-names" : false, "suffix" : "" } ], "container-title" : "Scientific reports", "id" : "ITEM-2", "issue" : "October 2015", "issued" : { "date-parts" : [ [ "2016" ] ] }, "page" : "23980", "publisher" : "Nature Publishing Group", "title" : "Targeted mutagenesis in chicken using CRISPR/Cas9 system.", "type" : "article-journal", "volume" : "6" }, "uris" : [ "http://www.mendeley.com/documents/?uuid=6eacd0a5-6ad8-4bd3-9abd-4822c28ac922" ] } ], "mendeley" : { "formattedCitation" : "(Dimitrov et al. 2016; Oishi et al. 2016)", "plainTextFormattedCitation" : "(Dimitrov et al. 2016; Oishi et al. 2016)", "previouslyFormattedCitation" : "(Dimitrov et al. 2016; Oishi et al. 2016)" }, "properties" : { "noteIndex" : 0 }, "schema" : "https://github.com/citation-style-language/schema/raw/master/csl-citation.json" }</w:instrText>
      </w:r>
      <w:r>
        <w:fldChar w:fldCharType="separate"/>
      </w:r>
      <w:r w:rsidRPr="00E67E7B">
        <w:rPr>
          <w:noProof/>
        </w:rPr>
        <w:t>(Dimitrov et al. 2016; Oishi et al. 2016)</w:t>
      </w:r>
      <w:r>
        <w:fldChar w:fldCharType="end"/>
      </w:r>
      <w:r>
        <w:t>.</w:t>
      </w:r>
      <w:r w:rsidR="000950BC">
        <w:t xml:space="preserve"> </w:t>
      </w:r>
    </w:p>
    <w:p w14:paraId="771A530E" w14:textId="6C3A1C32" w:rsidR="00B56BEA" w:rsidRDefault="009E5F78" w:rsidP="00391005">
      <w:pPr>
        <w:pStyle w:val="ListParagraph"/>
      </w:pPr>
      <w:r>
        <w:t>CRISPR/Cas9-mediated deletions could facilitate</w:t>
      </w:r>
      <w:r w:rsidR="000950BC">
        <w:t xml:space="preserve"> the removal of all ALVEs in a single generation, but, for commercial stock, this would need to be managed correctly to maintain genetic diversity within the flock. </w:t>
      </w:r>
      <w:r w:rsidR="00134D57">
        <w:t xml:space="preserve">Furthermore, recent studies into the public perception of genetically modified (GM) organisms show that people remain concerned </w:t>
      </w:r>
      <w:r w:rsidR="00134D57">
        <w:lastRenderedPageBreak/>
        <w:t>about the development and consumption of GM animals (</w:t>
      </w:r>
      <w:r w:rsidR="00CF41B7">
        <w:fldChar w:fldCharType="begin" w:fldLock="1"/>
      </w:r>
      <w:r w:rsidR="00670F3E">
        <w:instrText>ADDIN CSL_CITATION { "citationItems" : [ { "id" : "ITEM-1", "itemData" : { "DOI" : "10.1007/s13197-012-0899-1", "author" : [ { "dropping-particle" : "", "family" : "Bawa", "given" : "A S", "non-dropping-particle" : "", "parse-names" : false, "suffix" : "" }, { "dropping-particle" : "", "family" : "Anilakumar", "given" : "K R", "non-dropping-particle" : "", "parse-names" : false, "suffix" : "" } ], "container-title" : "Journal of Food Scienc and Technology", "id" : "ITEM-1", "issue" : "6", "issued" : { "date-parts" : [ [ "2013" ] ] }, "page" : "1035-1046", "title" : "Genetically modified foods : safety, risks and public concerns \u2014 a review", "type" : "article-journal", "volume" : "50" }, "uris" : [ "http://www.mendeley.com/documents/?uuid=15a519b0-8ec6-43ec-9ff1-322c82550b50" ] }, { "id" : "ITEM-2", "itemData" : { "DOI" : "10.1016/j.tifs.2013.01.003", "ISSN" : "0924-2244", "author" : [ { "dropping-particle" : "", "family" : "Frewer", "given" : "Lynn J", "non-dropping-particle" : "", "parse-names" : false, "suffix" : "" }, { "dropping-particle" : "", "family" : "Lans", "given" : "IA", "non-dropping-particle" : "van der", "parse-names" : false, "suffix" : "" }, { "dropping-particle" : "", "family" : "Fischer", "given" : "ARH", "non-dropping-particle" : "", "parse-names" : false, "suffix" : "" }, { "dropping-particle" : "", "family" : "Reinders", "given" : "MJ", "non-dropping-particle" : "", "parse-names" : false, "suffix" : "" }, { "dropping-particle" : "", "family" : "Menozzi", "given" : "D", "non-dropping-particle" : "", "parse-names" : false, "suffix" : "" }, { "dropping-particle" : "", "family" : "Zhang", "given" : "X", "non-dropping-particle" : "", "parse-names" : false, "suffix" : "" }, { "dropping-particle" : "", "family" : "Berg", "given" : "I", "non-dropping-particle" : "van der", "parse-names" : false, "suffix" : "" }, { "dropping-particle" : "", "family" : "Zimmermann", "given" : "L", "non-dropping-particle" : "", "parse-names" : false, "suffix" : "" } ], "container-title" : "Trends in Food Science &amp; Technology", "id" : "ITEM-2", "issue" : "2", "issued" : { "date-parts" : [ [ "2013" ] ] }, "page" : "142-152", "publisher" : "Elsevier Ltd", "title" : "Public perceptions of agri-food applications of genetic modification - A systematic review and meta-analysis", "type" : "article-journal", "volume" : "30" }, "uris" : [ "http://www.mendeley.com/documents/?uuid=570e8975-7cab-409f-8477-286777b16ea3" ] }, { "id" : "ITEM-3", "itemData" : { "ISBN" : "0120140047", "author" : [ { "dropping-particle" : "", "family" : "Frewer", "given" : "LJ", "non-dropping-particle" : "", "parse-names" : false, "suffix" : "" }, { "dropping-particle" : "", "family" : "Coles", "given" : "D", "non-dropping-particle" : "", "parse-names" : false, "suffix" : "" }, { "dropping-particle" : "", "family" : "Houdebine", "given" : "LM", "non-dropping-particle" : "", "parse-names" : false, "suffix" : "" }, { "dropping-particle" : "", "family" : "Kleter", "given" : "GA", "non-dropping-particle" : "", "parse-names" : false, "suffix" : "" } ], "container-title" : "British Food Journal", "id" : "ITEM-3", "issue" : "8", "issued" : { "date-parts" : [ [ "2014" ] ] }, "page" : "1291-1313", "title" : "Attitudes towards genetically modified animals in food production", "type" : "article-journal", "volume" : "116" }, "uris" : [ "http://www.mendeley.com/documents/?uuid=5ea8f4d4-0514-4e08-8447-efa27e6127d7" ] }, { "id" : "ITEM-4", "itemData" : { "DOI" : "10.3390/v7082819", "abstract" : "A wide gap exists between the rapid acceptance of genetically modified (GM) crops for cultivation by farmers in many countries and in the global markets for food and feed, and the often-limited acceptance by consumers. This review contrasts the advances of practical applications of agricultural biotechnology with the divergent paths\u2014also affecting the development of virus resistant transgenic crops\u2014of political and regulatory frameworks for GM crops and food in different parts of the world. These have also shaped the different opinions of consumers. Important factors influencing consumer's attitudes are the perception of risks and benefits, knowledge and trust, and personal values. Recent political and societal developments show a hardening of the negative environment for agricultural biotechnology in Europe, a growing discussion\u2014including calls for labeling of GM food\u2014in the USA, and a careful development in China towards a possible authorization of GM rice that takes the societal discussions into account. New breeding techniques address some consumers' concerns with transgenic crops, but it is not clear yet how consumers' attitudes towards them will develop. Discussions about agriculture would be more productive, if they would focus less on technologies, but on common aims and underlying values.", "author" : [ { "dropping-particle" : "", "family" : "Lucht", "given" : "Jan M", "non-dropping-particle" : "", "parse-names" : false, "suffix" : "" } ], "container-title" : "Viruses", "id" : "ITEM-4", "issued" : { "date-parts" : [ [ "2015" ] ] }, "page" : "4254-4281", "title" : "Public Acceptance of Plant Biotechnology and GM Crops", "type" : "article-journal", "volume" : "7" }, "uris" : [ "http://www.mendeley.com/documents/?uuid=e9025deb-8862-41ad-9437-baebad46d376" ] } ], "mendeley" : { "formattedCitation" : "(Bawa &amp; Anilakumar 2013; Frewer et al. 2013; Frewer et al. 2014; Lucht 2015)", "plainTextFormattedCitation" : "(Bawa &amp; Anilakumar 2013; Frewer et al. 2013; Frewer et al. 2014; Lucht 2015)", "previouslyFormattedCitation" : "(Bawa &amp; Anilakumar 2013; Frewer et al. 2013; Frewer et al. 2014; Lucht 2015)" }, "properties" : { "noteIndex" : 0 }, "schema" : "https://github.com/citation-style-language/schema/raw/master/csl-citation.json" }</w:instrText>
      </w:r>
      <w:r w:rsidR="00CF41B7">
        <w:fldChar w:fldCharType="separate"/>
      </w:r>
      <w:r w:rsidR="00CF41B7" w:rsidRPr="00CF41B7">
        <w:rPr>
          <w:noProof/>
        </w:rPr>
        <w:t>(Bawa &amp; Anilakumar 2013; Frewer et al. 2013; Frewer et al. 2014; Lucht 2015)</w:t>
      </w:r>
      <w:r w:rsidR="00CF41B7">
        <w:fldChar w:fldCharType="end"/>
      </w:r>
      <w:r w:rsidR="00134D57">
        <w:t>), and only the AquAdvantage salmon has been approved for consumption to date (United States Food and Drug Administration, 2015). However, t</w:t>
      </w:r>
      <w:r w:rsidR="000950BC">
        <w:t xml:space="preserve">he CRISPR/Cas9 system </w:t>
      </w:r>
      <w:r w:rsidR="00134D57">
        <w:t>would provide</w:t>
      </w:r>
      <w:r w:rsidR="000950BC">
        <w:t xml:space="preserve"> a particularly neat solution to the negative effects of ALVE21, as the retrovirus could be removed without disrupting the slow feathering phenotype. A similar approach could also be used with ALVE-TYR, and the final exon could also be removed if the white feathering phenotype</w:t>
      </w:r>
      <w:r w:rsidR="002B3ED6">
        <w:t xml:space="preserve"> was</w:t>
      </w:r>
      <w:r w:rsidR="000950BC">
        <w:t xml:space="preserve"> a</w:t>
      </w:r>
      <w:r w:rsidR="002B3ED6">
        <w:t>n essential</w:t>
      </w:r>
      <w:r w:rsidR="000950BC">
        <w:t xml:space="preserve"> requirement.</w:t>
      </w:r>
      <w:r w:rsidR="00197F4E">
        <w:t xml:space="preserve"> </w:t>
      </w:r>
    </w:p>
    <w:p w14:paraId="790D8891" w14:textId="77777777" w:rsidR="00B56BEA" w:rsidRDefault="00B56BEA" w:rsidP="00391005">
      <w:pPr>
        <w:pStyle w:val="ListParagraph"/>
      </w:pPr>
    </w:p>
    <w:p w14:paraId="11BADD97" w14:textId="6C5B61EE" w:rsidR="00EB02D7" w:rsidRDefault="003A2766" w:rsidP="003A2766">
      <w:pPr>
        <w:pStyle w:val="Heading2"/>
      </w:pPr>
      <w:bookmarkStart w:id="561" w:name="_Toc485721663"/>
      <w:bookmarkStart w:id="562" w:name="_Toc486787243"/>
      <w:bookmarkStart w:id="563" w:name="_Toc486787391"/>
      <w:r>
        <w:t>Concluding remarks</w:t>
      </w:r>
      <w:bookmarkEnd w:id="561"/>
      <w:bookmarkEnd w:id="562"/>
      <w:bookmarkEnd w:id="563"/>
    </w:p>
    <w:p w14:paraId="196B0950" w14:textId="4B5CC27E" w:rsidR="000950BC" w:rsidRDefault="00AE4D86" w:rsidP="00391005">
      <w:pPr>
        <w:pStyle w:val="ListParagraph"/>
      </w:pPr>
      <w:r>
        <w:t xml:space="preserve">The bioinformatic pipeline developed here has enabled the identification of </w:t>
      </w:r>
      <w:r w:rsidR="00083395">
        <w:t>ALVE insertions using existing W</w:t>
      </w:r>
      <w:r>
        <w:t xml:space="preserve">GS datasets. </w:t>
      </w:r>
      <w:r w:rsidR="002B3ED6">
        <w:t>Compared with</w:t>
      </w:r>
      <w:r w:rsidR="00083395">
        <w:t xml:space="preserve"> W</w:t>
      </w:r>
      <w:r w:rsidR="00F67F3C">
        <w:t>GS datasets from pools, it is likely that ALVE-specific target capture sequencing would facilitate the detectio</w:t>
      </w:r>
      <w:r w:rsidR="00083395">
        <w:t>n of rare insertions. However, W</w:t>
      </w:r>
      <w:r w:rsidR="00F67F3C">
        <w:t xml:space="preserve">GS data generated from individuals is just as sensitive for ALVE detection, and has a much wider application. </w:t>
      </w:r>
      <w:r w:rsidR="000950BC">
        <w:t xml:space="preserve">Identification and characterisation of ALVEs in the Hy-Line elite layer lines will also enable the development of a breeding programme to remove ALVE insertions, using traditional or modern techniques. This would likely improve the productivity of the birds, resulting in greater commercial gains, and improve the </w:t>
      </w:r>
      <w:r w:rsidR="00CF41B7">
        <w:t>flock-level animal welfare</w:t>
      </w:r>
      <w:r w:rsidR="000950BC">
        <w:t>.</w:t>
      </w:r>
    </w:p>
    <w:p w14:paraId="11ECD222" w14:textId="03DA0E0E" w:rsidR="00F67F3C" w:rsidRDefault="00F67F3C" w:rsidP="00391005">
      <w:pPr>
        <w:pStyle w:val="ListParagraph"/>
      </w:pPr>
      <w:r>
        <w:t>Within this project, this pipeline has enabled the detection of ALVEs in a wide range of chicken subpopulations, not just layers</w:t>
      </w:r>
      <w:r w:rsidR="00C67DB1">
        <w:t>, and has facilitated</w:t>
      </w:r>
      <w:r>
        <w:t xml:space="preserve"> the widest characterisation of ALVE diversity to date (Chapter 7). Beyond its application for chicken research, this approach could be </w:t>
      </w:r>
      <w:r w:rsidR="00C67DB1">
        <w:t>used</w:t>
      </w:r>
      <w:r>
        <w:t xml:space="preserve"> to </w:t>
      </w:r>
      <w:r w:rsidR="00C67DB1">
        <w:t>identify any viral integration into genomic DNA, in any species.</w:t>
      </w:r>
      <w:r>
        <w:t xml:space="preserve"> </w:t>
      </w:r>
      <w:r w:rsidR="00C67DB1">
        <w:t xml:space="preserve">This has great potential for use in diagnosing oncornavirus-induced cancers, such as human adult T cell leukaemia (caused by Human T-Lymphotropic Virus; HTLV), and aiding the development of personalised therapeutics. </w:t>
      </w:r>
    </w:p>
    <w:p w14:paraId="46DF2A97" w14:textId="77777777" w:rsidR="0064667E" w:rsidRDefault="0064667E" w:rsidP="00391005">
      <w:pPr>
        <w:pStyle w:val="ListParagraph"/>
      </w:pPr>
    </w:p>
    <w:p w14:paraId="7A71CA7A" w14:textId="77777777" w:rsidR="0064667E" w:rsidRDefault="0064667E" w:rsidP="00391005">
      <w:pPr>
        <w:pStyle w:val="ListParagraph"/>
        <w:sectPr w:rsidR="0064667E" w:rsidSect="00504068">
          <w:pgSz w:w="11906" w:h="16838"/>
          <w:pgMar w:top="1134" w:right="1418" w:bottom="2268" w:left="2268" w:header="709" w:footer="1066" w:gutter="0"/>
          <w:cols w:space="708"/>
          <w:docGrid w:linePitch="360"/>
        </w:sectPr>
      </w:pPr>
    </w:p>
    <w:p w14:paraId="7A71B289" w14:textId="6909C6A6" w:rsidR="00920FC5" w:rsidRDefault="00F84444" w:rsidP="00920FC5">
      <w:pPr>
        <w:pStyle w:val="Heading1"/>
      </w:pPr>
      <w:r>
        <w:lastRenderedPageBreak/>
        <w:t xml:space="preserve"> </w:t>
      </w:r>
      <w:bookmarkStart w:id="564" w:name="_Toc485721664"/>
      <w:bookmarkStart w:id="565" w:name="_Toc486787244"/>
      <w:bookmarkStart w:id="566" w:name="_Toc486787392"/>
      <w:r w:rsidR="005A7AD2">
        <w:t xml:space="preserve">Discovery of the wider diversity </w:t>
      </w:r>
      <w:r w:rsidR="00051139">
        <w:t xml:space="preserve">ALVE </w:t>
      </w:r>
      <w:r w:rsidR="005A7AD2">
        <w:t xml:space="preserve">insertions across commercial and non-commercial chickens using </w:t>
      </w:r>
      <w:r w:rsidR="005655E9">
        <w:t>whole genome (re)sequencing data</w:t>
      </w:r>
      <w:bookmarkEnd w:id="564"/>
      <w:bookmarkEnd w:id="565"/>
      <w:bookmarkEnd w:id="566"/>
    </w:p>
    <w:p w14:paraId="76DB3AA9" w14:textId="77777777" w:rsidR="00920FC5" w:rsidRDefault="00D4225A" w:rsidP="00D4225A">
      <w:pPr>
        <w:pStyle w:val="Heading2"/>
      </w:pPr>
      <w:bookmarkStart w:id="567" w:name="_Toc485721665"/>
      <w:bookmarkStart w:id="568" w:name="_Toc486787245"/>
      <w:bookmarkStart w:id="569" w:name="_Toc486787393"/>
      <w:r>
        <w:t>Introduction</w:t>
      </w:r>
      <w:bookmarkEnd w:id="567"/>
      <w:bookmarkEnd w:id="568"/>
      <w:bookmarkEnd w:id="569"/>
    </w:p>
    <w:p w14:paraId="7FB37669" w14:textId="7AC39E0C" w:rsidR="00051139" w:rsidRDefault="00E76126" w:rsidP="00391005">
      <w:pPr>
        <w:pStyle w:val="ListParagraph"/>
      </w:pPr>
      <w:r>
        <w:t xml:space="preserve">At the end of the 1980s White Leghorn (WL) chickens had been extensively characterised for their ALVE content with at least twenty-three independent insertions identified. Research initially focused on these prominent commercial layer chickens due to the well described detrimental effects on egg laying success </w:t>
      </w:r>
      <w:r>
        <w:fldChar w:fldCharType="begin" w:fldLock="1"/>
      </w:r>
      <w:r w:rsidR="00F41DB9">
        <w:instrText>ADDIN CSL_CITATION { "citationItems" : [ { "id" : "ITEM-1", "itemData" : { "DOI" : "10.3382/ps.0700618", "ISSN" : "0032-5791", "abstract" : "Endogenous viral (ev) genes are DNA sequences residing permanently in the genome of most chickens that have a high degree of homology to avian leukosis viruses (ALV). Association of ev genes with production trait differences was studied in White Leghorns free of exogenous ALV. The Cornell Strain K and S chickens used in Experiment 1 had multiple ev genes. In each of four lines of chickens in Experiment 2, there was a 1:1 segregation of full-sibs free of ev genes and those carrying one ev gene: ev-12 mat produces the complete endogenous virus, ev-3 or ev-6 that express certain viral antigens, or ev-1, a silent gene. In Experiment 1, the presence of genes ev-10 or ev-19, known to produce the complete virus, was associated with a 9% reduction in the annual egg production rate (P&lt;.05) in Strain S. Similarly, the presence of the virus-producing ev-12 in Experiment 2 was associated with an 8% reduction of annual egg production rate (P&lt;.05), a 2.2-g reduction in egg weight (P&lt;.01), and a .003 reduction in egg specific gravity (P&lt;.01). No significant effects of ev genes on age at first egg, Haugh unit score, percentage of eggs with blood spots, and body weight of hens were observed. It was concluded that ev genes producing complete endogenous virus are associated with production trait differences similar to those associated with subclinical infections with exogenous ALV.", "author" : [ { "dropping-particle" : "", "family" : "Gavora", "given" : "J. S.", "non-dropping-particle" : "", "parse-names" : false, "suffix" : "" }, { "dropping-particle" : "", "family" : "Kuhnlein", "given" : "U.", "non-dropping-particle" : "", "parse-names" : false, "suffix" : "" }, { "dropping-particle" : "", "family" : "Crittenden", "given" : "L. B.", "non-dropping-particle" : "", "parse-names" : false, "suffix" : "" }, { "dropping-particle" : "", "family" : "Spencer", "given" : "J. L.", "non-dropping-particle" : "", "parse-names" : false, "suffix" : "" }, { "dropping-particle" : "", "family" : "Sabour", "given" : "M. P.", "non-dropping-particle" : "", "parse-names" : false, "suffix" : "" } ], "container-title" : "Poultry Science", "id" : "ITEM-1", "issue" : "3", "issued" : { "date-parts" : [ [ "1991", "3", "1" ] ] }, "note" : "Presence of some ev genes is detrimental to the hen rate of egg production, egg size and egg shell thickness. The majority of ev genes allowed to persist in leghorns do not produce full virus \u2013 exception is ev21 because of the link to the K locus \nNot accessible online from Ed Uni - Journals available at the Vet School Library", "page" : "618-623", "title" : "Endogenous Viral Genes: Association with Reduced Egg Production Rate and Egg Size in White Leghorns", "type" : "article-journal", "volume" : "70" }, "uris" : [ "http://www.mendeley.com/documents/?uuid=a4558e2e-c34c-4c11-9982-f2dadb7b3eed" ] } ], "mendeley" : { "formattedCitation" : "(Gavora et al. 1991)", "plainTextFormattedCitation" : "(Gavora et al. 1991)", "previouslyFormattedCitation" : "(Gavora et al. 1991)" }, "properties" : { "noteIndex" : 0 }, "schema" : "https://github.com/citation-style-language/schema/raw/master/csl-citation.json" }</w:instrText>
      </w:r>
      <w:r>
        <w:fldChar w:fldCharType="separate"/>
      </w:r>
      <w:r w:rsidRPr="00E76126">
        <w:rPr>
          <w:noProof/>
        </w:rPr>
        <w:t>(Gavora et al. 1991)</w:t>
      </w:r>
      <w:r>
        <w:fldChar w:fldCharType="end"/>
      </w:r>
      <w:r w:rsidR="00F41DB9">
        <w:t xml:space="preserve">. Detrimental effects of ALVEs had also been identified in brown egg and broiler chickens, albeit indirectly, when it was found that the recessive white mutation (later found to be caused by ALVE-TYR; </w:t>
      </w:r>
      <w:r w:rsidR="00F41DB9" w:rsidRPr="00F41DB9">
        <w:rPr>
          <w:noProof/>
        </w:rPr>
        <w:t>Chang et al. 2006</w:t>
      </w:r>
      <w:r w:rsidR="00F41DB9">
        <w:rPr>
          <w:noProof/>
        </w:rPr>
        <w:t>)</w:t>
      </w:r>
      <w:r w:rsidR="00F41DB9">
        <w:t xml:space="preserve"> was linked to viremia and reduction</w:t>
      </w:r>
      <w:r w:rsidR="00BE7513">
        <w:t>s</w:t>
      </w:r>
      <w:r w:rsidR="00F41DB9">
        <w:t xml:space="preserve"> in muscle growth rate</w:t>
      </w:r>
      <w:r w:rsidR="00BE7513">
        <w:t xml:space="preserve"> and total muscle mass</w:t>
      </w:r>
      <w:r w:rsidR="00F41DB9">
        <w:t xml:space="preserve"> </w:t>
      </w:r>
      <w:r w:rsidR="00F41DB9">
        <w:fldChar w:fldCharType="begin" w:fldLock="1"/>
      </w:r>
      <w:r w:rsidR="00F41DB9">
        <w:instrText>ADDIN CSL_CITATION { "citationItems" : [ { "id" : "ITEM-1", "itemData" : { "ISSN" : "0032-5791 (Print)", "PMID" : "3991420", "abstract" : "The purpose of the studies reported herein was to determine whether the depressing effects on growth rate of dominant white (I) and recessive white (c/c) are additive or possibly interact with each other. A synthetic stock was used that was segregating for both dominant white and recessive white. Using phenotypic observations of down color and juvenile plumage color; it was possible to identify the genotypes at the I and C+ loci and to utilize a factorial experiment that provided for an evaluation of interaction effects between the loci. Five replications of this design were conducted with the following results: 1) the main effect of dominant white on 6 and 8 week body weight was not statistically significant; 2) recessive white consistently depresses early growth rate and the difference (congruent to 4%) between C+/- vs. c/c was highly significant (P less than .01); 3) there was a significant interaction (P less than .05) between I and c indicating that depressing effects of these loci are not additive. It does not appear to be necessary to eliminate (I) from recessive white broiler stocks, but it would be economically advantageous to remove hypostatic (c) from dominant white lines.", "author" : [ { "dropping-particle" : "", "family" : "Fox", "given" : "W", "non-dropping-particle" : "", "parse-names" : false, "suffix" : "" }, { "dropping-particle" : "", "family" : "Smyth", "given" : "J R Jr", "non-dropping-particle" : "", "parse-names" : false, "suffix" : "" } ], "container-title" : "Poultry science", "id" : "ITEM-1", "issue" : "3", "issued" : { "date-parts" : [ [ "1985" ] ] }, "page" : "429-433", "title" : "The effects of recessive white and dominant white genotypes on early growth rate.", "type" : "article-journal", "volume" : "64" }, "uris" : [ "http://www.mendeley.com/documents/?uuid=4e307c59-5ae5-4377-ab75-636b9c67e1ff" ] }, { "id" : "ITEM-2", "itemData" : { "DOI" : "10.1186/1471-2164-7-19", "ISSN" : "1471-2164", "PMID" : "16457736", "abstract" : "BACKGROUND: In chickens, three mutant alleles have been reported at the C locus, including the albino mutation, and the recessive white mutation, which is characterized by white plumage and pigmented eyes. The albino mutation was found to be a 6 bp deletion in the tyrosinase (TYR) gene. The present work describes an approach to identify the structural rearrangement in the TYR gene associated with the recessive white mutation.\n\nRESULTS: Molecular analysis of the chicken TYR gene has revealed a major structural difference (Restriction Fragment Length Polymorphism, RFLP) in the genomic DNA of the recessive white chicken. A major size difference of 7.7 kb was found in intron 4 of the TYR gene by long-range PCR. Molecular cloning and sequencing results showed the insertion of a complete avian retroviral sequence of the Avian Leukosis Virus (ALV) family. Several aberrant transcripts of the tyrosinase gene were found in 10 week old recessive white chickens but not in the homozygous wild type colored chicken. We established a rapid genotyping diagnostic test based on the discovery of this retroviral insertion. It shows that all homozygous carriers of this insertion had a white plumage in various chicken strains. Furthermore, it was possible to distinguish heterozygous carriers from homozygous normal chickens in a segregating line.\n\nCONCLUSION: In this study, we conclude that the insertion of a complete avian retroviral sequence in intron 4 of the tyrosinase gene is diagnostic of the recessive white mutation in chickens. This insertion causes aberrant transcripts lacking exon 5, and we propose that this insertion is the causal mutation for the recessive white allele in the chicken.", "author" : [ { "dropping-particle" : "", "family" : "Chang", "given" : "Chung-Ming", "non-dropping-particle" : "", "parse-names" : false, "suffix" : "" }, { "dropping-particle" : "", "family" : "Coville", "given" : "Jean-Luc", "non-dropping-particle" : "", "parse-names" : false, "suffix" : "" }, { "dropping-particle" : "", "family" : "Coquerelle", "given" : "G\u00e9rard", "non-dropping-particle" : "", "parse-names" : false, "suffix" : "" }, { "dropping-particle" : "", "family" : "Gourichon", "given" : "David", "non-dropping-particle" : "", "parse-names" : false, "suffix" : "" }, { "dropping-particle" : "", "family" : "Oulmouden", "given" : "Ahmad", "non-dropping-particle" : "", "parse-names" : false, "suffix" : "" }, { "dropping-particle" : "", "family" : "Tixier-Boichard", "given" : "Mich\u00e8le", "non-dropping-particle" : "", "parse-names" : false, "suffix" : "" } ], "container-title" : "BMC genomics", "id" : "ITEM-2", "issued" : { "date-parts" : [ [ "2006", "1" ] ] }, "page" : "19", "title" : "Complete association between a retroviral insertion in the tyrosinase gene and the recessive white mutation in chickens.", "type" : "article-journal", "volume" : "7" }, "uris" : [ "http://www.mendeley.com/documents/?uuid=8077fea8-838f-4da4-b799-fb7fa0225565" ] } ], "mendeley" : { "formattedCitation" : "(Fox &amp; Smyth 1985; Chang et al. 2006)", "manualFormatting" : "(Fox &amp; Smyth 1985)", "plainTextFormattedCitation" : "(Fox &amp; Smyth 1985; Chang et al. 2006)", "previouslyFormattedCitation" : "(Fox &amp; Smyth 1985; Chang et al. 2006)" }, "properties" : { "noteIndex" : 0 }, "schema" : "https://github.com/citation-style-language/schema/raw/master/csl-citation.json" }</w:instrText>
      </w:r>
      <w:r w:rsidR="00F41DB9">
        <w:fldChar w:fldCharType="separate"/>
      </w:r>
      <w:r w:rsidR="00F41DB9">
        <w:rPr>
          <w:noProof/>
        </w:rPr>
        <w:t>(Fox &amp; Smyth 1985</w:t>
      </w:r>
      <w:r w:rsidR="00F41DB9" w:rsidRPr="00F41DB9">
        <w:rPr>
          <w:noProof/>
        </w:rPr>
        <w:t>)</w:t>
      </w:r>
      <w:r w:rsidR="00F41DB9">
        <w:fldChar w:fldCharType="end"/>
      </w:r>
      <w:r w:rsidR="00F41DB9">
        <w:t>. However, targeted study of broiler ALVEs was hindered by their greater number when compared to WLs. A series of studies in the early 1990s found that whilst some ALVEs were shared between white and</w:t>
      </w:r>
      <w:r w:rsidR="00C2614D">
        <w:t xml:space="preserve"> brown egg layers and broilers</w:t>
      </w:r>
      <w:r w:rsidR="00F41DB9">
        <w:t xml:space="preserve"> </w:t>
      </w:r>
      <w:r w:rsidR="00C2614D">
        <w:t>(notably ALVE3 and ALVE6)</w:t>
      </w:r>
      <w:r w:rsidR="00F41DB9">
        <w:t xml:space="preserve"> many ALVEs were novel</w:t>
      </w:r>
      <w:r w:rsidR="00051CC4">
        <w:t xml:space="preserve"> and there was no suggestion of a clear ancestral ALVE complement </w:t>
      </w:r>
      <w:r w:rsidR="00051CC4">
        <w:fldChar w:fldCharType="begin" w:fldLock="1"/>
      </w:r>
      <w:r w:rsidR="006A25E7">
        <w:instrText>ADDIN CSL_CITATION { "citationItems" : [ { "id" : "ITEM-1", "itemData" : { "author" : [ { "dropping-particle" : "", "family" : "Gudkov", "given" : "AV", "non-dropping-particle" : "", "parse-names" : false, "suffix" : "" }, { "dropping-particle" : "", "family" : "Korec", "given" : "E", "non-dropping-particle" : "", "parse-names" : false, "suffix" : "" }, { "dropping-particle" : "", "family" : "Chernov", "given" : "MV", "non-dropping-particle" : "", "parse-names" : false, "suffix" : "" }, { "dropping-particle" : "", "family" : "Tikhonenko", "given" : "AT", "non-dropping-particle" : "", "parse-names" : false, "suffix" : "" }, { "dropping-particle" : "", "family" : "Obukh", "given" : "IB", "non-dropping-particle" : "", "parse-names" : false, "suffix" : "" }, { "dropping-particle" : "", "family" : "Hlozanek", "given" : "Ivo", "non-dropping-particle" : "", "parse-names" : false, "suffix" : "" } ], "container-title" : "Folia biologica", "id" : "ITEM-1", "issue" : "1", "issued" : { "date-parts" : [ [ "1986" ] ] }, "page" : "65-72", "title" : "Genetic structure of the endogenous proviruses and expression of the gag gene in Brown Leghorn chickens", "type" : "article-journal", "volume" : "32" }, "uris" : [ "http://www.mendeley.com/documents/?uuid=0fbc01d2-0bb8-4cdf-8c00-3c4357b2ca01" ] }, { "id" : "ITEM-2", "itemData" : { "ISSN" : "00325791", "abstract" : "The distribution of endogenous virus (ev) genes was studied in five commercial layer lines; four were brown-egg types and one was White Leghorn. The DNA samples were obtained from nine birds of each line and digested with SacI and BamHI endonucleases. The DNA fragments were separated by gel electrophoresis, and Southern blots were prepared and examined for the presence of ev genes following hybridization with the labeled recombinant plasmid pRAV-2 and autoradiography. Almost all fragments were present in more than one line, suggesting that each line has drawn a random assortment of ev genes from the same common pool, possibly as a founder effect. A great degree of polymorphism is shown by the ev genes in the lines investigated. Most fragments were present at low or intermediate frequencies. Very few fragments were present in only one line or in only one bird. This suggests that de novo integration of ev genes at new sites is a relatively rare event. Very few fragments were present at high frequencies, and none of the fragments, except for the BamHI internal fragments, were present in all birds of all lines. Considering that ev genes are present in the wild progenitor of the domestic chicken, the lack of fixation of any ev genes in the chicken genome is remarkable. It is proposed that ev genes have general deleterious effects in the chicken (hence, the lack of fixation), but those ev genes that have been retained in the chicken genome have favorable effects under some circumstances with consequent equilibrium at low to intermediate frequencies. It is speculated that the retained ev genes may represent sites of favorable mutation via insertional mutagenesis and, hence, a potential route to the cloning of genes of economic importance in poultry.", "author" : [ { "dropping-particle" : "", "family" : "Iraqi", "given" : "F", "non-dropping-particle" : "", "parse-names" : false, "suffix" : "" }, { "dropping-particle" : "", "family" : "Soller", "given" : "M", "non-dropping-particle" : "", "parse-names" : false, "suffix" : "" }, { "dropping-particle" : "", "family" : "Beckmann", "given" : "J.S.", "non-dropping-particle" : "", "parse-names" : false, "suffix" : "" } ], "container-title" : "Poultry science", "id" : "ITEM-2", "issue" : "4", "issued" : { "date-parts" : [ [ "1991" ] ] }, "page" : "665-679", "title" : "Distribution of endogenous viruses in some commercial chicken layer populations.", "type" : "article-journal", "volume" : "70" }, "uris" : [ "http://www.mendeley.com/documents/?uuid=57513cb2-6bfd-4013-a98e-d85a1b044b26" ] }, { "id" : "ITEM-3", "itemData" : { "DOI" : "10.3382/ps.0711259", "ISSN" : "0032-5791", "abstract" : "The present study was designed to document the complexity of endogenous viral (ev) genes and seek evidence for their association with production traits in selected and control strains of meat-type chickens. Three populations were studied, each consisting of a control strain and one to three strains selected for various production traits. The ev genes were revealed by digesting genomic DNA with restriction enzymes and detecting DNA fragments on Southern blots using radioactive probes from nucleotide sequences of the avian leukosis virus genome. A total of 31 polymorphic ev loci were identified in these populations from a SacI digest, with an average of 7.3 ev genes per bird. There were no significant differences in ev genes per bird between strains within populations or between selected and control strains overall. Thirty of 62 comparisons in the three populations indicated ev gene frequency differences (P &lt; .05). Within populations, 13 of 93 comparisons of ev gene frequencies between control and selected strains and 8 of 62 between three selected strains of a sire population showed such differences (P &lt; .05). Selection for body weight and feed efficiency had been observed to reduce gene frequencies of the slow-feathering gene, which usually contains the ev21 locus; however, these effects were not detected (.05 &lt; P &lt; .06) between strains of the dam population in the current study. Such differences suggested possible associations between ev genes and production traits in meat-type chickens.", "author" : [ { "dropping-particle" : "", "family" : "Sabour", "given" : "M. P.", "non-dropping-particle" : "", "parse-names" : false, "suffix" : "" }, { "dropping-particle" : "", "family" : "Chambers", "given" : "J. R.", "non-dropping-particle" : "", "parse-names" : false, "suffix" : "" }, { "dropping-particle" : "", "family" : "Grunder", "given" : "A. A.", "non-dropping-particle" : "", "parse-names" : false, "suffix" : "" }, { "dropping-particle" : "", "family" : "Kuhnlein", "given" : "U.", "non-dropping-particle" : "", "parse-names" : false, "suffix" : "" }, { "dropping-particle" : "", "family" : "Gavora", "given" : "J. S.", "non-dropping-particle" : "", "parse-names" : false, "suffix" : "" } ], "container-title" : "Poultry Science", "id" : "ITEM-3", "issue" : "8", "issued" : { "date-parts" : [ [ "1992", "8", "1" ] ] }, "note" : "Identified 31 polymorphic ev loci -&amp;gt; average of 7.3 loci per bird -&amp;gt; identified using SacI digests.\nMost studies focus on the inbred white leghorn line (about 22/23 ev loci) but ev diversity is also known to be high in other birds.\nThis paper looks at meat chickens and whether there is an association between ev genes and production traits.\nExact levels of diversity unknown as digested bands are assumed to be different ev loci rather than accepting the possibility of other influencing indels etc, which may affect band size of what is the same locus.\nThey observe lots of ev loci but cannot associate results with certain traits of interest because the sample size is too small - needed to increase the power.", "page" : "1259-1270", "title" : "Endogenous Viral Gene Distribution in Populations of Meat-Type Chickens", "type" : "article-journal", "volume" : "71" }, "uris" : [ "http://www.mendeley.com/documents/?uuid=ee1c72f5-843c-4581-aa11-c7425ca2b763" ] }, { "id" : "ITEM-4", "itemData" : { "DOI" : "10.3382/ps.0741506", "ISBN" : "0032-5791", "ISSN" : "0032-5791", "PMID" : "7501595", "abstract" : "Restriction fragment length polymorphism analysis was conducted for a set of eight different meat chicken-derived endogenous viral genes (ev genes) of the avian leukosis viral (ALV) family. Each viral element was first isolated into a separate single-element line by selective breeding. Genomic DNA from the founder male for each semi-congenic, single-element line was digested with each of four restriction enzymes, and the resulting Southern blots were each hybridized with up to four probes representing different portions of the ALV retroviral genome. Among the eight elements, there was one that represents the broiler equivalent of locus ev3 of White Leghorn chickens. A second broiler element showed a SacI-specific junction fragment similar to that of ev8. The remainder appeared to be different from any of the 21 ev genes previously described for White Leghorn chickens. Four of the eight elements examined were essentially complete, but the rest have sustained internal deletions.", "author" : [ { "dropping-particle" : "", "family" : "Grunder", "given" : "a a", "non-dropping-particle" : "", "parse-names" : false, "suffix" : "" }, { "dropping-particle" : "", "family" : "Benkel", "given" : "B F", "non-dropping-particle" : "", "parse-names" : false, "suffix" : "" }, { "dropping-particle" : "", "family" : "Chambers", "given" : "J R", "non-dropping-particle" : "", "parse-names" : false, "suffix" : "" }, { "dropping-particle" : "", "family" : "Sabour", "given" : "M P", "non-dropping-particle" : "", "parse-names" : false, "suffix" : "" }, { "dropping-particle" : "", "family" : "Gavora", "given" : "J S", "non-dropping-particle" : "", "parse-names" : false, "suffix" : "" } ], "container-title" : "Poultry science", "id" : "ITEM-4", "issue" : "9", "issued" : { "date-parts" : [ [ "1995" ] ] }, "page" : "1506-1514", "title" : "Characterization of eight endogenous viral (ev) genes of meat chickens in semi-congenic lines.", "type" : "article-journal", "volume" : "74" }, "uris" : [ "http://www.mendeley.com/documents/?uuid=5dc857a8-2f97-411d-842a-f70dce7e4966" ] } ], "mendeley" : { "formattedCitation" : "(Gudkov et al. 1986; Iraqi et al. 1991; Sabour et al. 1992; Grunder et al. 1995)", "plainTextFormattedCitation" : "(Gudkov et al. 1986; Iraqi et al. 1991; Sabour et al. 1992; Grunder et al. 1995)", "previouslyFormattedCitation" : "(Gudkov et al. 1986; Iraqi et al. 1991; Sabour et al. 1992; Grunder et al. 1995)" }, "properties" : { "noteIndex" : 0 }, "schema" : "https://github.com/citation-style-language/schema/raw/master/csl-citation.json" }</w:instrText>
      </w:r>
      <w:r w:rsidR="00051CC4">
        <w:fldChar w:fldCharType="separate"/>
      </w:r>
      <w:r w:rsidR="0085635A" w:rsidRPr="0085635A">
        <w:rPr>
          <w:noProof/>
        </w:rPr>
        <w:t>(Gudkov et al. 1986; Iraqi et al. 1991; Sabour et al. 1992; Grunder et al. 1995)</w:t>
      </w:r>
      <w:r w:rsidR="00051CC4">
        <w:fldChar w:fldCharType="end"/>
      </w:r>
      <w:r w:rsidR="00F41DB9">
        <w:t xml:space="preserve">. Furthermore, the standard </w:t>
      </w:r>
      <w:r w:rsidR="00BE7513">
        <w:t xml:space="preserve">method for </w:t>
      </w:r>
      <w:r w:rsidR="00F41DB9">
        <w:t>ALVE classification at the time, restriction fragment length polymorphisms (RFL</w:t>
      </w:r>
      <w:r w:rsidR="00051CC4">
        <w:t xml:space="preserve">Ps), became harder to </w:t>
      </w:r>
      <w:r w:rsidR="00F41DB9">
        <w:t>interpre</w:t>
      </w:r>
      <w:r w:rsidR="00051CC4">
        <w:t>t with greater n</w:t>
      </w:r>
      <w:r w:rsidR="0085635A">
        <w:t>umbers of ALVEs, especially after</w:t>
      </w:r>
      <w:r w:rsidR="00051CC4">
        <w:t xml:space="preserve"> RFLP</w:t>
      </w:r>
      <w:r w:rsidR="0085635A">
        <w:t xml:space="preserve">s </w:t>
      </w:r>
      <w:r w:rsidR="00051CC4">
        <w:t>were found to vary between b</w:t>
      </w:r>
      <w:r w:rsidR="00BE7513">
        <w:t>reeds for</w:t>
      </w:r>
      <w:r w:rsidR="00051CC4">
        <w:t xml:space="preserve"> the same insertion</w:t>
      </w:r>
      <w:r w:rsidR="00051139">
        <w:t>s</w:t>
      </w:r>
      <w:r w:rsidR="00051CC4">
        <w:t xml:space="preserve"> </w:t>
      </w:r>
      <w:r w:rsidR="00051CC4">
        <w:fldChar w:fldCharType="begin" w:fldLock="1"/>
      </w:r>
      <w:r w:rsidR="00051CC4">
        <w:instrText>ADDIN CSL_CITATION { "citationItems" : [ { "id" : "ITEM-1", "itemData" : { "ISBN" : "0032-5791 (Print)\\r0032-5791 (Linking)", "ISSN" : "00325791", "PMID" : "1886838", "abstract" : "The endogenous viral (ev) gene patterns of White Leghorn (WL; 6 lines), medium heavy (MH; 4 lines), White Plymouth Rock (WPR; 8 lines), and Cornish types (2 lines) of commercial chickens were compared. Southern blot analysis of SstI-digested genomic DNA of 151 chickens revealed that the number of ev gene-containing fragments in a chicken from the MH, WPR, or Cornish type is about twice twice the number of that in WL chickens. Also, the number of hybridizing fragments of different size found within one line was twice as high in the broiler (on average 16.0 bands per line) and MH lines (20.5 bands per line) than in the WL lines (10.0 bands per line). In studies with subregion-specific probes, all ev fragments detected contained the env (3') part of the viral genome. Only eight ev fragments, found in 7 animals of 2 lines, lacked the gag (5') part of the viral genome. Studies with the ev-1-specific flanking probe, pGd111, revealed that ev-1 is commonly present in the DNA of the WL chickens, but not within the DNA of the WPR chickens. The results suggest that use of the standard nomenclature for the ev genes based on restriction fragment length is not feasible within the WPR, MH, and Cornish lines because of the complexity of the ev gene patterns found within these lines.", "author" : [ { "dropping-particle" : "", "family" : "Aarts", "given" : "H J", "non-dropping-particle" : "", "parse-names" : false, "suffix" : "" }, { "dropping-particle" : "", "family" : "Hulst-Van Arkel", "given" : "M C", "non-dropping-particle" : "Van Der", "parse-names" : false, "suffix" : "" }, { "dropping-particle" : "", "family" : "Beuving", "given" : "G", "non-dropping-particle" : "", "parse-names" : false, "suffix" : "" }, { "dropping-particle" : "", "family" : "Leenstra", "given" : "F R", "non-dropping-particle" : "", "parse-names" : false, "suffix" : "" } ], "container-title" : "Poult Sci", "id" : "ITEM-1", "issue" : "6", "issued" : { "date-parts" : [ [ "1991" ] ] }, "page" : "1281-1286", "title" : "Variations in endogenous viral gene patterns in White Leghorn, medium heavy, White Plymouth Rock, and Cornish Chickens", "type" : "article-journal", "volume" : "70" }, "uris" : [ "http://www.mendeley.com/documents/?uuid=a03f1120-c0c3-44bd-ba2c-294bae3cf8be" ] }, { "id" : "ITEM-2", "itemData" : { "author" : [ { "dropping-particle" : "", "family" : "Boulliou", "given" : "A", "non-dropping-particle" : "", "parse-names" : false, "suffix" : "" }, { "dropping-particle" : "", "family" : "Pennec", "given" : "J P L E", "non-dropping-particle" : "", "parse-names" : false, "suffix" : "" }, { "dropping-particle" : "", "family" : "Hubert", "given" : "G", "non-dropping-particle" : "", "parse-names" : false, "suffix" : "" }, { "dropping-particle" : "", "family" : "Donal", "given" : "R", "non-dropping-particle" : "", "parse-names" : false, "suffix" : "" }, { "dropping-particle" : "", "family" : "Smiley", "given" : "M", "non-dropping-particle" : "", "parse-names" : false, "suffix" : "" } ], "container-title" : "Poultry Science", "id" : "ITEM-2", "issue" : "6", "issued" : { "date-parts" : [ [ "1991" ] ] }, "page" : "1287-1296", "title" : "Restriction fragment length polymorphism analysis of endogenous avian leukosis viral loci: determination of frequencies in commercial broiler lines.", "type" : "article-journal", "volume" : "70" }, "uris" : [ "http://www.mendeley.com/documents/?uuid=ead1cd90-ff6f-4b70-bc0c-7d298234e42d" ] } ], "mendeley" : { "formattedCitation" : "(Aarts et al. 1991; Boulliou et al. 1991)", "plainTextFormattedCitation" : "(Aarts et al. 1991; Boulliou et al. 1991)", "previouslyFormattedCitation" : "(Aarts et al. 1991; Boulliou et al. 1991)" }, "properties" : { "noteIndex" : 0 }, "schema" : "https://github.com/citation-style-language/schema/raw/master/csl-citation.json" }</w:instrText>
      </w:r>
      <w:r w:rsidR="00051CC4">
        <w:fldChar w:fldCharType="separate"/>
      </w:r>
      <w:r w:rsidR="00051CC4" w:rsidRPr="00051CC4">
        <w:rPr>
          <w:noProof/>
        </w:rPr>
        <w:t>(Aarts et al. 1991; Boulliou et al. 1991)</w:t>
      </w:r>
      <w:r w:rsidR="00051CC4">
        <w:fldChar w:fldCharType="end"/>
      </w:r>
      <w:r w:rsidR="00051CC4">
        <w:t>.</w:t>
      </w:r>
      <w:r w:rsidR="00051139">
        <w:t xml:space="preserve"> </w:t>
      </w:r>
    </w:p>
    <w:p w14:paraId="0B284883" w14:textId="442CA167" w:rsidR="00C2614D" w:rsidRDefault="003F09D5" w:rsidP="00391005">
      <w:pPr>
        <w:pStyle w:val="ListParagraph"/>
      </w:pPr>
      <w:r>
        <w:t xml:space="preserve">Despite these issues with identification, it was generally found that </w:t>
      </w:r>
      <w:r w:rsidR="00F015EF">
        <w:t xml:space="preserve">white egg </w:t>
      </w:r>
      <w:r w:rsidR="006A25E7">
        <w:t>layers contained one to three</w:t>
      </w:r>
      <w:r>
        <w:t xml:space="preserve"> ALVEs</w:t>
      </w:r>
      <w:r w:rsidR="00F015EF">
        <w:t>,</w:t>
      </w:r>
      <w:r>
        <w:t xml:space="preserve"> and </w:t>
      </w:r>
      <w:r w:rsidR="00F015EF">
        <w:t xml:space="preserve">brown egg layers and </w:t>
      </w:r>
      <w:r>
        <w:t xml:space="preserve">broilers contained </w:t>
      </w:r>
      <w:r w:rsidR="006A25E7">
        <w:t xml:space="preserve">six to ten </w:t>
      </w:r>
      <w:r>
        <w:fldChar w:fldCharType="begin" w:fldLock="1"/>
      </w:r>
      <w:r w:rsidR="0085635A">
        <w:instrText>ADDIN CSL_CITATION { "citationItems" : [ { "id" : "ITEM-1", "itemData" : { "ISSN" : "0032-5791", "PMID" : "9657616", "abstract" : "The genome of the chicken, Gallus gallus, contains endogenous proviral elements (ALVE elements or ev genes) that display a high degree of similarity to the Avian Leukosis class of retroviruses. The ALVE proviruses are known to modulate physiological processes of the host birds. Different ALVE elements retain variable portions of the complete, prototype viral genome, and each provirus resides in its own specific location within the host genome. Thus, each ALVE element has its own particular potential to modulate host physiology depending on the nature of its integration site, the completeness of the proviral genome, and the level of expression of the locus. It is important, therefore, to be able to establish the ALVE element profiles of chickens quickly and accurately, both in the laboratory and in a commercial setting. The current method of choice for simple, quick, and accurate typing is the polymerase chain reaction (PCR). This paper reviews the present status of PCR typing of ALVE proviruses and lists the assay protocols for 19 different elements. In addition, it compares the insertion sites of these elements in an effort to identify common motifs at ALVE integration sites.", "author" : [ { "dropping-particle" : "", "family" : "Benkel", "given" : "B F", "non-dropping-particle" : "", "parse-names" : false, "suffix" : "" } ], "container-title" : "Poultry science", "id" : "ITEM-1", "issue" : "7", "issued" : { "date-parts" : [ [ "1998", "7" ] ] }, "note" : "ALVEs have been shown to be nonessential - yet the average egg bird has 1 to 3 and meat birds have 6-10 on average.\n\n\nPaper suggests that for ALVEs there is random insertion at both the nucleotide level (no common insertion motif) and at the genome level (no real preference for particular chromosomes or nucleotide type). However over half of analysed ALVEs are within or near repetitive DNA - suggests that there is a model of random insertion followed by selection against elements that are detrimental. This leaves behind beneficial ones and ERVs that can be tolerated in certain genome areas, like existing areas of repetitive 'junk'. \nWould be interesting to see if the same was found for other ERV types.", "page" : "1027-35", "title" : "Locus-specific diagnostic tests for endogenous avian leukosis-type viral loci in chickens.", "type" : "article-journal", "volume" : "77" }, "uris" : [ "http://www.mendeley.com/documents/?uuid=d1106adf-7e45-4bf3-8cca-032e3a99d195" ] } ], "mendeley" : { "formattedCitation" : "(Benkel 1998)", "plainTextFormattedCitation" : "(Benkel 1998)", "previouslyFormattedCitation" : "(Benkel 1998)" }, "properties" : { "noteIndex" : 0 }, "schema" : "https://github.com/citation-style-language/schema/raw/master/csl-citation.json" }</w:instrText>
      </w:r>
      <w:r>
        <w:fldChar w:fldCharType="separate"/>
      </w:r>
      <w:r w:rsidRPr="003F09D5">
        <w:rPr>
          <w:noProof/>
        </w:rPr>
        <w:t>(Benkel 1998)</w:t>
      </w:r>
      <w:r>
        <w:fldChar w:fldCharType="end"/>
      </w:r>
      <w:r>
        <w:t xml:space="preserve">. </w:t>
      </w:r>
      <w:r w:rsidR="00EB121A">
        <w:t xml:space="preserve">However, ALVE research has largely utilised experimental lines held at research institutes and universities. This has biased work towards leghorns (as the eggs could, originally, be sold on to recoup </w:t>
      </w:r>
      <w:r w:rsidR="006A25E7">
        <w:t xml:space="preserve">research </w:t>
      </w:r>
      <w:r w:rsidR="00EB121A">
        <w:t>costs</w:t>
      </w:r>
      <w:r w:rsidR="00971A22">
        <w:t>) and</w:t>
      </w:r>
      <w:r w:rsidR="00C2614D">
        <w:t xml:space="preserve"> heritage breed</w:t>
      </w:r>
      <w:r w:rsidR="00971A22">
        <w:t>s</w:t>
      </w:r>
      <w:r w:rsidR="00EB121A">
        <w:t xml:space="preserve">, rather than commercially relevant </w:t>
      </w:r>
      <w:r w:rsidR="00971A22">
        <w:t>lines</w:t>
      </w:r>
      <w:r w:rsidR="00F015EF">
        <w:t>. The</w:t>
      </w:r>
      <w:r w:rsidR="00971A22">
        <w:t>se birds</w:t>
      </w:r>
      <w:r w:rsidR="00F015EF">
        <w:t xml:space="preserve"> are also highly inbred, so ALVEs considered ‘common’ (such as ALVE1 or ALVE3) are likely to become fixed, promoting their common status</w:t>
      </w:r>
      <w:r w:rsidR="00557832">
        <w:t xml:space="preserve"> in the literature</w:t>
      </w:r>
      <w:r w:rsidR="00F015EF">
        <w:t xml:space="preserve">, and rarer ALVEs are more likely to be lost, reducing apparent diversity. </w:t>
      </w:r>
      <w:r w:rsidR="00BE7513">
        <w:t xml:space="preserve">It is therefore unclear whether these generally accepted numbers of ALVEs for layers and broilers are accurate. The work presented in chapter 6 highlighted </w:t>
      </w:r>
      <w:r w:rsidR="00BE7513">
        <w:lastRenderedPageBreak/>
        <w:t xml:space="preserve">this, as the WLs had </w:t>
      </w:r>
      <w:r w:rsidR="006A25E7">
        <w:t>two to four</w:t>
      </w:r>
      <w:r w:rsidR="00BE7513">
        <w:t xml:space="preserve"> ALVEs and the brown egg layer </w:t>
      </w:r>
      <w:r w:rsidR="00557832">
        <w:t xml:space="preserve">WPRs both had eight and the RIR had eleven. Whilst these elite Hy-Line layer lines have undergone selection to mitigate the impacts of ALVEs, they have a much higher effective population size than any university population, and are likely more representative of ALVE diversity in these breeds. </w:t>
      </w:r>
      <w:r w:rsidR="00C2614D">
        <w:t xml:space="preserve">The larger effective population sizes of commercial broilers, non-commercial ‘wild’ chickens, and RJF populations may elicit larger numbers of ALVE insertions, particularly in the absence of intensive artificial selection. However, broiler genetics are rarely made public due to fears about commercial sensitivities, and </w:t>
      </w:r>
      <w:r w:rsidR="00C50CB7">
        <w:t xml:space="preserve">non-commercial birds and RJFs have not been analysed to date. It is highly likely that the presence of just two ALVEs in the chicken reference genome is significantly under-representative of the wider ALVE diversity </w:t>
      </w:r>
      <w:r w:rsidR="00C50CB7">
        <w:fldChar w:fldCharType="begin" w:fldLock="1"/>
      </w:r>
      <w:r w:rsidR="000F1981">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rsidR="00C50CB7">
        <w:fldChar w:fldCharType="separate"/>
      </w:r>
      <w:r w:rsidR="00C50CB7" w:rsidRPr="006A25E7">
        <w:rPr>
          <w:noProof/>
        </w:rPr>
        <w:t>(Benkel &amp; Rutherford 2014)</w:t>
      </w:r>
      <w:r w:rsidR="00C50CB7">
        <w:fldChar w:fldCharType="end"/>
      </w:r>
      <w:r w:rsidR="00C50CB7">
        <w:t>.</w:t>
      </w:r>
    </w:p>
    <w:p w14:paraId="5A724FED" w14:textId="46E06799" w:rsidR="006A25E7" w:rsidRDefault="006A25E7" w:rsidP="00391005">
      <w:pPr>
        <w:pStyle w:val="ListParagraph"/>
      </w:pPr>
      <w:r>
        <w:t xml:space="preserve">In 2016 Rutherford and colleagues used their ALVE target capture NGS protocol to analyse over thirty </w:t>
      </w:r>
      <w:r w:rsidR="007C1E5F">
        <w:t xml:space="preserve">European and North American </w:t>
      </w:r>
      <w:r w:rsidR="00C50CB7">
        <w:t>heritage breeds.</w:t>
      </w:r>
      <w:r>
        <w:t xml:space="preserve"> </w:t>
      </w:r>
      <w:r w:rsidR="00C50CB7">
        <w:t xml:space="preserve">A total of </w:t>
      </w:r>
      <w:r>
        <w:t>137 novel ALVE insertions</w:t>
      </w:r>
      <w:r w:rsidR="007C1E5F">
        <w:t xml:space="preserve"> were identified</w:t>
      </w:r>
      <w:r>
        <w:t xml:space="preserve">, tripling the existing numbers in the literature. </w:t>
      </w:r>
      <w:r w:rsidR="00C50CB7">
        <w:t>Ho</w:t>
      </w:r>
      <w:r w:rsidR="00A2735D">
        <w:t>wever, the development of the</w:t>
      </w:r>
      <w:r w:rsidR="00C50CB7">
        <w:t xml:space="preserve"> ALVE identification pipeline (Chapter 6) en</w:t>
      </w:r>
      <w:r w:rsidR="00083395">
        <w:t>ables analysis of any existing W</w:t>
      </w:r>
      <w:r w:rsidR="00C50CB7">
        <w:t>GS dataset. Whilst commercial br</w:t>
      </w:r>
      <w:r w:rsidR="00083395">
        <w:t>oiler data remain unavailable, W</w:t>
      </w:r>
      <w:r w:rsidR="00C50CB7">
        <w:t>GS data for experimental lines, heritage broilers, broiler crosses, ‘wild’ chickens and RJF individuals is publicly available in short read archives, or has been kind</w:t>
      </w:r>
      <w:r w:rsidR="009255E3">
        <w:t>ly shared by collaborators. The analysis of these datasets, presented below, has</w:t>
      </w:r>
      <w:r w:rsidR="00C50CB7">
        <w:t xml:space="preserve"> enable</w:t>
      </w:r>
      <w:r w:rsidR="009255E3">
        <w:t>d</w:t>
      </w:r>
      <w:r w:rsidR="00C50CB7">
        <w:t xml:space="preserve"> a much more thorough characterisation of ALVE diversity across chickens</w:t>
      </w:r>
      <w:r w:rsidR="00242830">
        <w:t>, without any further targeted sequencing.</w:t>
      </w:r>
    </w:p>
    <w:p w14:paraId="198579A5" w14:textId="2240BA9C" w:rsidR="00D4225A" w:rsidRDefault="00D4225A" w:rsidP="00391005">
      <w:pPr>
        <w:pStyle w:val="ListParagraph"/>
      </w:pPr>
    </w:p>
    <w:p w14:paraId="30985EBF" w14:textId="0F0A2CDF" w:rsidR="00D4225A" w:rsidRDefault="00D4225A" w:rsidP="00D4225A">
      <w:pPr>
        <w:pStyle w:val="Heading2"/>
      </w:pPr>
      <w:bookmarkStart w:id="570" w:name="_Toc485721666"/>
      <w:bookmarkStart w:id="571" w:name="_Toc486787246"/>
      <w:bookmarkStart w:id="572" w:name="_Toc486787394"/>
      <w:r>
        <w:t>Research Aims</w:t>
      </w:r>
      <w:bookmarkEnd w:id="570"/>
      <w:bookmarkEnd w:id="571"/>
      <w:bookmarkEnd w:id="572"/>
    </w:p>
    <w:p w14:paraId="626C7BF9" w14:textId="5C2DF23B" w:rsidR="002167F1" w:rsidRDefault="00A2735D" w:rsidP="00391005">
      <w:pPr>
        <w:pStyle w:val="ListParagraph"/>
      </w:pPr>
      <w:r>
        <w:t xml:space="preserve">This </w:t>
      </w:r>
      <w:r w:rsidR="00C428A2">
        <w:t>chapter cover</w:t>
      </w:r>
      <w:r w:rsidR="00B008C4">
        <w:t>s</w:t>
      </w:r>
      <w:r w:rsidR="00C428A2">
        <w:t xml:space="preserve"> three major research aims. Firstly, the expansion of the ALVE identification pipelin</w:t>
      </w:r>
      <w:r w:rsidR="00B008C4">
        <w:t>e developed in Chapter 6 to</w:t>
      </w:r>
      <w:r w:rsidR="00C428A2">
        <w:t xml:space="preserve"> identify ALVE insertions in </w:t>
      </w:r>
      <w:r>
        <w:t xml:space="preserve">publicly available </w:t>
      </w:r>
      <w:r w:rsidR="00083395">
        <w:t>single end W</w:t>
      </w:r>
      <w:r w:rsidR="00C428A2">
        <w:t>GS data</w:t>
      </w:r>
      <w:r w:rsidR="00B008C4">
        <w:t xml:space="preserve">. Secondly, </w:t>
      </w:r>
      <w:r w:rsidR="00083395">
        <w:t>the identification of ALVEs in W</w:t>
      </w:r>
      <w:r w:rsidR="00B008C4">
        <w:t xml:space="preserve">GS data from a wide range of chicken lines, including layers, broilers, ‘wild’ non-commercial birds, and RJF datasets, to identify trends in ALVE distribution and determine how artificial selection has affected ALVE diversity and abundance in commercial lines. Finally, </w:t>
      </w:r>
      <w:r w:rsidR="009255E3">
        <w:t>an assessment of a phylogeny generated by using ALVEs as genetic markers.</w:t>
      </w:r>
    </w:p>
    <w:p w14:paraId="76DCD7A5" w14:textId="1185B825" w:rsidR="00D4225A" w:rsidRDefault="00D4225A" w:rsidP="00D4225A">
      <w:pPr>
        <w:pStyle w:val="Heading2"/>
      </w:pPr>
      <w:bookmarkStart w:id="573" w:name="_Toc485721667"/>
      <w:bookmarkStart w:id="574" w:name="_Toc486787247"/>
      <w:bookmarkStart w:id="575" w:name="_Toc486787395"/>
      <w:r>
        <w:lastRenderedPageBreak/>
        <w:t>AL</w:t>
      </w:r>
      <w:bookmarkEnd w:id="573"/>
      <w:r w:rsidR="000C3542">
        <w:t>VE identification pipe</w:t>
      </w:r>
      <w:r w:rsidR="00083395">
        <w:t>line adaptation for single end W</w:t>
      </w:r>
      <w:r w:rsidR="000C3542">
        <w:t>GS data</w:t>
      </w:r>
      <w:bookmarkEnd w:id="574"/>
      <w:bookmarkEnd w:id="575"/>
    </w:p>
    <w:p w14:paraId="1149CD21" w14:textId="2E730106" w:rsidR="00D4225A" w:rsidRDefault="00CD2495" w:rsidP="00274593">
      <w:pPr>
        <w:pStyle w:val="Heading3"/>
      </w:pPr>
      <w:bookmarkStart w:id="576" w:name="_Toc485721668"/>
      <w:bookmarkStart w:id="577" w:name="_Toc486787248"/>
      <w:bookmarkStart w:id="578" w:name="_Toc486787396"/>
      <w:r>
        <w:t>New pipeline scripts for use with single end data</w:t>
      </w:r>
      <w:bookmarkEnd w:id="576"/>
      <w:bookmarkEnd w:id="577"/>
      <w:bookmarkEnd w:id="578"/>
    </w:p>
    <w:p w14:paraId="574F2BF3" w14:textId="28309FB4" w:rsidR="00807AD4" w:rsidRDefault="00807AD4" w:rsidP="00391005">
      <w:pPr>
        <w:pStyle w:val="ListParagraph"/>
      </w:pPr>
      <w:r>
        <w:t>The majority of changes required to make the ALVE identification pipeline applicable for use with single end sequencing data wer</w:t>
      </w:r>
      <w:r w:rsidR="002A73FA">
        <w:t>e simply alterations to script input/output: to expect a single FASTQ file rather than two. The only change made to the parameters was to reduce the minimum region length required for an insert to be identified from 200</w:t>
      </w:r>
      <w:r w:rsidR="00A709BB">
        <w:t xml:space="preserve"> </w:t>
      </w:r>
      <w:r w:rsidR="002A73FA">
        <w:t>bp in the paired end data to 80</w:t>
      </w:r>
      <w:r w:rsidR="00A709BB">
        <w:t xml:space="preserve"> </w:t>
      </w:r>
      <w:r w:rsidR="002A73FA">
        <w:t xml:space="preserve">bp with single end data. This reduction accounts for the fact that single end data will have no read mates to increase the area of interest around the ALVE hexamer. As significant pseudochromosome mapping </w:t>
      </w:r>
      <w:r w:rsidR="000C3542">
        <w:t xml:space="preserve">will not occur with </w:t>
      </w:r>
      <w:r w:rsidR="002A73FA">
        <w:t>less than 20</w:t>
      </w:r>
      <w:r w:rsidR="00A709BB">
        <w:t xml:space="preserve"> </w:t>
      </w:r>
      <w:r w:rsidR="002A73FA">
        <w:t>bp of ALVE homologous sequence, some sites could be represented by just 80</w:t>
      </w:r>
      <w:r w:rsidR="00A709BB">
        <w:t xml:space="preserve"> </w:t>
      </w:r>
      <w:r w:rsidR="002A73FA">
        <w:t>bp of reference genome mapped sequence.</w:t>
      </w:r>
    </w:p>
    <w:p w14:paraId="205FB9E8" w14:textId="07637027" w:rsidR="001615B7" w:rsidRDefault="002A73FA" w:rsidP="00391005">
      <w:pPr>
        <w:pStyle w:val="ListParagraph"/>
      </w:pPr>
      <w:r>
        <w:t>For user ease, separate scripts were created for use with single end data</w:t>
      </w:r>
      <w:r w:rsidR="00CE6533">
        <w:t xml:space="preserve"> (</w:t>
      </w:r>
      <w:r w:rsidR="00CE6533">
        <w:fldChar w:fldCharType="begin" w:fldLock="1"/>
      </w:r>
      <w:r w:rsidR="00CE6533">
        <w:instrText xml:space="preserve"> REF _Ref479835924 \h </w:instrText>
      </w:r>
      <w:r w:rsidR="00CE6533">
        <w:fldChar w:fldCharType="separate"/>
      </w:r>
      <w:r w:rsidR="002C549C">
        <w:t xml:space="preserve">Table </w:t>
      </w:r>
      <w:r w:rsidR="002C549C">
        <w:rPr>
          <w:noProof/>
        </w:rPr>
        <w:t>7</w:t>
      </w:r>
      <w:r w:rsidR="002C549C">
        <w:t>.</w:t>
      </w:r>
      <w:r w:rsidR="002C549C">
        <w:rPr>
          <w:noProof/>
        </w:rPr>
        <w:t>1</w:t>
      </w:r>
      <w:r w:rsidR="00CE6533">
        <w:fldChar w:fldCharType="end"/>
      </w:r>
      <w:r w:rsidR="00CE6533">
        <w:t>;</w:t>
      </w:r>
      <w:r w:rsidR="00982F0D">
        <w:t xml:space="preserve"> Appendix 1</w:t>
      </w:r>
      <w:r w:rsidR="00CE6533">
        <w:t>)</w:t>
      </w:r>
      <w:r>
        <w:t>. However, as already stated, and explained be</w:t>
      </w:r>
      <w:r w:rsidR="00CE6533">
        <w:t xml:space="preserve">low, the changes were minor and </w:t>
      </w:r>
      <w:r w:rsidR="00CE6533">
        <w:fldChar w:fldCharType="begin" w:fldLock="1"/>
      </w:r>
      <w:r w:rsidR="00CE6533">
        <w:instrText xml:space="preserve"> REF _Ref479836018 \h </w:instrText>
      </w:r>
      <w:r w:rsidR="00CE6533">
        <w:fldChar w:fldCharType="separate"/>
      </w:r>
      <w:r w:rsidR="002C549C">
        <w:t xml:space="preserve">Figure </w:t>
      </w:r>
      <w:r w:rsidR="002C549C">
        <w:rPr>
          <w:noProof/>
        </w:rPr>
        <w:t>7</w:t>
      </w:r>
      <w:r w:rsidR="002C549C">
        <w:t>.</w:t>
      </w:r>
      <w:r w:rsidR="002C549C">
        <w:rPr>
          <w:noProof/>
        </w:rPr>
        <w:t>1</w:t>
      </w:r>
      <w:r w:rsidR="00CE6533">
        <w:fldChar w:fldCharType="end"/>
      </w:r>
      <w:r w:rsidR="00CE6533">
        <w:t xml:space="preserve"> shows how parallel the </w:t>
      </w:r>
      <w:r>
        <w:t xml:space="preserve">pipelines remain. se_S1_run_bwa_alignment.sh replaced both </w:t>
      </w:r>
      <w:r w:rsidR="00905BD5">
        <w:t xml:space="preserve">S3_run_bwa_alignment.sh and S5_run_bwa_alignment.sh </w:t>
      </w:r>
      <w:r w:rsidR="0008661C">
        <w:t xml:space="preserve">and </w:t>
      </w:r>
      <w:r w:rsidR="009255E3">
        <w:t xml:space="preserve">was </w:t>
      </w:r>
      <w:r w:rsidR="0008661C">
        <w:t>altered</w:t>
      </w:r>
      <w:r>
        <w:t xml:space="preserve"> </w:t>
      </w:r>
      <w:r w:rsidR="005B7F58">
        <w:t>so that the BWA mapping only accep</w:t>
      </w:r>
      <w:r w:rsidR="0008661C">
        <w:t>ted one FASTQ file. This changed</w:t>
      </w:r>
      <w:r w:rsidR="009255E3">
        <w:t xml:space="preserve"> the user</w:t>
      </w:r>
      <w:r w:rsidR="005B7F58">
        <w:t xml:space="preserve"> specification (lines 2 and 6), how the output file prefixes are generated (line 11) and the BWA mem command (line 13). </w:t>
      </w:r>
      <w:r w:rsidR="00905BD5">
        <w:t>se_S2_</w:t>
      </w:r>
      <w:r w:rsidR="00CE6533">
        <w:t>extract_ref_seq_mapped_reads.sh</w:t>
      </w:r>
      <w:r w:rsidR="005B7F58">
        <w:t xml:space="preserve"> replaced</w:t>
      </w:r>
      <w:r w:rsidR="00905BD5">
        <w:t xml:space="preserve"> S4_</w:t>
      </w:r>
      <w:r w:rsidR="00A16159">
        <w:t>extract_ref_seq_mapped_reads.sh</w:t>
      </w:r>
      <w:r w:rsidR="005B7F58">
        <w:t xml:space="preserve"> with the only alteration </w:t>
      </w:r>
      <w:r w:rsidR="00410B00">
        <w:t>made t</w:t>
      </w:r>
      <w:r w:rsidR="005B7F58">
        <w:t>o output a single FASTQ file following read subtraction</w:t>
      </w:r>
      <w:r w:rsidR="00410B00">
        <w:t xml:space="preserve"> (line 30).</w:t>
      </w:r>
      <w:r w:rsidR="005B7F58">
        <w:t xml:space="preserve"> </w:t>
      </w:r>
      <w:r w:rsidR="00A16159">
        <w:t>se_S3_ex</w:t>
      </w:r>
      <w:r w:rsidR="00CE6533">
        <w:t>tract_putative_sites.py</w:t>
      </w:r>
      <w:r w:rsidR="005B7F58">
        <w:t xml:space="preserve"> replaced</w:t>
      </w:r>
      <w:r w:rsidR="00A16159">
        <w:t xml:space="preserve"> S6_extract_putative_sites.py </w:t>
      </w:r>
      <w:r w:rsidR="005B7F58">
        <w:t>and included the reduction of minimum required region length to 80bp (line 28).</w:t>
      </w:r>
      <w:r w:rsidR="001615B7">
        <w:t xml:space="preserve"> All additional scripts are on the CD accompanying this thesis (Appendix 1) and in the GitHub ALVE identification pipeline repository: </w:t>
      </w:r>
      <w:r w:rsidR="000C3542" w:rsidRPr="000C3542">
        <w:t>https://github.com/andrewstephenmason/ALVE_ID_pipeline</w:t>
      </w:r>
      <w:r w:rsidR="001615B7">
        <w:t>.</w:t>
      </w:r>
    </w:p>
    <w:p w14:paraId="6B304318" w14:textId="77777777" w:rsidR="000C3542" w:rsidRPr="000C3542" w:rsidRDefault="000C3542" w:rsidP="00391005">
      <w:pPr>
        <w:pStyle w:val="ListParagraph"/>
        <w:rPr>
          <w:sz w:val="8"/>
        </w:rPr>
      </w:pPr>
    </w:p>
    <w:p w14:paraId="63BCC7A0" w14:textId="5FA1DBEA" w:rsidR="00905BD5" w:rsidRDefault="00CE6533" w:rsidP="000C3542">
      <w:pPr>
        <w:pStyle w:val="Caption"/>
        <w:spacing w:before="0"/>
      </w:pPr>
      <w:bookmarkStart w:id="579" w:name="_Ref479835924"/>
      <w:bookmarkStart w:id="580" w:name="_Toc486786336"/>
      <w:r>
        <w:t xml:space="preserve">Table </w:t>
      </w:r>
      <w:fldSimple w:instr=" STYLEREF 1 \s " w:fldLock="1">
        <w:r w:rsidR="002C549C">
          <w:rPr>
            <w:noProof/>
          </w:rPr>
          <w:t>7</w:t>
        </w:r>
      </w:fldSimple>
      <w:r w:rsidR="001167C6">
        <w:t>.</w:t>
      </w:r>
      <w:fldSimple w:instr=" SEQ Table \* ARABIC \s 1 " w:fldLock="1">
        <w:r w:rsidR="002C549C">
          <w:rPr>
            <w:noProof/>
          </w:rPr>
          <w:t>1</w:t>
        </w:r>
      </w:fldSimple>
      <w:bookmarkEnd w:id="579"/>
      <w:r>
        <w:t xml:space="preserve"> </w:t>
      </w:r>
      <w:r w:rsidR="00B23B8A">
        <w:t>ALVE identification pipeline s</w:t>
      </w:r>
      <w:r w:rsidR="005655E9">
        <w:t>cripts for use with single end W</w:t>
      </w:r>
      <w:r w:rsidR="00B23B8A">
        <w:t>GS data</w:t>
      </w:r>
      <w:r w:rsidR="000C3542">
        <w:t>.</w:t>
      </w:r>
      <w:bookmarkEnd w:id="580"/>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969"/>
      </w:tblGrid>
      <w:tr w:rsidR="00B23B8A" w14:paraId="217632FC" w14:textId="77777777" w:rsidTr="00B23B8A">
        <w:tc>
          <w:tcPr>
            <w:tcW w:w="4253" w:type="dxa"/>
            <w:tcBorders>
              <w:top w:val="single" w:sz="4" w:space="0" w:color="auto"/>
              <w:bottom w:val="single" w:sz="4" w:space="0" w:color="auto"/>
            </w:tcBorders>
            <w:vAlign w:val="center"/>
          </w:tcPr>
          <w:p w14:paraId="2DB7B5BC" w14:textId="77777777" w:rsidR="00B23B8A" w:rsidRDefault="00B23B8A" w:rsidP="00C65455">
            <w:pPr>
              <w:pStyle w:val="Tablecontent"/>
            </w:pPr>
            <w:r>
              <w:t>Script name</w:t>
            </w:r>
          </w:p>
        </w:tc>
        <w:tc>
          <w:tcPr>
            <w:tcW w:w="3969" w:type="dxa"/>
            <w:tcBorders>
              <w:top w:val="single" w:sz="4" w:space="0" w:color="auto"/>
              <w:bottom w:val="single" w:sz="4" w:space="0" w:color="auto"/>
            </w:tcBorders>
            <w:vAlign w:val="center"/>
          </w:tcPr>
          <w:p w14:paraId="7BC3CC01" w14:textId="77777777" w:rsidR="00B23B8A" w:rsidRDefault="00B23B8A" w:rsidP="00C65455">
            <w:pPr>
              <w:pStyle w:val="Tablecontent"/>
            </w:pPr>
            <w:r>
              <w:t>Functionality</w:t>
            </w:r>
          </w:p>
        </w:tc>
      </w:tr>
      <w:tr w:rsidR="00B23B8A" w14:paraId="4B461026" w14:textId="77777777" w:rsidTr="00B23B8A">
        <w:tc>
          <w:tcPr>
            <w:tcW w:w="4253" w:type="dxa"/>
            <w:tcBorders>
              <w:top w:val="single" w:sz="4" w:space="0" w:color="auto"/>
            </w:tcBorders>
          </w:tcPr>
          <w:p w14:paraId="4E8EA152" w14:textId="6F4D0D9A" w:rsidR="00B23B8A" w:rsidRDefault="00B23B8A" w:rsidP="00C65455">
            <w:pPr>
              <w:pStyle w:val="Tablecontent"/>
            </w:pPr>
            <w:r>
              <w:t>se_S1_run_bwa_alignment.sh</w:t>
            </w:r>
          </w:p>
        </w:tc>
        <w:tc>
          <w:tcPr>
            <w:tcW w:w="3969" w:type="dxa"/>
            <w:tcBorders>
              <w:top w:val="single" w:sz="4" w:space="0" w:color="auto"/>
            </w:tcBorders>
          </w:tcPr>
          <w:p w14:paraId="50CFB455" w14:textId="0F95A0F0" w:rsidR="00B23B8A" w:rsidRDefault="004727BF" w:rsidP="00C65455">
            <w:pPr>
              <w:pStyle w:val="Tablecontent"/>
            </w:pPr>
            <w:r>
              <w:t>Maps sequencing reads to i) the pseudochromosome and ii) the genome</w:t>
            </w:r>
          </w:p>
        </w:tc>
      </w:tr>
      <w:tr w:rsidR="00B23B8A" w14:paraId="6F547B2F" w14:textId="77777777" w:rsidTr="00B23B8A">
        <w:tc>
          <w:tcPr>
            <w:tcW w:w="4253" w:type="dxa"/>
          </w:tcPr>
          <w:p w14:paraId="59E65187" w14:textId="024B61A4" w:rsidR="00B23B8A" w:rsidRDefault="00B23B8A" w:rsidP="00C65455">
            <w:pPr>
              <w:pStyle w:val="Tablecontent"/>
            </w:pPr>
            <w:r>
              <w:t>se_S2_extract_ref_seq_mapped_reads.sh</w:t>
            </w:r>
          </w:p>
        </w:tc>
        <w:tc>
          <w:tcPr>
            <w:tcW w:w="3969" w:type="dxa"/>
          </w:tcPr>
          <w:p w14:paraId="73D28C12" w14:textId="59CB0B67" w:rsidR="00B23B8A" w:rsidRDefault="004727BF" w:rsidP="00C65455">
            <w:pPr>
              <w:pStyle w:val="Tablecontent"/>
            </w:pPr>
            <w:r>
              <w:t>Extracts viral mapped reads</w:t>
            </w:r>
          </w:p>
        </w:tc>
      </w:tr>
      <w:tr w:rsidR="00B23B8A" w14:paraId="2FB1A712" w14:textId="77777777" w:rsidTr="00B23B8A">
        <w:tc>
          <w:tcPr>
            <w:tcW w:w="4253" w:type="dxa"/>
            <w:tcBorders>
              <w:bottom w:val="single" w:sz="4" w:space="0" w:color="auto"/>
            </w:tcBorders>
          </w:tcPr>
          <w:p w14:paraId="3D578C5D" w14:textId="12A77282" w:rsidR="00B23B8A" w:rsidRDefault="00B23B8A" w:rsidP="00C65455">
            <w:pPr>
              <w:pStyle w:val="Tablecontent"/>
            </w:pPr>
            <w:r>
              <w:t>se_S3_extract_putative_sites.py</w:t>
            </w:r>
          </w:p>
        </w:tc>
        <w:tc>
          <w:tcPr>
            <w:tcW w:w="3969" w:type="dxa"/>
            <w:tcBorders>
              <w:bottom w:val="single" w:sz="4" w:space="0" w:color="auto"/>
            </w:tcBorders>
          </w:tcPr>
          <w:p w14:paraId="62B0B236" w14:textId="17CC20A8" w:rsidR="00B23B8A" w:rsidRDefault="004727BF" w:rsidP="00C65455">
            <w:pPr>
              <w:pStyle w:val="Tablecontent"/>
            </w:pPr>
            <w:r>
              <w:t>Identifies putative insertion sites</w:t>
            </w:r>
          </w:p>
        </w:tc>
      </w:tr>
    </w:tbl>
    <w:p w14:paraId="5AF4844D" w14:textId="02635E7D" w:rsidR="00CE6533" w:rsidRDefault="00A647FE" w:rsidP="000C3542">
      <w:pPr>
        <w:pStyle w:val="ListParagraph"/>
        <w:jc w:val="center"/>
      </w:pPr>
      <w:r>
        <w:rPr>
          <w:noProof/>
          <w:lang w:eastAsia="en-GB"/>
        </w:rPr>
        <w:lastRenderedPageBreak/>
        <w:drawing>
          <wp:inline distT="0" distB="0" distL="0" distR="0" wp14:anchorId="5C47F295" wp14:editId="1095B905">
            <wp:extent cx="4171950" cy="279701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a:extLst>
                        <a:ext uri="{28A0092B-C50C-407E-A947-70E740481C1C}">
                          <a14:useLocalDpi xmlns:a14="http://schemas.microsoft.com/office/drawing/2010/main" val="0"/>
                        </a:ext>
                      </a:extLst>
                    </a:blip>
                    <a:srcRect l="1441" t="2146" r="2877" b="2430"/>
                    <a:stretch/>
                  </pic:blipFill>
                  <pic:spPr bwMode="auto">
                    <a:xfrm>
                      <a:off x="0" y="0"/>
                      <a:ext cx="4198815" cy="2815025"/>
                    </a:xfrm>
                    <a:prstGeom prst="rect">
                      <a:avLst/>
                    </a:prstGeom>
                    <a:noFill/>
                    <a:ln>
                      <a:noFill/>
                    </a:ln>
                    <a:extLst>
                      <a:ext uri="{53640926-AAD7-44D8-BBD7-CCE9431645EC}">
                        <a14:shadowObscured xmlns:a14="http://schemas.microsoft.com/office/drawing/2010/main"/>
                      </a:ext>
                    </a:extLst>
                  </pic:spPr>
                </pic:pic>
              </a:graphicData>
            </a:graphic>
          </wp:inline>
        </w:drawing>
      </w:r>
    </w:p>
    <w:p w14:paraId="791D6789" w14:textId="038B8152" w:rsidR="00CE6533" w:rsidRDefault="00CE6533" w:rsidP="00410B00">
      <w:pPr>
        <w:pStyle w:val="Figure"/>
      </w:pPr>
      <w:bookmarkStart w:id="581" w:name="_Ref479836018"/>
      <w:bookmarkStart w:id="582" w:name="_Toc486785471"/>
      <w:r>
        <w:t xml:space="preserve">Figure </w:t>
      </w:r>
      <w:fldSimple w:instr=" STYLEREF 1 \s " w:fldLock="1">
        <w:r w:rsidR="002C549C">
          <w:rPr>
            <w:noProof/>
          </w:rPr>
          <w:t>7</w:t>
        </w:r>
      </w:fldSimple>
      <w:r w:rsidR="001167C6">
        <w:t>.</w:t>
      </w:r>
      <w:fldSimple w:instr=" SEQ Figure \* ARABIC \s 1 " w:fldLock="1">
        <w:r w:rsidR="002C549C">
          <w:rPr>
            <w:noProof/>
          </w:rPr>
          <w:t>1</w:t>
        </w:r>
      </w:fldSimple>
      <w:bookmarkEnd w:id="581"/>
      <w:r>
        <w:t xml:space="preserve"> </w:t>
      </w:r>
      <w:r w:rsidR="004727BF">
        <w:t>ALVE identification pipeline workflow showing how the single end</w:t>
      </w:r>
      <w:r w:rsidR="005F4B73">
        <w:t xml:space="preserve"> (se)</w:t>
      </w:r>
      <w:r w:rsidR="005655E9">
        <w:t xml:space="preserve"> W</w:t>
      </w:r>
      <w:r w:rsidR="004727BF">
        <w:t xml:space="preserve">GS data scripts fit. The schematic is based on </w:t>
      </w:r>
      <w:r w:rsidR="004727BF" w:rsidRPr="004727BF">
        <w:fldChar w:fldCharType="begin" w:fldLock="1"/>
      </w:r>
      <w:r w:rsidR="004727BF" w:rsidRPr="004727BF">
        <w:instrText xml:space="preserve"> REF _Ref478655674 \h  \* MERGEFORMAT </w:instrText>
      </w:r>
      <w:r w:rsidR="004727BF" w:rsidRPr="004727BF">
        <w:fldChar w:fldCharType="separate"/>
      </w:r>
      <w:r w:rsidR="002C549C" w:rsidRPr="00DD4AF3">
        <w:t xml:space="preserve">Figure </w:t>
      </w:r>
      <w:r w:rsidR="002C549C">
        <w:rPr>
          <w:noProof/>
        </w:rPr>
        <w:t>6</w:t>
      </w:r>
      <w:r w:rsidR="002C549C" w:rsidRPr="00DD4AF3">
        <w:rPr>
          <w:noProof/>
        </w:rPr>
        <w:t>.</w:t>
      </w:r>
      <w:r w:rsidR="002C549C">
        <w:rPr>
          <w:noProof/>
        </w:rPr>
        <w:t>1</w:t>
      </w:r>
      <w:r w:rsidR="004727BF" w:rsidRPr="004727BF">
        <w:fldChar w:fldCharType="end"/>
      </w:r>
      <w:r w:rsidR="004727BF">
        <w:t xml:space="preserve"> using script abbreviations from Tables </w:t>
      </w:r>
      <w:r w:rsidR="005F4B73">
        <w:t xml:space="preserve">6.1 </w:t>
      </w:r>
      <w:r w:rsidR="004727BF">
        <w:t>and</w:t>
      </w:r>
      <w:r w:rsidR="005F4B73">
        <w:t xml:space="preserve"> 7.1</w:t>
      </w:r>
      <w:r w:rsidR="004727BF">
        <w:t xml:space="preserve">. </w:t>
      </w:r>
      <w:r w:rsidR="00A647FE">
        <w:t>Scripts S1, S2 a</w:t>
      </w:r>
      <w:r w:rsidR="005F4B73">
        <w:t>nd S7</w:t>
      </w:r>
      <w:r w:rsidR="00A647FE">
        <w:t xml:space="preserve"> remain the same.</w:t>
      </w:r>
      <w:bookmarkEnd w:id="582"/>
    </w:p>
    <w:p w14:paraId="5C43306C" w14:textId="77777777" w:rsidR="002167F1" w:rsidRDefault="00274593" w:rsidP="00274593">
      <w:pPr>
        <w:pStyle w:val="Heading3"/>
      </w:pPr>
      <w:bookmarkStart w:id="583" w:name="_Ref480792034"/>
      <w:bookmarkStart w:id="584" w:name="_Toc485721669"/>
      <w:bookmarkStart w:id="585" w:name="_Toc486787249"/>
      <w:bookmarkStart w:id="586" w:name="_Toc486787397"/>
      <w:r>
        <w:t>Assessing pipeline sensitivity using pseudo single end FASTQ files derived from the Hy-Line and J-Line paired end sequencing data</w:t>
      </w:r>
      <w:bookmarkEnd w:id="583"/>
      <w:bookmarkEnd w:id="584"/>
      <w:bookmarkEnd w:id="585"/>
      <w:bookmarkEnd w:id="586"/>
    </w:p>
    <w:p w14:paraId="18A57D46" w14:textId="77777777" w:rsidR="00274593" w:rsidRDefault="00274593" w:rsidP="00274593">
      <w:pPr>
        <w:pStyle w:val="Heading4"/>
      </w:pPr>
      <w:r>
        <w:t>Impact of single end reads on read mapping and overall coverage</w:t>
      </w:r>
    </w:p>
    <w:p w14:paraId="1FC39856" w14:textId="247B37FC" w:rsidR="00274593" w:rsidRDefault="00274593" w:rsidP="00391005">
      <w:pPr>
        <w:pStyle w:val="ListParagraph"/>
      </w:pPr>
      <w:r>
        <w:t>BAM files produced by mapping the pseudo single end FASTQ files to the reference genome had a significantly greater genome-wide average coverage than those generated from the original pai</w:t>
      </w:r>
      <w:r w:rsidR="009C676D">
        <w:t>red end FASTQ files for both the Hy-Line (repeated measures ‘t’ test; t</w:t>
      </w:r>
      <w:r w:rsidR="009255E3">
        <w:t xml:space="preserve"> </w:t>
      </w:r>
      <w:r w:rsidR="009C676D">
        <w:t>=</w:t>
      </w:r>
      <w:r w:rsidR="009255E3">
        <w:t xml:space="preserve"> </w:t>
      </w:r>
      <w:r w:rsidR="009C676D">
        <w:t>5.88; P</w:t>
      </w:r>
      <w:r w:rsidR="009255E3">
        <w:t xml:space="preserve"> </w:t>
      </w:r>
      <w:r w:rsidR="009C676D">
        <w:t>=</w:t>
      </w:r>
      <w:r w:rsidR="009255E3">
        <w:t xml:space="preserve"> </w:t>
      </w:r>
      <w:r w:rsidR="009C676D">
        <w:t>6.14x10</w:t>
      </w:r>
      <w:r w:rsidR="009C676D">
        <w:rPr>
          <w:vertAlign w:val="superscript"/>
        </w:rPr>
        <w:t>-4</w:t>
      </w:r>
      <w:r w:rsidR="009C676D">
        <w:t>) and J-Line (repeated measures ‘t’ test; t</w:t>
      </w:r>
      <w:r w:rsidR="009255E3">
        <w:t xml:space="preserve"> </w:t>
      </w:r>
      <w:r w:rsidR="009C676D">
        <w:t>=</w:t>
      </w:r>
      <w:r w:rsidR="009255E3">
        <w:t xml:space="preserve"> </w:t>
      </w:r>
      <w:r w:rsidR="009C676D">
        <w:t>10.97; P</w:t>
      </w:r>
      <w:r w:rsidR="009255E3">
        <w:t xml:space="preserve"> </w:t>
      </w:r>
      <w:r w:rsidR="009C676D">
        <w:t>&lt;</w:t>
      </w:r>
      <w:r w:rsidR="009255E3">
        <w:t xml:space="preserve"> </w:t>
      </w:r>
      <w:r w:rsidR="009C676D">
        <w:t>1x10</w:t>
      </w:r>
      <w:r w:rsidR="009C676D">
        <w:rPr>
          <w:vertAlign w:val="superscript"/>
        </w:rPr>
        <w:t>-5</w:t>
      </w:r>
      <w:r w:rsidR="00241812">
        <w:t>) datasets</w:t>
      </w:r>
      <w:r>
        <w:t xml:space="preserve">. </w:t>
      </w:r>
      <w:r w:rsidR="009C676D">
        <w:t xml:space="preserve">Consequently, read coverage was deemed unlikely to cause any problems in the detection of ALVEs within the datasets.   </w:t>
      </w:r>
    </w:p>
    <w:p w14:paraId="2BBBD7EC" w14:textId="77777777" w:rsidR="00324821" w:rsidRDefault="00324821" w:rsidP="00391005">
      <w:pPr>
        <w:pStyle w:val="ListParagraph"/>
      </w:pPr>
    </w:p>
    <w:p w14:paraId="2DB7CDAC" w14:textId="77777777" w:rsidR="00274593" w:rsidRDefault="00274593" w:rsidP="00274593">
      <w:pPr>
        <w:pStyle w:val="Heading4"/>
      </w:pPr>
      <w:r>
        <w:t xml:space="preserve">Use of pseudo single end FASTQ files with the </w:t>
      </w:r>
      <w:r w:rsidR="00B61188">
        <w:t>Hy-Line and J-Line datasets</w:t>
      </w:r>
    </w:p>
    <w:p w14:paraId="48C49584" w14:textId="1BD41E3F" w:rsidR="00C65455" w:rsidRDefault="00387240" w:rsidP="00391005">
      <w:pPr>
        <w:pStyle w:val="ListParagraph"/>
      </w:pPr>
      <w:r>
        <w:t>Thirty-five</w:t>
      </w:r>
      <w:r w:rsidR="00CA7C97">
        <w:t xml:space="preserve"> instances of ALVEs were identified across the eight Hy-Line lines when the original paired end sequencing data was used in the identification pipeline. However, use of the pseudo singl</w:t>
      </w:r>
      <w:r>
        <w:t>e end FASTQ files missed fourteen of those instances (40</w:t>
      </w:r>
      <w:r w:rsidR="00A709BB">
        <w:t xml:space="preserve"> </w:t>
      </w:r>
      <w:r w:rsidR="00CA7C97">
        <w:t xml:space="preserve">%), with only lines </w:t>
      </w:r>
      <w:r w:rsidR="00A709BB">
        <w:t>WL</w:t>
      </w:r>
      <w:r w:rsidR="00CA7C97">
        <w:t xml:space="preserve">1 and </w:t>
      </w:r>
      <w:r w:rsidR="00A709BB">
        <w:t>WL</w:t>
      </w:r>
      <w:r w:rsidR="00CA7C97">
        <w:t>3 having all ALVEs identifi</w:t>
      </w:r>
      <w:r>
        <w:t>ed (</w:t>
      </w:r>
      <w:r w:rsidRPr="009255E3">
        <w:fldChar w:fldCharType="begin" w:fldLock="1"/>
      </w:r>
      <w:r w:rsidRPr="009255E3">
        <w:instrText xml:space="preserve"> REF _Ref480396937 \h </w:instrText>
      </w:r>
      <w:r w:rsidR="009255E3" w:rsidRPr="009255E3">
        <w:instrText xml:space="preserve"> \* MERGEFORMAT </w:instrText>
      </w:r>
      <w:r w:rsidRPr="009255E3">
        <w:fldChar w:fldCharType="separate"/>
      </w:r>
      <w:r w:rsidR="002C549C" w:rsidRPr="002C549C">
        <w:t xml:space="preserve">Table </w:t>
      </w:r>
      <w:r w:rsidR="002C549C" w:rsidRPr="002C549C">
        <w:rPr>
          <w:noProof/>
        </w:rPr>
        <w:t>7.2</w:t>
      </w:r>
      <w:r w:rsidRPr="009255E3">
        <w:fldChar w:fldCharType="end"/>
      </w:r>
      <w:r w:rsidR="00CA7C97">
        <w:t xml:space="preserve">). </w:t>
      </w:r>
    </w:p>
    <w:p w14:paraId="1C2D8E64" w14:textId="44DB6B60" w:rsidR="00C65455" w:rsidRDefault="00C65455" w:rsidP="00C65455">
      <w:pPr>
        <w:pStyle w:val="Caption"/>
      </w:pPr>
      <w:bookmarkStart w:id="587" w:name="_Ref480396937"/>
      <w:bookmarkStart w:id="588" w:name="_Toc486786337"/>
      <w:r w:rsidRPr="00F5693B">
        <w:lastRenderedPageBreak/>
        <w:t xml:space="preserve">Table </w:t>
      </w:r>
      <w:fldSimple w:instr=" STYLEREF 1 \s " w:fldLock="1">
        <w:r w:rsidR="002C549C" w:rsidRPr="00F5693B">
          <w:rPr>
            <w:noProof/>
          </w:rPr>
          <w:t>7</w:t>
        </w:r>
      </w:fldSimple>
      <w:r w:rsidR="001167C6" w:rsidRPr="00F5693B">
        <w:t>.</w:t>
      </w:r>
      <w:fldSimple w:instr=" SEQ Table \* ARABIC \s 1 " w:fldLock="1">
        <w:r w:rsidR="002C549C" w:rsidRPr="00F5693B">
          <w:rPr>
            <w:noProof/>
          </w:rPr>
          <w:t>2</w:t>
        </w:r>
      </w:fldSimple>
      <w:bookmarkEnd w:id="587"/>
      <w:r w:rsidR="00387240">
        <w:t xml:space="preserve"> Identified and ‘missed’ ALV</w:t>
      </w:r>
      <w:r w:rsidR="005655E9">
        <w:t>Es using the pseudo single end W</w:t>
      </w:r>
      <w:r w:rsidR="00387240">
        <w:t xml:space="preserve">GS data for each of the eight Hy-Line lines. </w:t>
      </w:r>
      <w:r w:rsidR="00784CCC">
        <w:t>The majority (21/35) of ALVE instances were identified, but eight of the individual ALVEs were missed completely.</w:t>
      </w:r>
      <w:bookmarkEnd w:id="588"/>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2835"/>
        <w:gridCol w:w="4536"/>
      </w:tblGrid>
      <w:tr w:rsidR="00C65455" w14:paraId="7D2045A7" w14:textId="1340F1C6" w:rsidTr="00387240">
        <w:tc>
          <w:tcPr>
            <w:tcW w:w="851" w:type="dxa"/>
            <w:tcBorders>
              <w:top w:val="single" w:sz="4" w:space="0" w:color="auto"/>
              <w:bottom w:val="single" w:sz="4" w:space="0" w:color="auto"/>
            </w:tcBorders>
            <w:vAlign w:val="center"/>
          </w:tcPr>
          <w:p w14:paraId="54480E25" w14:textId="44E98D96" w:rsidR="00C65455" w:rsidRDefault="00C65455" w:rsidP="00C65455">
            <w:pPr>
              <w:pStyle w:val="Tablecontent"/>
            </w:pPr>
            <w:r>
              <w:t>Line</w:t>
            </w:r>
          </w:p>
        </w:tc>
        <w:tc>
          <w:tcPr>
            <w:tcW w:w="2835" w:type="dxa"/>
            <w:tcBorders>
              <w:top w:val="single" w:sz="4" w:space="0" w:color="auto"/>
              <w:bottom w:val="single" w:sz="4" w:space="0" w:color="auto"/>
            </w:tcBorders>
            <w:vAlign w:val="center"/>
          </w:tcPr>
          <w:p w14:paraId="6B537E46" w14:textId="3729F594" w:rsidR="00C65455" w:rsidRDefault="00C65455" w:rsidP="00C65455">
            <w:pPr>
              <w:pStyle w:val="Tablecontent"/>
            </w:pPr>
            <w:r>
              <w:t>Identified ALVEs</w:t>
            </w:r>
          </w:p>
        </w:tc>
        <w:tc>
          <w:tcPr>
            <w:tcW w:w="4536" w:type="dxa"/>
            <w:tcBorders>
              <w:top w:val="single" w:sz="4" w:space="0" w:color="auto"/>
              <w:bottom w:val="single" w:sz="4" w:space="0" w:color="auto"/>
            </w:tcBorders>
          </w:tcPr>
          <w:p w14:paraId="3D87FB2B" w14:textId="6F1109DD" w:rsidR="00C65455" w:rsidRDefault="00C65455" w:rsidP="00C65455">
            <w:pPr>
              <w:pStyle w:val="Tablecontent"/>
            </w:pPr>
            <w:r>
              <w:t>Missed ALVEs</w:t>
            </w:r>
          </w:p>
        </w:tc>
      </w:tr>
      <w:tr w:rsidR="00C65455" w14:paraId="08C746E5" w14:textId="24BB69FA" w:rsidTr="00387240">
        <w:tc>
          <w:tcPr>
            <w:tcW w:w="851" w:type="dxa"/>
            <w:tcBorders>
              <w:top w:val="single" w:sz="4" w:space="0" w:color="auto"/>
            </w:tcBorders>
          </w:tcPr>
          <w:p w14:paraId="5A1D0C2E" w14:textId="2A388602" w:rsidR="00C65455" w:rsidRDefault="00C65455" w:rsidP="00C65455">
            <w:pPr>
              <w:pStyle w:val="Tablecontent"/>
            </w:pPr>
            <w:r>
              <w:t>WL1</w:t>
            </w:r>
          </w:p>
        </w:tc>
        <w:tc>
          <w:tcPr>
            <w:tcW w:w="2835" w:type="dxa"/>
            <w:tcBorders>
              <w:top w:val="single" w:sz="4" w:space="0" w:color="auto"/>
            </w:tcBorders>
          </w:tcPr>
          <w:p w14:paraId="27692BEF" w14:textId="4AF4BB56" w:rsidR="00C65455" w:rsidRDefault="00C65455" w:rsidP="00C65455">
            <w:pPr>
              <w:pStyle w:val="Tablecontent"/>
            </w:pPr>
            <w:r>
              <w:t>ALVE1, ALVE15</w:t>
            </w:r>
          </w:p>
        </w:tc>
        <w:tc>
          <w:tcPr>
            <w:tcW w:w="4536" w:type="dxa"/>
            <w:tcBorders>
              <w:top w:val="single" w:sz="4" w:space="0" w:color="auto"/>
            </w:tcBorders>
          </w:tcPr>
          <w:p w14:paraId="44DD6EFE" w14:textId="682AB54F" w:rsidR="00C65455" w:rsidRDefault="00387240" w:rsidP="00C65455">
            <w:pPr>
              <w:pStyle w:val="Tablecontent"/>
            </w:pPr>
            <w:r>
              <w:t>-</w:t>
            </w:r>
          </w:p>
        </w:tc>
      </w:tr>
      <w:tr w:rsidR="00C65455" w14:paraId="68B4E46A" w14:textId="7DF7D193" w:rsidTr="00387240">
        <w:tc>
          <w:tcPr>
            <w:tcW w:w="851" w:type="dxa"/>
          </w:tcPr>
          <w:p w14:paraId="5FF77537" w14:textId="296A8E8A" w:rsidR="00C65455" w:rsidRDefault="00C65455" w:rsidP="00C65455">
            <w:pPr>
              <w:pStyle w:val="Tablecontent"/>
            </w:pPr>
            <w:r>
              <w:t>WL2</w:t>
            </w:r>
          </w:p>
        </w:tc>
        <w:tc>
          <w:tcPr>
            <w:tcW w:w="2835" w:type="dxa"/>
          </w:tcPr>
          <w:p w14:paraId="33589766" w14:textId="269E1937" w:rsidR="00C65455" w:rsidRDefault="00C65455" w:rsidP="00C65455">
            <w:pPr>
              <w:pStyle w:val="Tablecontent"/>
            </w:pPr>
            <w:r>
              <w:t>ALVE1, ALVE3</w:t>
            </w:r>
          </w:p>
        </w:tc>
        <w:tc>
          <w:tcPr>
            <w:tcW w:w="4536" w:type="dxa"/>
          </w:tcPr>
          <w:p w14:paraId="272FE34C" w14:textId="72526273" w:rsidR="00C65455" w:rsidRDefault="00C65455" w:rsidP="00C65455">
            <w:pPr>
              <w:pStyle w:val="Tablecontent"/>
            </w:pPr>
            <w:r>
              <w:t>ALVE15</w:t>
            </w:r>
          </w:p>
        </w:tc>
      </w:tr>
      <w:tr w:rsidR="00C65455" w14:paraId="2A714C62" w14:textId="732FADDA" w:rsidTr="00387240">
        <w:tc>
          <w:tcPr>
            <w:tcW w:w="851" w:type="dxa"/>
          </w:tcPr>
          <w:p w14:paraId="01A44D51" w14:textId="434859A5" w:rsidR="00C65455" w:rsidRDefault="00C65455" w:rsidP="00C65455">
            <w:pPr>
              <w:pStyle w:val="Tablecontent"/>
            </w:pPr>
            <w:r>
              <w:t>WL3</w:t>
            </w:r>
          </w:p>
        </w:tc>
        <w:tc>
          <w:tcPr>
            <w:tcW w:w="2835" w:type="dxa"/>
          </w:tcPr>
          <w:p w14:paraId="1736C005" w14:textId="0525812D" w:rsidR="00C65455" w:rsidRDefault="00C65455" w:rsidP="00C65455">
            <w:pPr>
              <w:pStyle w:val="Tablecontent"/>
            </w:pPr>
            <w:r>
              <w:t>ALVE1, ALVE3, ALVE9</w:t>
            </w:r>
          </w:p>
        </w:tc>
        <w:tc>
          <w:tcPr>
            <w:tcW w:w="4536" w:type="dxa"/>
          </w:tcPr>
          <w:p w14:paraId="072D7CD5" w14:textId="776F256F" w:rsidR="00C65455" w:rsidRDefault="00387240" w:rsidP="00C65455">
            <w:pPr>
              <w:pStyle w:val="Tablecontent"/>
            </w:pPr>
            <w:r>
              <w:t>-</w:t>
            </w:r>
          </w:p>
        </w:tc>
      </w:tr>
      <w:tr w:rsidR="00C65455" w14:paraId="0CF844FC" w14:textId="771ABBEF" w:rsidTr="00387240">
        <w:tc>
          <w:tcPr>
            <w:tcW w:w="851" w:type="dxa"/>
          </w:tcPr>
          <w:p w14:paraId="456740D3" w14:textId="1755C314" w:rsidR="00C65455" w:rsidRDefault="00C65455" w:rsidP="00C65455">
            <w:pPr>
              <w:pStyle w:val="Tablecontent"/>
            </w:pPr>
            <w:r>
              <w:t>WL4</w:t>
            </w:r>
          </w:p>
        </w:tc>
        <w:tc>
          <w:tcPr>
            <w:tcW w:w="2835" w:type="dxa"/>
          </w:tcPr>
          <w:p w14:paraId="252EBC3D" w14:textId="14BB63D1" w:rsidR="00C65455" w:rsidRDefault="00C65455" w:rsidP="00C65455">
            <w:pPr>
              <w:pStyle w:val="Tablecontent"/>
            </w:pPr>
            <w:r>
              <w:t>ALVE1, ALVE3, ALVE21</w:t>
            </w:r>
          </w:p>
        </w:tc>
        <w:tc>
          <w:tcPr>
            <w:tcW w:w="4536" w:type="dxa"/>
          </w:tcPr>
          <w:p w14:paraId="57A8C7BE" w14:textId="09A45C17" w:rsidR="00C65455" w:rsidRDefault="00C65455" w:rsidP="00C65455">
            <w:pPr>
              <w:pStyle w:val="Tablecontent"/>
            </w:pPr>
            <w:r>
              <w:t>ALVE_ros008</w:t>
            </w:r>
          </w:p>
        </w:tc>
      </w:tr>
      <w:tr w:rsidR="00C65455" w14:paraId="6E415CF6" w14:textId="0103B10C" w:rsidTr="00387240">
        <w:tc>
          <w:tcPr>
            <w:tcW w:w="851" w:type="dxa"/>
          </w:tcPr>
          <w:p w14:paraId="3AC3F2D3" w14:textId="3A7C309C" w:rsidR="00C65455" w:rsidRDefault="00C65455" w:rsidP="00C65455">
            <w:pPr>
              <w:pStyle w:val="Tablecontent"/>
            </w:pPr>
            <w:r>
              <w:t>WL5</w:t>
            </w:r>
          </w:p>
        </w:tc>
        <w:tc>
          <w:tcPr>
            <w:tcW w:w="2835" w:type="dxa"/>
          </w:tcPr>
          <w:p w14:paraId="0A475981" w14:textId="4B202EB9" w:rsidR="00C65455" w:rsidRDefault="00C65455" w:rsidP="00C65455">
            <w:pPr>
              <w:pStyle w:val="Tablecontent"/>
            </w:pPr>
            <w:r>
              <w:t>ALVE1</w:t>
            </w:r>
          </w:p>
        </w:tc>
        <w:tc>
          <w:tcPr>
            <w:tcW w:w="4536" w:type="dxa"/>
          </w:tcPr>
          <w:p w14:paraId="05ABD7DA" w14:textId="511D0190" w:rsidR="00C65455" w:rsidRDefault="00C65455" w:rsidP="00C65455">
            <w:pPr>
              <w:pStyle w:val="Tablecontent"/>
            </w:pPr>
            <w:r>
              <w:t>ALVE15</w:t>
            </w:r>
          </w:p>
        </w:tc>
      </w:tr>
      <w:tr w:rsidR="00C65455" w14:paraId="4DBC0298" w14:textId="2C848C68" w:rsidTr="00387240">
        <w:tc>
          <w:tcPr>
            <w:tcW w:w="851" w:type="dxa"/>
          </w:tcPr>
          <w:p w14:paraId="46D50DAC" w14:textId="05C74376" w:rsidR="00C65455" w:rsidRDefault="00C65455" w:rsidP="00C65455">
            <w:pPr>
              <w:pStyle w:val="Tablecontent"/>
            </w:pPr>
            <w:r>
              <w:t>WPR1</w:t>
            </w:r>
          </w:p>
        </w:tc>
        <w:tc>
          <w:tcPr>
            <w:tcW w:w="2835" w:type="dxa"/>
          </w:tcPr>
          <w:p w14:paraId="767A5280" w14:textId="60155A5D" w:rsidR="00C65455" w:rsidRDefault="00C65455" w:rsidP="00C65455">
            <w:pPr>
              <w:pStyle w:val="Tablecontent"/>
            </w:pPr>
            <w:r>
              <w:t>ALVE-TYR, ALVE-NSAC1, ALVE-NSAC7</w:t>
            </w:r>
          </w:p>
        </w:tc>
        <w:tc>
          <w:tcPr>
            <w:tcW w:w="4536" w:type="dxa"/>
          </w:tcPr>
          <w:p w14:paraId="740B3852" w14:textId="5EB863F0" w:rsidR="00C65455" w:rsidRDefault="00387240" w:rsidP="00C65455">
            <w:pPr>
              <w:pStyle w:val="Tablecontent"/>
            </w:pPr>
            <w:r>
              <w:t>ALVE-NSAC3, ALVE21</w:t>
            </w:r>
          </w:p>
        </w:tc>
      </w:tr>
      <w:tr w:rsidR="00C65455" w14:paraId="6D342265" w14:textId="6D7C87BA" w:rsidTr="00387240">
        <w:tc>
          <w:tcPr>
            <w:tcW w:w="851" w:type="dxa"/>
          </w:tcPr>
          <w:p w14:paraId="1092B337" w14:textId="15CC663F" w:rsidR="00C65455" w:rsidRDefault="00C65455" w:rsidP="00C65455">
            <w:pPr>
              <w:pStyle w:val="Tablecontent"/>
            </w:pPr>
            <w:r>
              <w:t>WPR2</w:t>
            </w:r>
          </w:p>
        </w:tc>
        <w:tc>
          <w:tcPr>
            <w:tcW w:w="2835" w:type="dxa"/>
          </w:tcPr>
          <w:p w14:paraId="66F20198" w14:textId="788BB8FA" w:rsidR="00C65455" w:rsidRDefault="00C65455" w:rsidP="00C65455">
            <w:pPr>
              <w:pStyle w:val="Tablecontent"/>
            </w:pPr>
            <w:r>
              <w:t xml:space="preserve">ALVEB5, ALVE-TYR, </w:t>
            </w:r>
            <w:r w:rsidR="00387240">
              <w:t>ALVE21, ALVE-NSAC3, ALVE-NSAC7</w:t>
            </w:r>
            <w:r>
              <w:t xml:space="preserve"> </w:t>
            </w:r>
          </w:p>
        </w:tc>
        <w:tc>
          <w:tcPr>
            <w:tcW w:w="4536" w:type="dxa"/>
          </w:tcPr>
          <w:p w14:paraId="5D6FDC63" w14:textId="5480DE5E" w:rsidR="00C65455" w:rsidRDefault="00387240" w:rsidP="00C65455">
            <w:pPr>
              <w:pStyle w:val="Tablecontent"/>
            </w:pPr>
            <w:r>
              <w:t>ALVE_ros009</w:t>
            </w:r>
          </w:p>
        </w:tc>
      </w:tr>
      <w:tr w:rsidR="00C65455" w14:paraId="66759435" w14:textId="27669882" w:rsidTr="00387240">
        <w:tc>
          <w:tcPr>
            <w:tcW w:w="851" w:type="dxa"/>
            <w:tcBorders>
              <w:bottom w:val="single" w:sz="4" w:space="0" w:color="auto"/>
            </w:tcBorders>
          </w:tcPr>
          <w:p w14:paraId="7EABB7D5" w14:textId="567E168A" w:rsidR="00C65455" w:rsidRDefault="00C65455" w:rsidP="00C65455">
            <w:pPr>
              <w:pStyle w:val="Tablecontent"/>
            </w:pPr>
            <w:r>
              <w:t>RIR</w:t>
            </w:r>
          </w:p>
        </w:tc>
        <w:tc>
          <w:tcPr>
            <w:tcW w:w="2835" w:type="dxa"/>
            <w:tcBorders>
              <w:bottom w:val="single" w:sz="4" w:space="0" w:color="auto"/>
            </w:tcBorders>
          </w:tcPr>
          <w:p w14:paraId="1CB853DA" w14:textId="16EEE4A1" w:rsidR="00C65455" w:rsidRDefault="00C65455" w:rsidP="00C65455">
            <w:pPr>
              <w:pStyle w:val="Tablecontent"/>
            </w:pPr>
            <w:r>
              <w:t>ALVE_ros004, ALVE_ros010</w:t>
            </w:r>
          </w:p>
        </w:tc>
        <w:tc>
          <w:tcPr>
            <w:tcW w:w="4536" w:type="dxa"/>
            <w:tcBorders>
              <w:bottom w:val="single" w:sz="4" w:space="0" w:color="auto"/>
            </w:tcBorders>
          </w:tcPr>
          <w:p w14:paraId="25F58533" w14:textId="6B789144" w:rsidR="00C65455" w:rsidRDefault="00387240" w:rsidP="00C65455">
            <w:pPr>
              <w:pStyle w:val="Tablecontent"/>
            </w:pPr>
            <w:r>
              <w:t>ALVEB5, ALVE-NSAC1, ALVE_ros001, ALVE_ros002, ALVE_ros003, ALVE_ros005, ALVE_ros006, ALVE_ros007</w:t>
            </w:r>
          </w:p>
        </w:tc>
      </w:tr>
    </w:tbl>
    <w:p w14:paraId="5570BFCE" w14:textId="77777777" w:rsidR="00C65455" w:rsidRPr="00C65455" w:rsidRDefault="00C65455" w:rsidP="00391005">
      <w:pPr>
        <w:pStyle w:val="ListParagraph"/>
      </w:pPr>
    </w:p>
    <w:p w14:paraId="3A31E8E0" w14:textId="10054855" w:rsidR="00B61188" w:rsidRDefault="00A2735D" w:rsidP="00391005">
      <w:pPr>
        <w:pStyle w:val="ListParagraph"/>
      </w:pPr>
      <w:r>
        <w:t>Whereas</w:t>
      </w:r>
      <w:r w:rsidR="00CA7C97">
        <w:t xml:space="preserve"> </w:t>
      </w:r>
      <w:r w:rsidR="009255E3">
        <w:t>most</w:t>
      </w:r>
      <w:r w:rsidR="00CA7C97">
        <w:t xml:space="preserve"> ALVEs were identified, use of single end data clearly reduced the sensitivity of the identification pipeline. </w:t>
      </w:r>
      <w:r w:rsidR="007D147B">
        <w:t xml:space="preserve">For example, </w:t>
      </w:r>
      <w:r w:rsidR="00A709BB">
        <w:t>WPR1 had</w:t>
      </w:r>
      <w:r w:rsidR="007D147B">
        <w:t xml:space="preserve"> five identified ALVEs, three of which were identified (ALVE-TYR, ALVE-NSAC1, ALVE-NSAC7), and two were missed (ALVE-NSAC3, ALVE21). Even with the three ALVEs that were identified, comparison of the insertion region BAM files outputted from the identification pipeline shows a reduction in both the coverage and clipped </w:t>
      </w:r>
      <w:r w:rsidR="00784CCC">
        <w:t>support for the insertion site (</w:t>
      </w:r>
      <w:r w:rsidR="00784CCC" w:rsidRPr="009255E3">
        <w:fldChar w:fldCharType="begin" w:fldLock="1"/>
      </w:r>
      <w:r w:rsidR="00784CCC" w:rsidRPr="009255E3">
        <w:instrText xml:space="preserve"> REF _Ref480397694 \h </w:instrText>
      </w:r>
      <w:r w:rsidR="009255E3" w:rsidRPr="009255E3">
        <w:instrText xml:space="preserve"> \* MERGEFORMAT </w:instrText>
      </w:r>
      <w:r w:rsidR="00784CCC" w:rsidRPr="009255E3">
        <w:fldChar w:fldCharType="separate"/>
      </w:r>
      <w:r w:rsidR="002C549C" w:rsidRPr="000C3542">
        <w:t xml:space="preserve">Figure </w:t>
      </w:r>
      <w:r w:rsidR="002C549C">
        <w:rPr>
          <w:noProof/>
        </w:rPr>
        <w:t>7</w:t>
      </w:r>
      <w:r w:rsidR="002C549C" w:rsidRPr="000C3542">
        <w:rPr>
          <w:noProof/>
        </w:rPr>
        <w:t>.</w:t>
      </w:r>
      <w:r w:rsidR="002C549C">
        <w:rPr>
          <w:noProof/>
        </w:rPr>
        <w:t>2</w:t>
      </w:r>
      <w:r w:rsidR="00784CCC" w:rsidRPr="009255E3">
        <w:fldChar w:fldCharType="end"/>
      </w:r>
      <w:r w:rsidR="00B23B8A">
        <w:t>). T</w:t>
      </w:r>
      <w:r w:rsidR="00410B00">
        <w:t xml:space="preserve">here was a complete absence </w:t>
      </w:r>
      <w:r w:rsidR="007D147B">
        <w:t xml:space="preserve">of </w:t>
      </w:r>
      <w:r w:rsidR="00FD0CCF">
        <w:t>reads which have only short (&lt; 25</w:t>
      </w:r>
      <w:r w:rsidR="00A709BB">
        <w:t xml:space="preserve"> </w:t>
      </w:r>
      <w:r w:rsidR="007D147B">
        <w:t>b</w:t>
      </w:r>
      <w:r w:rsidR="009255E3">
        <w:t xml:space="preserve">p) clipped sections, </w:t>
      </w:r>
      <w:r w:rsidR="007D147B">
        <w:t xml:space="preserve">as these were too short for significant mapping to occur on the pseudochromosome. </w:t>
      </w:r>
      <w:r w:rsidR="00ED39CD">
        <w:t>These reads were observed</w:t>
      </w:r>
      <w:r w:rsidR="007D147B">
        <w:t xml:space="preserve"> in the paired e</w:t>
      </w:r>
      <w:r w:rsidR="009255E3">
        <w:t>nd data as their read mates</w:t>
      </w:r>
      <w:r w:rsidR="007D147B">
        <w:t xml:space="preserve"> map</w:t>
      </w:r>
      <w:r w:rsidR="009255E3">
        <w:t>ped</w:t>
      </w:r>
      <w:r w:rsidR="007D147B">
        <w:t xml:space="preserve"> within the insert</w:t>
      </w:r>
      <w:r w:rsidR="00ED39CD">
        <w:t>, so both reads wer</w:t>
      </w:r>
      <w:r w:rsidR="007D147B">
        <w:t>e retained during read subtraction. In comparison, the tw</w:t>
      </w:r>
      <w:r w:rsidR="009255E3">
        <w:t>o ALVEs that were missed</w:t>
      </w:r>
      <w:r w:rsidR="007D147B">
        <w:t xml:space="preserve"> had limited </w:t>
      </w:r>
      <w:r w:rsidR="00784CCC">
        <w:t>support in the paired end data (</w:t>
      </w:r>
      <w:r w:rsidR="00784CCC" w:rsidRPr="009255E3">
        <w:fldChar w:fldCharType="begin" w:fldLock="1"/>
      </w:r>
      <w:r w:rsidR="00784CCC" w:rsidRPr="009255E3">
        <w:instrText xml:space="preserve"> REF _Ref480397705 \h </w:instrText>
      </w:r>
      <w:r w:rsidR="009255E3" w:rsidRPr="009255E3">
        <w:instrText xml:space="preserve"> \* MERGEFORMAT </w:instrText>
      </w:r>
      <w:r w:rsidR="00784CCC" w:rsidRPr="009255E3">
        <w:fldChar w:fldCharType="separate"/>
      </w:r>
      <w:r w:rsidR="002C549C" w:rsidRPr="002C549C">
        <w:t xml:space="preserve">Figure </w:t>
      </w:r>
      <w:r w:rsidR="002C549C" w:rsidRPr="002C549C">
        <w:rPr>
          <w:noProof/>
        </w:rPr>
        <w:t>7.3</w:t>
      </w:r>
      <w:r w:rsidR="00784CCC" w:rsidRPr="009255E3">
        <w:fldChar w:fldCharType="end"/>
      </w:r>
      <w:r w:rsidR="007D147B">
        <w:t>), and further reduction in read support caused th</w:t>
      </w:r>
      <w:r w:rsidR="009255E3">
        <w:t>ese sites to be missed</w:t>
      </w:r>
      <w:r w:rsidR="007D147B">
        <w:t xml:space="preserve"> by the pipeli</w:t>
      </w:r>
      <w:r>
        <w:t>ne. Both ALVE-NSAC3 and ALVE21 we</w:t>
      </w:r>
      <w:r w:rsidR="007D147B">
        <w:t>re identifiable in the pipeline output, but did not reach the required threshold level.</w:t>
      </w:r>
    </w:p>
    <w:p w14:paraId="3F5DF957" w14:textId="21689FAF" w:rsidR="00784CCC" w:rsidRPr="003A3EAD" w:rsidRDefault="00784CCC" w:rsidP="00391005">
      <w:pPr>
        <w:pStyle w:val="ListParagraph"/>
      </w:pPr>
    </w:p>
    <w:p w14:paraId="45C2AFE6" w14:textId="3A49E71B" w:rsidR="00784CCC" w:rsidRDefault="00247E11" w:rsidP="000C3542">
      <w:pPr>
        <w:pStyle w:val="ListParagraph"/>
        <w:jc w:val="center"/>
      </w:pPr>
      <w:r>
        <w:rPr>
          <w:noProof/>
          <w:lang w:eastAsia="en-GB"/>
        </w:rPr>
        <w:lastRenderedPageBreak/>
        <w:drawing>
          <wp:inline distT="0" distB="0" distL="0" distR="0" wp14:anchorId="5A7E1ECE" wp14:editId="7479748D">
            <wp:extent cx="4050000" cy="4563273"/>
            <wp:effectExtent l="0" t="0" r="8255"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5">
                      <a:extLst>
                        <a:ext uri="{28A0092B-C50C-407E-A947-70E740481C1C}">
                          <a14:useLocalDpi xmlns:a14="http://schemas.microsoft.com/office/drawing/2010/main" val="0"/>
                        </a:ext>
                      </a:extLst>
                    </a:blip>
                    <a:srcRect l="2372"/>
                    <a:stretch/>
                  </pic:blipFill>
                  <pic:spPr bwMode="auto">
                    <a:xfrm>
                      <a:off x="0" y="0"/>
                      <a:ext cx="4050000" cy="4563273"/>
                    </a:xfrm>
                    <a:prstGeom prst="rect">
                      <a:avLst/>
                    </a:prstGeom>
                    <a:noFill/>
                    <a:ln>
                      <a:noFill/>
                    </a:ln>
                    <a:extLst>
                      <a:ext uri="{53640926-AAD7-44D8-BBD7-CCE9431645EC}">
                        <a14:shadowObscured xmlns:a14="http://schemas.microsoft.com/office/drawing/2010/main"/>
                      </a:ext>
                    </a:extLst>
                  </pic:spPr>
                </pic:pic>
              </a:graphicData>
            </a:graphic>
          </wp:inline>
        </w:drawing>
      </w:r>
    </w:p>
    <w:p w14:paraId="09828336" w14:textId="0D0D592F" w:rsidR="00FD0CCF" w:rsidRDefault="00784CCC" w:rsidP="00784CCC">
      <w:pPr>
        <w:pStyle w:val="Figure"/>
      </w:pPr>
      <w:bookmarkStart w:id="589" w:name="_Ref480397694"/>
      <w:bookmarkStart w:id="590" w:name="_Toc486785472"/>
      <w:r w:rsidRPr="000C3542">
        <w:t xml:space="preserve">Figure </w:t>
      </w:r>
      <w:fldSimple w:instr=" STYLEREF 1 \s " w:fldLock="1">
        <w:r w:rsidR="002C549C">
          <w:rPr>
            <w:noProof/>
          </w:rPr>
          <w:t>7</w:t>
        </w:r>
      </w:fldSimple>
      <w:r w:rsidR="001167C6" w:rsidRPr="000C3542">
        <w:t>.</w:t>
      </w:r>
      <w:fldSimple w:instr=" SEQ Figure \* ARABIC \s 1 " w:fldLock="1">
        <w:r w:rsidR="002C549C">
          <w:rPr>
            <w:noProof/>
          </w:rPr>
          <w:t>2</w:t>
        </w:r>
      </w:fldSimple>
      <w:bookmarkEnd w:id="589"/>
      <w:r w:rsidR="00FD0CCF">
        <w:t xml:space="preserve"> Read coverage of the ALVE-NSAC7 insertion site in Hy-Line WPR1 using the paired end</w:t>
      </w:r>
      <w:r w:rsidR="005655E9">
        <w:t xml:space="preserve"> (A) and pseudo single end (B) W</w:t>
      </w:r>
      <w:r w:rsidR="00FD0CCF">
        <w:t>GS data. ALVE-NSAC7 was detected from both analyses, but the read coverage was reduced in B. All reads with soft-clipped regions less than 25 bp (marked with gre</w:t>
      </w:r>
      <w:r w:rsidR="00247E11">
        <w:t>y squares</w:t>
      </w:r>
      <w:r w:rsidR="00FD0CCF">
        <w:t xml:space="preserve"> in A) were not in the final filtered BAM files. These reads were found in A as their read pair mapped completely to the pseudochromosome.</w:t>
      </w:r>
      <w:bookmarkEnd w:id="590"/>
    </w:p>
    <w:p w14:paraId="5E55110C" w14:textId="739E8316" w:rsidR="00784CCC" w:rsidRDefault="00776A76" w:rsidP="000C3542">
      <w:pPr>
        <w:pStyle w:val="ListParagraph"/>
        <w:jc w:val="center"/>
      </w:pPr>
      <w:r>
        <w:rPr>
          <w:noProof/>
          <w:lang w:eastAsia="en-GB"/>
        </w:rPr>
        <w:drawing>
          <wp:inline distT="0" distB="0" distL="0" distR="0" wp14:anchorId="6761111B" wp14:editId="4F182617">
            <wp:extent cx="4051752" cy="117157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6">
                      <a:extLst>
                        <a:ext uri="{28A0092B-C50C-407E-A947-70E740481C1C}">
                          <a14:useLocalDpi xmlns:a14="http://schemas.microsoft.com/office/drawing/2010/main" val="0"/>
                        </a:ext>
                      </a:extLst>
                    </a:blip>
                    <a:srcRect l="2585" b="10956"/>
                    <a:stretch/>
                  </pic:blipFill>
                  <pic:spPr bwMode="auto">
                    <a:xfrm>
                      <a:off x="0" y="0"/>
                      <a:ext cx="4053600" cy="1172109"/>
                    </a:xfrm>
                    <a:prstGeom prst="rect">
                      <a:avLst/>
                    </a:prstGeom>
                    <a:noFill/>
                    <a:ln>
                      <a:noFill/>
                    </a:ln>
                    <a:extLst>
                      <a:ext uri="{53640926-AAD7-44D8-BBD7-CCE9431645EC}">
                        <a14:shadowObscured xmlns:a14="http://schemas.microsoft.com/office/drawing/2010/main"/>
                      </a:ext>
                    </a:extLst>
                  </pic:spPr>
                </pic:pic>
              </a:graphicData>
            </a:graphic>
          </wp:inline>
        </w:drawing>
      </w:r>
    </w:p>
    <w:p w14:paraId="06FE257F" w14:textId="63BD6B6B" w:rsidR="00784CCC" w:rsidRDefault="00784CCC" w:rsidP="00784CCC">
      <w:pPr>
        <w:pStyle w:val="Figure"/>
      </w:pPr>
      <w:bookmarkStart w:id="591" w:name="_Ref480397705"/>
      <w:bookmarkStart w:id="592" w:name="_Toc486785473"/>
      <w:r w:rsidRPr="00A64FF2">
        <w:t xml:space="preserve">Figure </w:t>
      </w:r>
      <w:fldSimple w:instr=" STYLEREF 1 \s " w:fldLock="1">
        <w:r w:rsidR="002C549C" w:rsidRPr="00A64FF2">
          <w:rPr>
            <w:noProof/>
          </w:rPr>
          <w:t>7</w:t>
        </w:r>
      </w:fldSimple>
      <w:r w:rsidR="001167C6" w:rsidRPr="00A64FF2">
        <w:t>.</w:t>
      </w:r>
      <w:fldSimple w:instr=" SEQ Figure \* ARABIC \s 1 " w:fldLock="1">
        <w:r w:rsidR="002C549C" w:rsidRPr="00A64FF2">
          <w:rPr>
            <w:noProof/>
          </w:rPr>
          <w:t>3</w:t>
        </w:r>
      </w:fldSimple>
      <w:bookmarkEnd w:id="591"/>
      <w:r w:rsidR="00776A76">
        <w:t xml:space="preserve"> Read coverage of the ALVE-NSAC3 insertion site in Hy-Line WPR1 using the paired end</w:t>
      </w:r>
      <w:r w:rsidR="005655E9">
        <w:t xml:space="preserve"> (A) and pseudo single end (B) W</w:t>
      </w:r>
      <w:r w:rsidR="00776A76">
        <w:t>GS data. ALVE-NSAC3 was missed due to the limited coverage in the pseudo single end data. The two soft-clipped reads absent in B have only 20 and 23 soft-clipped bases respectively</w:t>
      </w:r>
      <w:r w:rsidR="00247E11">
        <w:t>.</w:t>
      </w:r>
      <w:bookmarkEnd w:id="592"/>
    </w:p>
    <w:p w14:paraId="27BFA26F" w14:textId="2F1FA6BC" w:rsidR="00C103C1" w:rsidRDefault="00C103C1" w:rsidP="00391005">
      <w:pPr>
        <w:pStyle w:val="ListParagraph"/>
      </w:pPr>
      <w:r>
        <w:lastRenderedPageBreak/>
        <w:t>When this approach was applied to the other five Hy-Line lines with ‘missing’ ALVEs (</w:t>
      </w:r>
      <w:r w:rsidR="00A709BB">
        <w:t>WL2, WL4, WL5, WPR2, RIR</w:t>
      </w:r>
      <w:r>
        <w:t>), all instances were identified but simply did</w:t>
      </w:r>
      <w:r w:rsidR="00A2735D">
        <w:t xml:space="preserve"> no</w:t>
      </w:r>
      <w:r>
        <w:t>t m</w:t>
      </w:r>
      <w:r w:rsidR="00543D5B">
        <w:t>eet the threshold level. This was</w:t>
      </w:r>
      <w:r>
        <w:t xml:space="preserve"> particularly problematic in cases where the paired end data only supported one end of the insert site with soft-clipped reads, such as </w:t>
      </w:r>
      <w:r w:rsidR="00A709BB">
        <w:t>ALVE_ros002</w:t>
      </w:r>
      <w:r>
        <w:t xml:space="preserve">, </w:t>
      </w:r>
      <w:r w:rsidR="00A709BB">
        <w:t>ALVE_ros008</w:t>
      </w:r>
      <w:r>
        <w:t xml:space="preserve"> and </w:t>
      </w:r>
      <w:r w:rsidR="00A709BB">
        <w:t>ALVE_ros009</w:t>
      </w:r>
      <w:r w:rsidR="00543D5B">
        <w:t>, all of which were detrimentally effected by the loss of reads with only short soft clipped sections. Furthermore, t</w:t>
      </w:r>
      <w:r>
        <w:t xml:space="preserve">he complex </w:t>
      </w:r>
      <w:r w:rsidR="00A709BB">
        <w:t>RIR</w:t>
      </w:r>
      <w:r>
        <w:t xml:space="preserve"> insertion </w:t>
      </w:r>
      <w:r w:rsidR="00A709BB">
        <w:t>ALVE_ros007</w:t>
      </w:r>
      <w:r>
        <w:t xml:space="preserve"> only had one read supporting the 3’ end of the insert in the single end data, so from this information alone, it would have been impossible to identify that this ALVE is associated with </w:t>
      </w:r>
      <w:r w:rsidR="00543D5B">
        <w:t xml:space="preserve">the </w:t>
      </w:r>
      <w:r w:rsidR="00241812">
        <w:t xml:space="preserve">genomic deletion described above (section </w:t>
      </w:r>
      <w:r w:rsidR="00241812">
        <w:fldChar w:fldCharType="begin" w:fldLock="1"/>
      </w:r>
      <w:r w:rsidR="00241812">
        <w:instrText xml:space="preserve"> REF _Ref476745718 \r \h </w:instrText>
      </w:r>
      <w:r w:rsidR="00241812">
        <w:fldChar w:fldCharType="separate"/>
      </w:r>
      <w:r w:rsidR="002C549C">
        <w:t>6.6</w:t>
      </w:r>
      <w:r w:rsidR="00241812">
        <w:fldChar w:fldCharType="end"/>
      </w:r>
      <w:r w:rsidR="00241812">
        <w:t>)</w:t>
      </w:r>
      <w:r>
        <w:t xml:space="preserve">. </w:t>
      </w:r>
    </w:p>
    <w:p w14:paraId="49E79794" w14:textId="23FAF6F1" w:rsidR="00784CCC" w:rsidRDefault="00543D5B" w:rsidP="00391005">
      <w:pPr>
        <w:pStyle w:val="ListParagraph"/>
      </w:pPr>
      <w:r>
        <w:t>In contrast, a</w:t>
      </w:r>
      <w:r w:rsidR="009C676D">
        <w:t xml:space="preserve">ll ALVEs identified in the </w:t>
      </w:r>
      <w:r w:rsidR="00A709BB">
        <w:t>JL</w:t>
      </w:r>
      <w:r w:rsidR="009C676D">
        <w:t xml:space="preserve"> individuals using paired</w:t>
      </w:r>
      <w:r w:rsidR="00A2735D">
        <w:t xml:space="preserve"> end data were identified </w:t>
      </w:r>
      <w:r w:rsidR="009C676D">
        <w:t>successfully using the single end sequencing data and the adapted pipeline scripts.</w:t>
      </w:r>
      <w:r w:rsidR="00B61188">
        <w:t xml:space="preserve"> </w:t>
      </w:r>
      <w:r>
        <w:t xml:space="preserve">Like the </w:t>
      </w:r>
      <w:r w:rsidR="00A709BB">
        <w:t>HL</w:t>
      </w:r>
      <w:r>
        <w:t xml:space="preserve"> data,</w:t>
      </w:r>
      <w:r w:rsidR="00E71E09">
        <w:t xml:space="preserve"> there wa</w:t>
      </w:r>
      <w:r>
        <w:t>s loss of reads with only short section</w:t>
      </w:r>
      <w:r w:rsidR="00247E11">
        <w:t>s homologous to ALVE sequences</w:t>
      </w:r>
      <w:r>
        <w:t>, but the overall higher coverage</w:t>
      </w:r>
      <w:r w:rsidR="00E71E09">
        <w:t xml:space="preserve"> of the </w:t>
      </w:r>
      <w:r w:rsidR="00A709BB">
        <w:t>JL</w:t>
      </w:r>
      <w:r w:rsidR="00E71E09">
        <w:t xml:space="preserve"> datasets</w:t>
      </w:r>
      <w:r>
        <w:t xml:space="preserve"> reduce</w:t>
      </w:r>
      <w:r w:rsidR="00670F3E">
        <w:t>d</w:t>
      </w:r>
      <w:r>
        <w:t xml:space="preserve"> the chance effect that the only supporting reads had </w:t>
      </w:r>
      <w:r w:rsidR="00E71E09">
        <w:t xml:space="preserve">short </w:t>
      </w:r>
      <w:r>
        <w:t xml:space="preserve">clipped sections. Additionally, as the </w:t>
      </w:r>
      <w:r w:rsidR="00A709BB">
        <w:t>JL</w:t>
      </w:r>
      <w:r>
        <w:t xml:space="preserve"> samples were of individuals rathe</w:t>
      </w:r>
      <w:r w:rsidR="00ED39CD">
        <w:t>r than pools, the potential for sampling bias reducing the representation of insert alleles in the dataset was less of a concern.</w:t>
      </w:r>
      <w:r w:rsidR="00B61188">
        <w:t xml:space="preserve"> </w:t>
      </w:r>
    </w:p>
    <w:p w14:paraId="59C78993" w14:textId="77777777" w:rsidR="00247E11" w:rsidRPr="00247E11" w:rsidRDefault="00247E11" w:rsidP="00391005">
      <w:pPr>
        <w:pStyle w:val="ListParagraph"/>
      </w:pPr>
    </w:p>
    <w:p w14:paraId="487D8654" w14:textId="295FFC63" w:rsidR="00D4225A" w:rsidRDefault="00D4225A" w:rsidP="00D4225A">
      <w:pPr>
        <w:pStyle w:val="Heading2"/>
      </w:pPr>
      <w:bookmarkStart w:id="593" w:name="_Toc485721670"/>
      <w:bookmarkStart w:id="594" w:name="_Toc486787250"/>
      <w:bookmarkStart w:id="595" w:name="_Toc486787398"/>
      <w:r>
        <w:t>A</w:t>
      </w:r>
      <w:r w:rsidR="005655E9">
        <w:t>LVE content of diverse chicken W</w:t>
      </w:r>
      <w:r>
        <w:t>GS datasets</w:t>
      </w:r>
      <w:bookmarkEnd w:id="593"/>
      <w:bookmarkEnd w:id="594"/>
      <w:bookmarkEnd w:id="595"/>
    </w:p>
    <w:p w14:paraId="48FB9831" w14:textId="174F87E2" w:rsidR="00897D60" w:rsidRDefault="00897D60" w:rsidP="00391005">
      <w:pPr>
        <w:pStyle w:val="ListParagraph"/>
      </w:pPr>
      <w:r>
        <w:t>A total of 322</w:t>
      </w:r>
      <w:r w:rsidR="008E0A6C">
        <w:t xml:space="preserve"> different ALVEs were identified across the analysed datasets, including those identified in the Hy-Line elite lay</w:t>
      </w:r>
      <w:r>
        <w:t>er lines and the Roslin J-Line, and 81</w:t>
      </w:r>
      <w:r w:rsidR="00670F3E">
        <w:t>.1</w:t>
      </w:r>
      <w:r>
        <w:t xml:space="preserve"> % were previously uncharacterised. </w:t>
      </w:r>
      <w:r w:rsidR="002C5DF9">
        <w:t xml:space="preserve">Only sixty-two (19.3 %) of ALVEs identified in this study were found in multiple lines. </w:t>
      </w:r>
      <w:r>
        <w:t xml:space="preserve">When combined with the ALVEs identified by Rutherford and colleagues following their target-capture sequencing of thirty heritage breeds (2016), this brings the total known ALVE sites to </w:t>
      </w:r>
      <w:r w:rsidR="00B41A2E">
        <w:t xml:space="preserve">at least 430. </w:t>
      </w:r>
    </w:p>
    <w:p w14:paraId="12972CD2" w14:textId="447E9455" w:rsidR="00F2789B" w:rsidRDefault="0026410B" w:rsidP="00391005">
      <w:pPr>
        <w:pStyle w:val="ListParagraph"/>
      </w:pPr>
      <w:r>
        <w:t xml:space="preserve">The following section </w:t>
      </w:r>
      <w:r w:rsidR="00B41A2E">
        <w:t xml:space="preserve">describes the ALVEs identified in each line. Lines have been grouped into five broad classes based on their general ‘use’ or breed management to enable easier comparison of ALVE diversity and identification of shared insertions. </w:t>
      </w:r>
      <w:r w:rsidR="0062452D">
        <w:t>All</w:t>
      </w:r>
      <w:r w:rsidR="00982F0D">
        <w:t xml:space="preserve"> ALVEs are listed in Appendix 2: AF10</w:t>
      </w:r>
      <w:r w:rsidR="0062452D">
        <w:t xml:space="preserve"> with new nomenclature, insertion location, insertion hexamer and gene overlaps. The full presence/absence data for each ALVE fo</w:t>
      </w:r>
      <w:r w:rsidR="001F12F6">
        <w:t>r each analysed line is a 3</w:t>
      </w:r>
      <w:r w:rsidR="0062452D">
        <w:t>22</w:t>
      </w:r>
      <w:r w:rsidR="001F12F6">
        <w:t xml:space="preserve"> x 65 matrix, an</w:t>
      </w:r>
      <w:r w:rsidR="00A2735D">
        <w:t xml:space="preserve">d has been included on the CD </w:t>
      </w:r>
      <w:r w:rsidR="00A2735D">
        <w:lastRenderedPageBreak/>
        <w:t>accompanying this thesis</w:t>
      </w:r>
      <w:r w:rsidR="001F12F6">
        <w:t xml:space="preserve"> </w:t>
      </w:r>
      <w:r w:rsidR="00A2735D">
        <w:t>(</w:t>
      </w:r>
      <w:r w:rsidR="001F12F6">
        <w:t>Appendix 2: AF11</w:t>
      </w:r>
      <w:r w:rsidR="00A2735D">
        <w:t>)</w:t>
      </w:r>
      <w:r w:rsidR="0062452D">
        <w:t xml:space="preserve">. </w:t>
      </w:r>
      <w:r w:rsidR="00897D60">
        <w:t xml:space="preserve">No ALVEs were identified in either of the single end sequencing datasets, and the reasons for this are explored in section </w:t>
      </w:r>
      <w:r w:rsidR="00897D60">
        <w:fldChar w:fldCharType="begin" w:fldLock="1"/>
      </w:r>
      <w:r w:rsidR="00897D60">
        <w:instrText xml:space="preserve"> REF _Ref480883003 \r \h </w:instrText>
      </w:r>
      <w:r w:rsidR="00897D60">
        <w:fldChar w:fldCharType="separate"/>
      </w:r>
      <w:r w:rsidR="002C549C">
        <w:t>7.4.2</w:t>
      </w:r>
      <w:r w:rsidR="00897D60">
        <w:fldChar w:fldCharType="end"/>
      </w:r>
      <w:r w:rsidR="00897D60">
        <w:t>.</w:t>
      </w:r>
    </w:p>
    <w:p w14:paraId="4C9F21C5" w14:textId="77777777" w:rsidR="00F2789B" w:rsidRPr="008E0A6C" w:rsidRDefault="00F2789B" w:rsidP="00391005">
      <w:pPr>
        <w:pStyle w:val="ListParagraph"/>
      </w:pPr>
    </w:p>
    <w:p w14:paraId="0FDF6639" w14:textId="1FED3E6D" w:rsidR="00F2789B" w:rsidRDefault="008E0A6C" w:rsidP="00F2789B">
      <w:pPr>
        <w:pStyle w:val="Heading3"/>
      </w:pPr>
      <w:bookmarkStart w:id="596" w:name="_Ref480884203"/>
      <w:bookmarkStart w:id="597" w:name="_Toc485721671"/>
      <w:bookmarkStart w:id="598" w:name="_Toc486787251"/>
      <w:bookmarkStart w:id="599" w:name="_Toc486787399"/>
      <w:r>
        <w:t>Identified ALVE insertions</w:t>
      </w:r>
      <w:bookmarkEnd w:id="596"/>
      <w:bookmarkEnd w:id="597"/>
      <w:bookmarkEnd w:id="598"/>
      <w:bookmarkEnd w:id="599"/>
    </w:p>
    <w:p w14:paraId="08616284" w14:textId="047F7E1A" w:rsidR="00F2789B" w:rsidRDefault="00B41A2E" w:rsidP="008E0A6C">
      <w:pPr>
        <w:pStyle w:val="Heading4"/>
      </w:pPr>
      <w:r>
        <w:t>Commercial w</w:t>
      </w:r>
      <w:r w:rsidR="008E0A6C">
        <w:t>hite egg layers</w:t>
      </w:r>
    </w:p>
    <w:p w14:paraId="7B2F72E1" w14:textId="77777777" w:rsidR="00F312CA" w:rsidRDefault="00F312CA" w:rsidP="00391005">
      <w:pPr>
        <w:pStyle w:val="ListParagraph"/>
      </w:pPr>
      <w:r>
        <w:t xml:space="preserve">Including the eight Hy-Line lines and Roslin J-Line, thirty-three white egg layer datasets were analysed. Typical layer ALVEs were well represented across the lines. ALVE1 was in twenty-six lines, ALVE3 in nineteen, ALVE4 in seven, ALVE9 in thirteen, ALVE15 in fifteen, and ALVE21 in seven. </w:t>
      </w:r>
    </w:p>
    <w:p w14:paraId="0DC59779" w14:textId="383A8A08" w:rsidR="00670F3E" w:rsidRDefault="00F312CA" w:rsidP="00391005">
      <w:pPr>
        <w:pStyle w:val="ListParagraph"/>
      </w:pPr>
      <w:r>
        <w:t>The WLs had one to six ALVEs, apart from the WL-PB-Z ‘Zero’ line which was bred to have no ALVEs</w:t>
      </w:r>
      <w:r w:rsidR="00670F3E">
        <w:t xml:space="preserve"> </w:t>
      </w:r>
      <w:r w:rsidR="00670F3E">
        <w:fldChar w:fldCharType="begin" w:fldLock="1"/>
      </w:r>
      <w:r w:rsidR="00E643AD">
        <w:instrText>ADDIN CSL_CITATION { "citationItems" : [ { "id" : "ITEM-1", "itemData" : { "DOI" : "10.1093/ps/79.8.1082", "ISBN" : "0032-5791 (Print)\\r0032-5791 (Linking)", "ISSN" : "0032-5791", "PMID" : "10947175", "abstract" : "The resolution of genes that determine resistance to disease is described using chicken lines maintained at the Avian Disease and Oncology Laboratory (ADOL). This description includes a summary 1) of existing selected and inbred lines differing for resistance to viral-induced tumors, i.e., Marek's disease (MD) and lymphoid leukosis (LL), and of the use of inbred and line crosses to define relevant disease-resistant genes, e.g., TV, ALVE, B, R, LY4, TH1, BU1, and IGG1; 2) of the development of TVB*/ALVE congenic lines to establish the affects of endogenous virus (EV) expression on resistance to avian leukosis virus (ALV), and methods to detect ALVE expression; 3) of the development of B congenic lines to define the influence of the MHC on MD resistance and vaccinal immunity, for producing B antisera, and for evaluating DNA sequences of Class I and II genes; and 4) of the current development of 6C.7 recombinant congenic strains (RCS) to define the role of non-MHC genes influencing susceptibility to MD and LL tumors, immune competence, and epistatic effects of genes. The procedures of pedigree mating, to avoid or maintain inbreeding, and of blood-typing, to ensure genetic purity of the lines, are also described.", "author" : [ { "dropping-particle" : "", "family" : "Bacon", "given" : "L D", "non-dropping-particle" : "", "parse-names" : false, "suffix" : "" }, { "dropping-particle" : "", "family" : "Hunt", "given" : "H D", "non-dropping-particle" : "", "parse-names" : false, "suffix" : "" }, { "dropping-particle" : "", "family" : "Cheng", "given" : "H H", "non-dropping-particle" : "", "parse-names" : false, "suffix" : "" } ], "container-title" : "Poultry science", "id" : "ITEM-1", "issue" : "8", "issued" : { "date-parts" : [ [ "2000" ] ] }, "page" : "1082-1093", "title" : "A review of the development of chicken lines to resolve genes determining resistance to diseases.", "type" : "article-journal", "volume" : "79" }, "uris" : [ "http://www.mendeley.com/documents/?uuid=e2fffd05-019d-4c1b-8573-9d624d1c2309" ] } ], "mendeley" : { "formattedCitation" : "(Bacon et al. 2000)", "plainTextFormattedCitation" : "(Bacon et al. 2000)", "previouslyFormattedCitation" : "(Bacon et al. 2000)" }, "properties" : { "noteIndex" : 0 }, "schema" : "https://github.com/citation-style-language/schema/raw/master/csl-citation.json" }</w:instrText>
      </w:r>
      <w:r w:rsidR="00670F3E">
        <w:fldChar w:fldCharType="separate"/>
      </w:r>
      <w:r w:rsidR="00670F3E" w:rsidRPr="00670F3E">
        <w:rPr>
          <w:noProof/>
        </w:rPr>
        <w:t>(Bacon et al. 2000)</w:t>
      </w:r>
      <w:r w:rsidR="00670F3E">
        <w:fldChar w:fldCharType="end"/>
      </w:r>
      <w:r>
        <w:t>, and none were detected</w:t>
      </w:r>
      <w:r w:rsidR="007168F6">
        <w:t xml:space="preserve"> (</w:t>
      </w:r>
      <w:r w:rsidR="007168F6">
        <w:fldChar w:fldCharType="begin" w:fldLock="1"/>
      </w:r>
      <w:r w:rsidR="007168F6">
        <w:instrText xml:space="preserve"> REF _Ref481091668 \h </w:instrText>
      </w:r>
      <w:r w:rsidR="007168F6">
        <w:fldChar w:fldCharType="separate"/>
      </w:r>
      <w:r w:rsidR="002C549C">
        <w:t xml:space="preserve">Table </w:t>
      </w:r>
      <w:r w:rsidR="002C549C">
        <w:rPr>
          <w:noProof/>
        </w:rPr>
        <w:t>7</w:t>
      </w:r>
      <w:r w:rsidR="002C549C">
        <w:t>.</w:t>
      </w:r>
      <w:r w:rsidR="002C549C">
        <w:rPr>
          <w:noProof/>
        </w:rPr>
        <w:t>3</w:t>
      </w:r>
      <w:r w:rsidR="007168F6">
        <w:fldChar w:fldCharType="end"/>
      </w:r>
      <w:r w:rsidR="007168F6">
        <w:t>)</w:t>
      </w:r>
      <w:r>
        <w:t xml:space="preserve">. </w:t>
      </w:r>
      <w:r w:rsidR="007168F6">
        <w:t>The BLs had three to eight ALVEs, most of which were shared with the WLs, a</w:t>
      </w:r>
      <w:r w:rsidR="00670F3E">
        <w:t>lthough there is evidence</w:t>
      </w:r>
      <w:r w:rsidR="007168F6">
        <w:t xml:space="preserve"> that the two blind bird experimental datasets were derived from a cross between a BL and a brown-egg layer (discussed below). Few novel ALVEs were identified in these lines. Interestingly the Chinese white egg layer Lhasa white line had ALVE1, ALVE3, ALVE9 and ALVE15: textbook ALVE content for a white leghorn.</w:t>
      </w:r>
    </w:p>
    <w:p w14:paraId="087DE63F" w14:textId="5C792D8F" w:rsidR="00670F3E" w:rsidRDefault="00670F3E" w:rsidP="00391005">
      <w:pPr>
        <w:pStyle w:val="ListParagraph"/>
      </w:pPr>
      <w:r>
        <w:t xml:space="preserve">The Lohmann commercial leghorn (WL-L) has four ALVEs: ALVE1, ALVE3, ALVE15 and ALVE_ros282, a novel insertion found on an unplaced contig (NT_464277.1), which is shared with two of the inbred Pirbright lines (WL-PB-N, WL-PB-P). The Pirbright WL lines were originally housed at ADOL (Avian Disease and Oncology Laboratory, USA) where their ALVE contents were well described </w:t>
      </w:r>
      <w:r>
        <w:fldChar w:fldCharType="begin" w:fldLock="1"/>
      </w:r>
      <w:r>
        <w:instrText>ADDIN CSL_CITATION { "citationItems" : [ { "id" : "ITEM-1", "itemData" : { "DOI" : "10.1093/ps/79.8.1082", "ISBN" : "0032-5791 (Print)\\r0032-5791 (Linking)", "ISSN" : "0032-5791", "PMID" : "10947175", "abstract" : "The resolution of genes that determine resistance to disease is described using chicken lines maintained at the Avian Disease and Oncology Laboratory (ADOL). This description includes a summary 1) of existing selected and inbred lines differing for resistance to viral-induced tumors, i.e., Marek's disease (MD) and lymphoid leukosis (LL), and of the use of inbred and line crosses to define relevant disease-resistant genes, e.g., TV, ALVE, B, R, LY4, TH1, BU1, and IGG1; 2) of the development of TVB*/ALVE congenic lines to establish the affects of endogenous virus (EV) expression on resistance to avian leukosis virus (ALV), and methods to detect ALVE expression; 3) of the development of B congenic lines to define the influence of the MHC on MD resistance and vaccinal immunity, for producing B antisera, and for evaluating DNA sequences of Class I and II genes; and 4) of the current development of 6C.7 recombinant congenic strains (RCS) to define the role of non-MHC genes influencing susceptibility to MD and LL tumors, immune competence, and epistatic effects of genes. The procedures of pedigree mating, to avoid or maintain inbreeding, and of blood-typing, to ensure genetic purity of the lines, are also described.", "author" : [ { "dropping-particle" : "", "family" : "Bacon", "given" : "L D", "non-dropping-particle" : "", "parse-names" : false, "suffix" : "" }, { "dropping-particle" : "", "family" : "Hunt", "given" : "H D", "non-dropping-particle" : "", "parse-names" : false, "suffix" : "" }, { "dropping-particle" : "", "family" : "Cheng", "given" : "H H", "non-dropping-particle" : "", "parse-names" : false, "suffix" : "" } ], "container-title" : "Poultry science", "id" : "ITEM-1", "issue" : "8", "issued" : { "date-parts" : [ [ "2000" ] ] }, "page" : "1082-1093", "title" : "A review of the development of chicken lines to resolve genes determining resistance to diseases.", "type" : "article-journal", "volume" : "79" }, "uris" : [ "http://www.mendeley.com/documents/?uuid=e2fffd05-019d-4c1b-8573-9d624d1c2309" ] } ], "mendeley" : { "formattedCitation" : "(Bacon et al. 2000)", "plainTextFormattedCitation" : "(Bacon et al. 2000)", "previouslyFormattedCitation" : "(Bacon et al. 2000)" }, "properties" : { "noteIndex" : 0 }, "schema" : "https://github.com/citation-style-language/schema/raw/master/csl-citation.json" }</w:instrText>
      </w:r>
      <w:r>
        <w:fldChar w:fldCharType="separate"/>
      </w:r>
      <w:r w:rsidRPr="009855B7">
        <w:rPr>
          <w:noProof/>
        </w:rPr>
        <w:t>(Bacon et al. 2000)</w:t>
      </w:r>
      <w:r>
        <w:fldChar w:fldCharType="end"/>
      </w:r>
      <w:r>
        <w:t>. However, only WL-PB-7 matches up completely with the literature (ALVE1 and ALVE2), even when accounting for the absence of ALVE6 in any line due to its insertion site. For example, ALVE10 is supposed to be in at least WL-PB-15 and WL-PB-C, but the insertion site is unknown, and the two lines do not share any ‘novel’ sites. WL-PB-N is even more deviant from the literature reported ALVE1, ALVE3 and ALVE6. This pipeline identified ALVE1, ALVE4, ALVE15, the novel ALVE_ros282 mentioned above and ALVE_ros034 which is shared with WL-D and blue egg layer Aracauna. These significant ambiguities could be due to changed breeding management when the lines moved to Pirbright, likely with reduced effective population sizes.</w:t>
      </w:r>
    </w:p>
    <w:p w14:paraId="6BB43B01" w14:textId="232C3994" w:rsidR="00AE57F6" w:rsidRDefault="00AE57F6" w:rsidP="00AE57F6">
      <w:pPr>
        <w:pStyle w:val="Caption"/>
      </w:pPr>
      <w:bookmarkStart w:id="600" w:name="_Ref481091668"/>
      <w:bookmarkStart w:id="601" w:name="_Toc486786338"/>
      <w:r>
        <w:lastRenderedPageBreak/>
        <w:t xml:space="preserve">Table </w:t>
      </w:r>
      <w:fldSimple w:instr=" STYLEREF 1 \s " w:fldLock="1">
        <w:r w:rsidR="002C549C">
          <w:rPr>
            <w:noProof/>
          </w:rPr>
          <w:t>7</w:t>
        </w:r>
      </w:fldSimple>
      <w:r w:rsidR="001167C6">
        <w:t>.</w:t>
      </w:r>
      <w:fldSimple w:instr=" SEQ Table \* ARABIC \s 1 " w:fldLock="1">
        <w:r w:rsidR="002C549C">
          <w:rPr>
            <w:noProof/>
          </w:rPr>
          <w:t>3</w:t>
        </w:r>
      </w:fldSimple>
      <w:bookmarkEnd w:id="600"/>
      <w:r>
        <w:t xml:space="preserve"> Number of ALVEs identified in the commercial white egg layer lines. The shared ALVEs column represents how many of the ALVEs in that line were shared with any other analysed dataset (not just this grouping). The novel ALVEs column represents how many of the identified ALVEs were previously unknown.</w:t>
      </w:r>
      <w:bookmarkEnd w:id="601"/>
    </w:p>
    <w:tbl>
      <w:tblPr>
        <w:tblStyle w:val="TableGrid"/>
        <w:tblW w:w="56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276"/>
        <w:gridCol w:w="1559"/>
        <w:gridCol w:w="1418"/>
      </w:tblGrid>
      <w:tr w:rsidR="00AE57F6" w14:paraId="27C3A43E" w14:textId="77777777" w:rsidTr="00E3138F">
        <w:trPr>
          <w:jc w:val="center"/>
        </w:trPr>
        <w:tc>
          <w:tcPr>
            <w:tcW w:w="1418" w:type="dxa"/>
            <w:tcBorders>
              <w:top w:val="single" w:sz="4" w:space="0" w:color="auto"/>
              <w:bottom w:val="single" w:sz="4" w:space="0" w:color="auto"/>
            </w:tcBorders>
            <w:vAlign w:val="center"/>
          </w:tcPr>
          <w:p w14:paraId="74ACDE59" w14:textId="77777777" w:rsidR="00AE57F6" w:rsidRDefault="00AE57F6" w:rsidP="00AE57F6">
            <w:pPr>
              <w:pStyle w:val="Tablecontent"/>
            </w:pPr>
            <w:r>
              <w:t>Line name</w:t>
            </w:r>
          </w:p>
        </w:tc>
        <w:tc>
          <w:tcPr>
            <w:tcW w:w="1276" w:type="dxa"/>
            <w:tcBorders>
              <w:top w:val="single" w:sz="4" w:space="0" w:color="auto"/>
              <w:bottom w:val="single" w:sz="4" w:space="0" w:color="auto"/>
            </w:tcBorders>
            <w:vAlign w:val="center"/>
          </w:tcPr>
          <w:p w14:paraId="26DAF3B2" w14:textId="77777777" w:rsidR="00AE57F6" w:rsidRDefault="00AE57F6" w:rsidP="00AE57F6">
            <w:pPr>
              <w:pStyle w:val="Tablecontent"/>
              <w:jc w:val="center"/>
            </w:pPr>
            <w:r>
              <w:t>No. ALVEs</w:t>
            </w:r>
          </w:p>
        </w:tc>
        <w:tc>
          <w:tcPr>
            <w:tcW w:w="1559" w:type="dxa"/>
            <w:tcBorders>
              <w:top w:val="single" w:sz="4" w:space="0" w:color="auto"/>
              <w:bottom w:val="single" w:sz="4" w:space="0" w:color="auto"/>
            </w:tcBorders>
          </w:tcPr>
          <w:p w14:paraId="38C3B4C7" w14:textId="77777777" w:rsidR="00AE57F6" w:rsidRDefault="00AE57F6" w:rsidP="00AE57F6">
            <w:pPr>
              <w:pStyle w:val="Tablecontent"/>
              <w:jc w:val="center"/>
            </w:pPr>
            <w:r>
              <w:t>Shared ALVEs</w:t>
            </w:r>
          </w:p>
        </w:tc>
        <w:tc>
          <w:tcPr>
            <w:tcW w:w="1418" w:type="dxa"/>
            <w:tcBorders>
              <w:top w:val="single" w:sz="4" w:space="0" w:color="auto"/>
              <w:bottom w:val="single" w:sz="4" w:space="0" w:color="auto"/>
            </w:tcBorders>
          </w:tcPr>
          <w:p w14:paraId="46FB0A36" w14:textId="77777777" w:rsidR="00AE57F6" w:rsidRDefault="00AE57F6" w:rsidP="00AE57F6">
            <w:pPr>
              <w:pStyle w:val="Tablecontent"/>
              <w:jc w:val="center"/>
            </w:pPr>
            <w:r>
              <w:t>Novel ALVEs</w:t>
            </w:r>
          </w:p>
        </w:tc>
      </w:tr>
      <w:tr w:rsidR="00E3138F" w14:paraId="15B5EF5E" w14:textId="77777777" w:rsidTr="00E3138F">
        <w:trPr>
          <w:jc w:val="center"/>
        </w:trPr>
        <w:tc>
          <w:tcPr>
            <w:tcW w:w="1418" w:type="dxa"/>
            <w:tcBorders>
              <w:top w:val="single" w:sz="4" w:space="0" w:color="auto"/>
            </w:tcBorders>
          </w:tcPr>
          <w:p w14:paraId="1780A436" w14:textId="1CA86D55" w:rsidR="00E3138F" w:rsidRDefault="00E3138F" w:rsidP="00E3138F">
            <w:pPr>
              <w:pStyle w:val="Tablecontent"/>
            </w:pPr>
            <w:r w:rsidRPr="00204C37">
              <w:t>BL-BEGb</w:t>
            </w:r>
          </w:p>
        </w:tc>
        <w:tc>
          <w:tcPr>
            <w:tcW w:w="1276" w:type="dxa"/>
            <w:tcBorders>
              <w:top w:val="single" w:sz="4" w:space="0" w:color="auto"/>
            </w:tcBorders>
          </w:tcPr>
          <w:p w14:paraId="3D285C3F" w14:textId="6D13015F" w:rsidR="00E3138F" w:rsidRDefault="00C97B31" w:rsidP="00E3138F">
            <w:pPr>
              <w:pStyle w:val="Tablecontent"/>
              <w:jc w:val="center"/>
            </w:pPr>
            <w:r>
              <w:t>8</w:t>
            </w:r>
          </w:p>
        </w:tc>
        <w:tc>
          <w:tcPr>
            <w:tcW w:w="1559" w:type="dxa"/>
            <w:tcBorders>
              <w:top w:val="single" w:sz="4" w:space="0" w:color="auto"/>
            </w:tcBorders>
          </w:tcPr>
          <w:p w14:paraId="5067B24E" w14:textId="5F22B09F" w:rsidR="00E3138F" w:rsidRDefault="00C97B31" w:rsidP="00E3138F">
            <w:pPr>
              <w:pStyle w:val="Tablecontent"/>
              <w:jc w:val="center"/>
            </w:pPr>
            <w:r>
              <w:t>8</w:t>
            </w:r>
          </w:p>
        </w:tc>
        <w:tc>
          <w:tcPr>
            <w:tcW w:w="1418" w:type="dxa"/>
            <w:tcBorders>
              <w:top w:val="single" w:sz="4" w:space="0" w:color="auto"/>
            </w:tcBorders>
          </w:tcPr>
          <w:p w14:paraId="353036E0" w14:textId="2ECF6E21" w:rsidR="00E3138F" w:rsidRDefault="00C97B31" w:rsidP="00E3138F">
            <w:pPr>
              <w:pStyle w:val="Tablecontent"/>
              <w:jc w:val="center"/>
            </w:pPr>
            <w:r>
              <w:t>2</w:t>
            </w:r>
          </w:p>
        </w:tc>
      </w:tr>
      <w:tr w:rsidR="00E3138F" w14:paraId="4E38B633" w14:textId="77777777" w:rsidTr="00E3138F">
        <w:trPr>
          <w:jc w:val="center"/>
        </w:trPr>
        <w:tc>
          <w:tcPr>
            <w:tcW w:w="1418" w:type="dxa"/>
          </w:tcPr>
          <w:p w14:paraId="7FACA144" w14:textId="04770CBB" w:rsidR="00E3138F" w:rsidRDefault="00E3138F" w:rsidP="00E3138F">
            <w:pPr>
              <w:pStyle w:val="Tablecontent"/>
            </w:pPr>
            <w:r w:rsidRPr="00204C37">
              <w:t>BL-BEGs</w:t>
            </w:r>
          </w:p>
        </w:tc>
        <w:tc>
          <w:tcPr>
            <w:tcW w:w="1276" w:type="dxa"/>
          </w:tcPr>
          <w:p w14:paraId="1CB3AFC8" w14:textId="60D31050" w:rsidR="00E3138F" w:rsidRDefault="00C97B31" w:rsidP="00E3138F">
            <w:pPr>
              <w:pStyle w:val="Tablecontent"/>
              <w:jc w:val="center"/>
            </w:pPr>
            <w:r>
              <w:t>8</w:t>
            </w:r>
          </w:p>
        </w:tc>
        <w:tc>
          <w:tcPr>
            <w:tcW w:w="1559" w:type="dxa"/>
          </w:tcPr>
          <w:p w14:paraId="346B4BB9" w14:textId="0B735BB1" w:rsidR="00E3138F" w:rsidRDefault="00C97B31" w:rsidP="00E3138F">
            <w:pPr>
              <w:pStyle w:val="Tablecontent"/>
              <w:jc w:val="center"/>
            </w:pPr>
            <w:r>
              <w:t>8</w:t>
            </w:r>
          </w:p>
        </w:tc>
        <w:tc>
          <w:tcPr>
            <w:tcW w:w="1418" w:type="dxa"/>
          </w:tcPr>
          <w:p w14:paraId="1344B74D" w14:textId="7E821B98" w:rsidR="00E3138F" w:rsidRDefault="00C97B31" w:rsidP="00E3138F">
            <w:pPr>
              <w:pStyle w:val="Tablecontent"/>
              <w:jc w:val="center"/>
            </w:pPr>
            <w:r>
              <w:t>2</w:t>
            </w:r>
          </w:p>
        </w:tc>
      </w:tr>
      <w:tr w:rsidR="00E3138F" w14:paraId="72C7BE2A" w14:textId="77777777" w:rsidTr="00E3138F">
        <w:trPr>
          <w:jc w:val="center"/>
        </w:trPr>
        <w:tc>
          <w:tcPr>
            <w:tcW w:w="1418" w:type="dxa"/>
          </w:tcPr>
          <w:p w14:paraId="70B2A954" w14:textId="663013E9" w:rsidR="00E3138F" w:rsidRDefault="00E3138F" w:rsidP="00E3138F">
            <w:pPr>
              <w:pStyle w:val="Tablecontent"/>
            </w:pPr>
            <w:r w:rsidRPr="00204C37">
              <w:t>BL-RGEbm</w:t>
            </w:r>
          </w:p>
        </w:tc>
        <w:tc>
          <w:tcPr>
            <w:tcW w:w="1276" w:type="dxa"/>
          </w:tcPr>
          <w:p w14:paraId="1116DD73" w14:textId="132C5069" w:rsidR="00E3138F" w:rsidRDefault="00C97B31" w:rsidP="00E3138F">
            <w:pPr>
              <w:pStyle w:val="Tablecontent"/>
              <w:jc w:val="center"/>
            </w:pPr>
            <w:r>
              <w:t>5</w:t>
            </w:r>
          </w:p>
        </w:tc>
        <w:tc>
          <w:tcPr>
            <w:tcW w:w="1559" w:type="dxa"/>
          </w:tcPr>
          <w:p w14:paraId="353A47D7" w14:textId="5F0081B7" w:rsidR="00E3138F" w:rsidRDefault="00C97B31" w:rsidP="00E3138F">
            <w:pPr>
              <w:pStyle w:val="Tablecontent"/>
              <w:jc w:val="center"/>
            </w:pPr>
            <w:r>
              <w:t>4</w:t>
            </w:r>
          </w:p>
        </w:tc>
        <w:tc>
          <w:tcPr>
            <w:tcW w:w="1418" w:type="dxa"/>
          </w:tcPr>
          <w:p w14:paraId="17E2CC63" w14:textId="57C78809" w:rsidR="00E3138F" w:rsidRDefault="00C97B31" w:rsidP="00E3138F">
            <w:pPr>
              <w:pStyle w:val="Tablecontent"/>
              <w:jc w:val="center"/>
            </w:pPr>
            <w:r>
              <w:t>0</w:t>
            </w:r>
          </w:p>
        </w:tc>
      </w:tr>
      <w:tr w:rsidR="00E3138F" w14:paraId="668F001F" w14:textId="77777777" w:rsidTr="00E3138F">
        <w:trPr>
          <w:jc w:val="center"/>
        </w:trPr>
        <w:tc>
          <w:tcPr>
            <w:tcW w:w="1418" w:type="dxa"/>
          </w:tcPr>
          <w:p w14:paraId="2FFD6C85" w14:textId="5D78B167" w:rsidR="00E3138F" w:rsidRDefault="00E3138F" w:rsidP="00E3138F">
            <w:pPr>
              <w:pStyle w:val="Tablecontent"/>
            </w:pPr>
            <w:r w:rsidRPr="00204C37">
              <w:t>BL-RGEbp</w:t>
            </w:r>
          </w:p>
        </w:tc>
        <w:tc>
          <w:tcPr>
            <w:tcW w:w="1276" w:type="dxa"/>
          </w:tcPr>
          <w:p w14:paraId="2838F253" w14:textId="3F4619C6" w:rsidR="00E3138F" w:rsidRDefault="00C97B31" w:rsidP="00E3138F">
            <w:pPr>
              <w:pStyle w:val="Tablecontent"/>
              <w:jc w:val="center"/>
            </w:pPr>
            <w:r>
              <w:t>5</w:t>
            </w:r>
          </w:p>
        </w:tc>
        <w:tc>
          <w:tcPr>
            <w:tcW w:w="1559" w:type="dxa"/>
          </w:tcPr>
          <w:p w14:paraId="2BB522FC" w14:textId="7BE35795" w:rsidR="00E3138F" w:rsidRDefault="00C97B31" w:rsidP="00E3138F">
            <w:pPr>
              <w:pStyle w:val="Tablecontent"/>
              <w:jc w:val="center"/>
            </w:pPr>
            <w:r>
              <w:t>5</w:t>
            </w:r>
          </w:p>
        </w:tc>
        <w:tc>
          <w:tcPr>
            <w:tcW w:w="1418" w:type="dxa"/>
          </w:tcPr>
          <w:p w14:paraId="5F0BE64D" w14:textId="44868A04" w:rsidR="00E3138F" w:rsidRDefault="00C97B31" w:rsidP="00E3138F">
            <w:pPr>
              <w:pStyle w:val="Tablecontent"/>
              <w:jc w:val="center"/>
            </w:pPr>
            <w:r>
              <w:t>0</w:t>
            </w:r>
          </w:p>
        </w:tc>
      </w:tr>
      <w:tr w:rsidR="00E3138F" w14:paraId="00C693A9" w14:textId="77777777" w:rsidTr="00E3138F">
        <w:trPr>
          <w:jc w:val="center"/>
        </w:trPr>
        <w:tc>
          <w:tcPr>
            <w:tcW w:w="1418" w:type="dxa"/>
          </w:tcPr>
          <w:p w14:paraId="195417CE" w14:textId="7A3A9B80" w:rsidR="00E3138F" w:rsidRDefault="00E3138F" w:rsidP="00E3138F">
            <w:pPr>
              <w:pStyle w:val="Tablecontent"/>
            </w:pPr>
            <w:r w:rsidRPr="00204C37">
              <w:t>BL-RGEsf</w:t>
            </w:r>
          </w:p>
        </w:tc>
        <w:tc>
          <w:tcPr>
            <w:tcW w:w="1276" w:type="dxa"/>
          </w:tcPr>
          <w:p w14:paraId="4A21F541" w14:textId="1D89322E" w:rsidR="00E3138F" w:rsidRDefault="00C97B31" w:rsidP="00E3138F">
            <w:pPr>
              <w:pStyle w:val="Tablecontent"/>
              <w:jc w:val="center"/>
            </w:pPr>
            <w:r>
              <w:t>4</w:t>
            </w:r>
          </w:p>
        </w:tc>
        <w:tc>
          <w:tcPr>
            <w:tcW w:w="1559" w:type="dxa"/>
          </w:tcPr>
          <w:p w14:paraId="13CA9A07" w14:textId="56D9D024" w:rsidR="00E3138F" w:rsidRDefault="00C97B31" w:rsidP="00E3138F">
            <w:pPr>
              <w:pStyle w:val="Tablecontent"/>
              <w:jc w:val="center"/>
            </w:pPr>
            <w:r>
              <w:t>3</w:t>
            </w:r>
          </w:p>
        </w:tc>
        <w:tc>
          <w:tcPr>
            <w:tcW w:w="1418" w:type="dxa"/>
          </w:tcPr>
          <w:p w14:paraId="5E83C918" w14:textId="74D81F92" w:rsidR="00E3138F" w:rsidRDefault="00C97B31" w:rsidP="00E3138F">
            <w:pPr>
              <w:pStyle w:val="Tablecontent"/>
              <w:jc w:val="center"/>
            </w:pPr>
            <w:r>
              <w:t>0</w:t>
            </w:r>
          </w:p>
        </w:tc>
      </w:tr>
      <w:tr w:rsidR="00E3138F" w14:paraId="4CECEDE8" w14:textId="77777777" w:rsidTr="00E3138F">
        <w:trPr>
          <w:jc w:val="center"/>
        </w:trPr>
        <w:tc>
          <w:tcPr>
            <w:tcW w:w="1418" w:type="dxa"/>
          </w:tcPr>
          <w:p w14:paraId="1A8A54CA" w14:textId="356C6A99" w:rsidR="00E3138F" w:rsidRDefault="00E3138F" w:rsidP="00E3138F">
            <w:pPr>
              <w:pStyle w:val="Tablecontent"/>
            </w:pPr>
            <w:r w:rsidRPr="00204C37">
              <w:t>BL-RGEsp</w:t>
            </w:r>
          </w:p>
        </w:tc>
        <w:tc>
          <w:tcPr>
            <w:tcW w:w="1276" w:type="dxa"/>
          </w:tcPr>
          <w:p w14:paraId="47E377B0" w14:textId="7BBA7B8E" w:rsidR="00E3138F" w:rsidRDefault="00C97B31" w:rsidP="00E3138F">
            <w:pPr>
              <w:pStyle w:val="Tablecontent"/>
              <w:jc w:val="center"/>
            </w:pPr>
            <w:r>
              <w:t>5</w:t>
            </w:r>
          </w:p>
        </w:tc>
        <w:tc>
          <w:tcPr>
            <w:tcW w:w="1559" w:type="dxa"/>
          </w:tcPr>
          <w:p w14:paraId="7C737E84" w14:textId="1E918F6D" w:rsidR="00E3138F" w:rsidRDefault="00C97B31" w:rsidP="00E3138F">
            <w:pPr>
              <w:pStyle w:val="Tablecontent"/>
              <w:jc w:val="center"/>
            </w:pPr>
            <w:r>
              <w:t>5</w:t>
            </w:r>
          </w:p>
        </w:tc>
        <w:tc>
          <w:tcPr>
            <w:tcW w:w="1418" w:type="dxa"/>
          </w:tcPr>
          <w:p w14:paraId="75C97726" w14:textId="4DF32262" w:rsidR="00E3138F" w:rsidRDefault="00C97B31" w:rsidP="00E3138F">
            <w:pPr>
              <w:pStyle w:val="Tablecontent"/>
              <w:jc w:val="center"/>
            </w:pPr>
            <w:r>
              <w:t>0</w:t>
            </w:r>
          </w:p>
        </w:tc>
      </w:tr>
      <w:tr w:rsidR="00E3138F" w14:paraId="4AABB9A7" w14:textId="77777777" w:rsidTr="00E3138F">
        <w:trPr>
          <w:jc w:val="center"/>
        </w:trPr>
        <w:tc>
          <w:tcPr>
            <w:tcW w:w="1418" w:type="dxa"/>
          </w:tcPr>
          <w:p w14:paraId="2C1B8758" w14:textId="1B42350B" w:rsidR="00E3138F" w:rsidRDefault="00E3138F" w:rsidP="00E3138F">
            <w:pPr>
              <w:pStyle w:val="Tablecontent"/>
            </w:pPr>
            <w:r w:rsidRPr="00204C37">
              <w:t>BL-Br</w:t>
            </w:r>
          </w:p>
        </w:tc>
        <w:tc>
          <w:tcPr>
            <w:tcW w:w="1276" w:type="dxa"/>
          </w:tcPr>
          <w:p w14:paraId="37240838" w14:textId="083C67DA" w:rsidR="00E3138F" w:rsidRDefault="00C97B31" w:rsidP="00E3138F">
            <w:pPr>
              <w:pStyle w:val="Tablecontent"/>
              <w:jc w:val="center"/>
            </w:pPr>
            <w:r>
              <w:t>4</w:t>
            </w:r>
          </w:p>
        </w:tc>
        <w:tc>
          <w:tcPr>
            <w:tcW w:w="1559" w:type="dxa"/>
          </w:tcPr>
          <w:p w14:paraId="7C5C3098" w14:textId="646E4F53" w:rsidR="00E3138F" w:rsidRDefault="00C97B31" w:rsidP="00E3138F">
            <w:pPr>
              <w:pStyle w:val="Tablecontent"/>
              <w:jc w:val="center"/>
            </w:pPr>
            <w:r>
              <w:t>3</w:t>
            </w:r>
          </w:p>
        </w:tc>
        <w:tc>
          <w:tcPr>
            <w:tcW w:w="1418" w:type="dxa"/>
          </w:tcPr>
          <w:p w14:paraId="77C138C4" w14:textId="38E164A1" w:rsidR="00E3138F" w:rsidRDefault="00C97B31" w:rsidP="00E3138F">
            <w:pPr>
              <w:pStyle w:val="Tablecontent"/>
              <w:jc w:val="center"/>
            </w:pPr>
            <w:r>
              <w:t>1</w:t>
            </w:r>
          </w:p>
        </w:tc>
      </w:tr>
      <w:tr w:rsidR="00E3138F" w14:paraId="673B35E1" w14:textId="77777777" w:rsidTr="00E3138F">
        <w:trPr>
          <w:jc w:val="center"/>
        </w:trPr>
        <w:tc>
          <w:tcPr>
            <w:tcW w:w="1418" w:type="dxa"/>
          </w:tcPr>
          <w:p w14:paraId="2B532BF9" w14:textId="55F9A915" w:rsidR="00E3138F" w:rsidRDefault="00E3138F" w:rsidP="00E3138F">
            <w:pPr>
              <w:pStyle w:val="Tablecontent"/>
            </w:pPr>
            <w:r w:rsidRPr="00204C37">
              <w:t>BL-Sm</w:t>
            </w:r>
          </w:p>
        </w:tc>
        <w:tc>
          <w:tcPr>
            <w:tcW w:w="1276" w:type="dxa"/>
          </w:tcPr>
          <w:p w14:paraId="30CAC1CE" w14:textId="2CB2F624" w:rsidR="00E3138F" w:rsidRDefault="00C97B31" w:rsidP="00E3138F">
            <w:pPr>
              <w:pStyle w:val="Tablecontent"/>
              <w:jc w:val="center"/>
            </w:pPr>
            <w:r>
              <w:t>3</w:t>
            </w:r>
          </w:p>
        </w:tc>
        <w:tc>
          <w:tcPr>
            <w:tcW w:w="1559" w:type="dxa"/>
          </w:tcPr>
          <w:p w14:paraId="6D79C736" w14:textId="5EA38F64" w:rsidR="00E3138F" w:rsidRDefault="00C97B31" w:rsidP="00E3138F">
            <w:pPr>
              <w:pStyle w:val="Tablecontent"/>
              <w:jc w:val="center"/>
            </w:pPr>
            <w:r>
              <w:t>3</w:t>
            </w:r>
          </w:p>
        </w:tc>
        <w:tc>
          <w:tcPr>
            <w:tcW w:w="1418" w:type="dxa"/>
          </w:tcPr>
          <w:p w14:paraId="73DC587A" w14:textId="47822B28" w:rsidR="00E3138F" w:rsidRDefault="00C97B31" w:rsidP="00E3138F">
            <w:pPr>
              <w:pStyle w:val="Tablecontent"/>
              <w:jc w:val="center"/>
            </w:pPr>
            <w:r>
              <w:t>1</w:t>
            </w:r>
          </w:p>
        </w:tc>
      </w:tr>
      <w:tr w:rsidR="00E3138F" w14:paraId="7850C560" w14:textId="77777777" w:rsidTr="00E3138F">
        <w:trPr>
          <w:jc w:val="center"/>
        </w:trPr>
        <w:tc>
          <w:tcPr>
            <w:tcW w:w="1418" w:type="dxa"/>
          </w:tcPr>
          <w:p w14:paraId="67193D97" w14:textId="65D86C69" w:rsidR="00E3138F" w:rsidRDefault="00E3138F" w:rsidP="00E3138F">
            <w:pPr>
              <w:pStyle w:val="Tablecontent"/>
            </w:pPr>
            <w:r w:rsidRPr="00204C37">
              <w:t>JL</w:t>
            </w:r>
          </w:p>
        </w:tc>
        <w:tc>
          <w:tcPr>
            <w:tcW w:w="1276" w:type="dxa"/>
          </w:tcPr>
          <w:p w14:paraId="4E5CA664" w14:textId="11505C16" w:rsidR="00E3138F" w:rsidRDefault="00E3138F" w:rsidP="00E3138F">
            <w:pPr>
              <w:pStyle w:val="Tablecontent"/>
              <w:jc w:val="center"/>
            </w:pPr>
            <w:r>
              <w:t>3</w:t>
            </w:r>
          </w:p>
        </w:tc>
        <w:tc>
          <w:tcPr>
            <w:tcW w:w="1559" w:type="dxa"/>
          </w:tcPr>
          <w:p w14:paraId="536830AE" w14:textId="7A231834" w:rsidR="00E3138F" w:rsidRDefault="00E3138F" w:rsidP="00E3138F">
            <w:pPr>
              <w:pStyle w:val="Tablecontent"/>
              <w:jc w:val="center"/>
            </w:pPr>
            <w:r>
              <w:t>2</w:t>
            </w:r>
          </w:p>
        </w:tc>
        <w:tc>
          <w:tcPr>
            <w:tcW w:w="1418" w:type="dxa"/>
          </w:tcPr>
          <w:p w14:paraId="5F2061B2" w14:textId="66F01ABD" w:rsidR="00E3138F" w:rsidRDefault="00E3138F" w:rsidP="00E3138F">
            <w:pPr>
              <w:pStyle w:val="Tablecontent"/>
              <w:jc w:val="center"/>
            </w:pPr>
            <w:r>
              <w:t>0</w:t>
            </w:r>
          </w:p>
        </w:tc>
      </w:tr>
      <w:tr w:rsidR="00E3138F" w14:paraId="25F5C7AE" w14:textId="77777777" w:rsidTr="00E3138F">
        <w:trPr>
          <w:jc w:val="center"/>
        </w:trPr>
        <w:tc>
          <w:tcPr>
            <w:tcW w:w="1418" w:type="dxa"/>
          </w:tcPr>
          <w:p w14:paraId="4F4ECF0A" w14:textId="3AC3D38F" w:rsidR="00E3138F" w:rsidRDefault="00E3138F" w:rsidP="00E3138F">
            <w:pPr>
              <w:pStyle w:val="Tablecontent"/>
            </w:pPr>
            <w:r w:rsidRPr="00204C37">
              <w:t>Lhasa white</w:t>
            </w:r>
          </w:p>
        </w:tc>
        <w:tc>
          <w:tcPr>
            <w:tcW w:w="1276" w:type="dxa"/>
          </w:tcPr>
          <w:p w14:paraId="1D6982BC" w14:textId="2E1659F8" w:rsidR="00E3138F" w:rsidRDefault="00E3138F" w:rsidP="00E3138F">
            <w:pPr>
              <w:pStyle w:val="Tablecontent"/>
              <w:jc w:val="center"/>
            </w:pPr>
            <w:r>
              <w:t>4</w:t>
            </w:r>
          </w:p>
        </w:tc>
        <w:tc>
          <w:tcPr>
            <w:tcW w:w="1559" w:type="dxa"/>
          </w:tcPr>
          <w:p w14:paraId="73C92070" w14:textId="7CC0F43D" w:rsidR="00E3138F" w:rsidRDefault="00E3138F" w:rsidP="00E3138F">
            <w:pPr>
              <w:pStyle w:val="Tablecontent"/>
              <w:jc w:val="center"/>
            </w:pPr>
            <w:r>
              <w:t>4</w:t>
            </w:r>
          </w:p>
        </w:tc>
        <w:tc>
          <w:tcPr>
            <w:tcW w:w="1418" w:type="dxa"/>
          </w:tcPr>
          <w:p w14:paraId="05EE6718" w14:textId="6B779D6E" w:rsidR="00E3138F" w:rsidRDefault="00E3138F" w:rsidP="00E3138F">
            <w:pPr>
              <w:pStyle w:val="Tablecontent"/>
              <w:jc w:val="center"/>
            </w:pPr>
            <w:r>
              <w:t>0</w:t>
            </w:r>
          </w:p>
        </w:tc>
      </w:tr>
      <w:tr w:rsidR="00E3138F" w14:paraId="2D144791" w14:textId="77777777" w:rsidTr="00E3138F">
        <w:trPr>
          <w:jc w:val="center"/>
        </w:trPr>
        <w:tc>
          <w:tcPr>
            <w:tcW w:w="1418" w:type="dxa"/>
          </w:tcPr>
          <w:p w14:paraId="58C7DDC1" w14:textId="0597DF82" w:rsidR="00E3138F" w:rsidRDefault="00E3138F" w:rsidP="00E3138F">
            <w:pPr>
              <w:pStyle w:val="Tablecontent"/>
            </w:pPr>
            <w:r w:rsidRPr="00204C37">
              <w:t>WL1</w:t>
            </w:r>
          </w:p>
        </w:tc>
        <w:tc>
          <w:tcPr>
            <w:tcW w:w="1276" w:type="dxa"/>
          </w:tcPr>
          <w:p w14:paraId="0693097D" w14:textId="3403FD8F" w:rsidR="00E3138F" w:rsidRDefault="00E3138F" w:rsidP="00E3138F">
            <w:pPr>
              <w:pStyle w:val="Tablecontent"/>
              <w:jc w:val="center"/>
            </w:pPr>
            <w:r>
              <w:t>2</w:t>
            </w:r>
          </w:p>
        </w:tc>
        <w:tc>
          <w:tcPr>
            <w:tcW w:w="1559" w:type="dxa"/>
          </w:tcPr>
          <w:p w14:paraId="51DFA1C1" w14:textId="68C61613" w:rsidR="00E3138F" w:rsidRDefault="00E3138F" w:rsidP="00E3138F">
            <w:pPr>
              <w:pStyle w:val="Tablecontent"/>
              <w:jc w:val="center"/>
            </w:pPr>
            <w:r>
              <w:t>2</w:t>
            </w:r>
          </w:p>
        </w:tc>
        <w:tc>
          <w:tcPr>
            <w:tcW w:w="1418" w:type="dxa"/>
          </w:tcPr>
          <w:p w14:paraId="0B4D3C70" w14:textId="51C221A9" w:rsidR="00E3138F" w:rsidRDefault="00E3138F" w:rsidP="00E3138F">
            <w:pPr>
              <w:pStyle w:val="Tablecontent"/>
              <w:jc w:val="center"/>
            </w:pPr>
            <w:r>
              <w:t>0</w:t>
            </w:r>
          </w:p>
        </w:tc>
      </w:tr>
      <w:tr w:rsidR="00E3138F" w14:paraId="1DE297AF" w14:textId="77777777" w:rsidTr="00E3138F">
        <w:trPr>
          <w:jc w:val="center"/>
        </w:trPr>
        <w:tc>
          <w:tcPr>
            <w:tcW w:w="1418" w:type="dxa"/>
          </w:tcPr>
          <w:p w14:paraId="17E79CBA" w14:textId="2E662770" w:rsidR="00E3138F" w:rsidRDefault="00E3138F" w:rsidP="00E3138F">
            <w:pPr>
              <w:pStyle w:val="Tablecontent"/>
            </w:pPr>
            <w:r w:rsidRPr="00204C37">
              <w:t>WL2</w:t>
            </w:r>
          </w:p>
        </w:tc>
        <w:tc>
          <w:tcPr>
            <w:tcW w:w="1276" w:type="dxa"/>
          </w:tcPr>
          <w:p w14:paraId="2B744B30" w14:textId="64EBAB92" w:rsidR="00E3138F" w:rsidRDefault="00E3138F" w:rsidP="00E3138F">
            <w:pPr>
              <w:pStyle w:val="Tablecontent"/>
              <w:jc w:val="center"/>
            </w:pPr>
            <w:r>
              <w:t>3</w:t>
            </w:r>
          </w:p>
        </w:tc>
        <w:tc>
          <w:tcPr>
            <w:tcW w:w="1559" w:type="dxa"/>
          </w:tcPr>
          <w:p w14:paraId="27752C15" w14:textId="36B17626" w:rsidR="00E3138F" w:rsidRDefault="00E3138F" w:rsidP="00E3138F">
            <w:pPr>
              <w:pStyle w:val="Tablecontent"/>
              <w:jc w:val="center"/>
            </w:pPr>
            <w:r>
              <w:t>3</w:t>
            </w:r>
          </w:p>
        </w:tc>
        <w:tc>
          <w:tcPr>
            <w:tcW w:w="1418" w:type="dxa"/>
          </w:tcPr>
          <w:p w14:paraId="5528EB95" w14:textId="06BD70C8" w:rsidR="00E3138F" w:rsidRDefault="00E3138F" w:rsidP="00E3138F">
            <w:pPr>
              <w:pStyle w:val="Tablecontent"/>
              <w:jc w:val="center"/>
            </w:pPr>
            <w:r>
              <w:t>0</w:t>
            </w:r>
          </w:p>
        </w:tc>
      </w:tr>
      <w:tr w:rsidR="00E3138F" w14:paraId="4110DA46" w14:textId="77777777" w:rsidTr="00E3138F">
        <w:trPr>
          <w:jc w:val="center"/>
        </w:trPr>
        <w:tc>
          <w:tcPr>
            <w:tcW w:w="1418" w:type="dxa"/>
          </w:tcPr>
          <w:p w14:paraId="213B7722" w14:textId="2003C9C8" w:rsidR="00E3138F" w:rsidRDefault="00E3138F" w:rsidP="00E3138F">
            <w:pPr>
              <w:pStyle w:val="Tablecontent"/>
            </w:pPr>
            <w:r w:rsidRPr="00204C37">
              <w:t>WL3</w:t>
            </w:r>
          </w:p>
        </w:tc>
        <w:tc>
          <w:tcPr>
            <w:tcW w:w="1276" w:type="dxa"/>
          </w:tcPr>
          <w:p w14:paraId="015618F7" w14:textId="11472B73" w:rsidR="00E3138F" w:rsidRDefault="00E3138F" w:rsidP="00E3138F">
            <w:pPr>
              <w:pStyle w:val="Tablecontent"/>
              <w:jc w:val="center"/>
            </w:pPr>
            <w:r>
              <w:t>3</w:t>
            </w:r>
          </w:p>
        </w:tc>
        <w:tc>
          <w:tcPr>
            <w:tcW w:w="1559" w:type="dxa"/>
          </w:tcPr>
          <w:p w14:paraId="5F086564" w14:textId="29504B3A" w:rsidR="00E3138F" w:rsidRDefault="00E3138F" w:rsidP="00E3138F">
            <w:pPr>
              <w:pStyle w:val="Tablecontent"/>
              <w:jc w:val="center"/>
            </w:pPr>
            <w:r>
              <w:t>3</w:t>
            </w:r>
          </w:p>
        </w:tc>
        <w:tc>
          <w:tcPr>
            <w:tcW w:w="1418" w:type="dxa"/>
          </w:tcPr>
          <w:p w14:paraId="602686DE" w14:textId="29AA9D75" w:rsidR="00E3138F" w:rsidRDefault="00E3138F" w:rsidP="00E3138F">
            <w:pPr>
              <w:pStyle w:val="Tablecontent"/>
              <w:jc w:val="center"/>
            </w:pPr>
            <w:r>
              <w:t>0</w:t>
            </w:r>
          </w:p>
        </w:tc>
      </w:tr>
      <w:tr w:rsidR="00E3138F" w14:paraId="79D8A170" w14:textId="77777777" w:rsidTr="00E3138F">
        <w:trPr>
          <w:jc w:val="center"/>
        </w:trPr>
        <w:tc>
          <w:tcPr>
            <w:tcW w:w="1418" w:type="dxa"/>
          </w:tcPr>
          <w:p w14:paraId="5787231D" w14:textId="4C60CC2E" w:rsidR="00E3138F" w:rsidRDefault="00E3138F" w:rsidP="00E3138F">
            <w:pPr>
              <w:pStyle w:val="Tablecontent"/>
            </w:pPr>
            <w:r w:rsidRPr="00204C37">
              <w:t>WL4</w:t>
            </w:r>
          </w:p>
        </w:tc>
        <w:tc>
          <w:tcPr>
            <w:tcW w:w="1276" w:type="dxa"/>
          </w:tcPr>
          <w:p w14:paraId="765AEBFE" w14:textId="2454C902" w:rsidR="00E3138F" w:rsidRDefault="00E3138F" w:rsidP="00E3138F">
            <w:pPr>
              <w:pStyle w:val="Tablecontent"/>
              <w:jc w:val="center"/>
            </w:pPr>
            <w:r>
              <w:t>4</w:t>
            </w:r>
          </w:p>
        </w:tc>
        <w:tc>
          <w:tcPr>
            <w:tcW w:w="1559" w:type="dxa"/>
          </w:tcPr>
          <w:p w14:paraId="191C7506" w14:textId="552B9F4B" w:rsidR="00E3138F" w:rsidRDefault="00E3138F" w:rsidP="00E3138F">
            <w:pPr>
              <w:pStyle w:val="Tablecontent"/>
              <w:jc w:val="center"/>
            </w:pPr>
            <w:r>
              <w:t>4</w:t>
            </w:r>
          </w:p>
        </w:tc>
        <w:tc>
          <w:tcPr>
            <w:tcW w:w="1418" w:type="dxa"/>
          </w:tcPr>
          <w:p w14:paraId="73C2237E" w14:textId="5D08A980" w:rsidR="00E3138F" w:rsidRDefault="00E3138F" w:rsidP="00E3138F">
            <w:pPr>
              <w:pStyle w:val="Tablecontent"/>
              <w:jc w:val="center"/>
            </w:pPr>
            <w:r>
              <w:t>0</w:t>
            </w:r>
          </w:p>
        </w:tc>
      </w:tr>
      <w:tr w:rsidR="00E3138F" w14:paraId="3237A2CC" w14:textId="77777777" w:rsidTr="00E3138F">
        <w:trPr>
          <w:jc w:val="center"/>
        </w:trPr>
        <w:tc>
          <w:tcPr>
            <w:tcW w:w="1418" w:type="dxa"/>
          </w:tcPr>
          <w:p w14:paraId="36BCEE2C" w14:textId="3885E856" w:rsidR="00E3138F" w:rsidRDefault="00E3138F" w:rsidP="00E3138F">
            <w:pPr>
              <w:pStyle w:val="Tablecontent"/>
            </w:pPr>
            <w:r w:rsidRPr="00204C37">
              <w:t>WL5</w:t>
            </w:r>
          </w:p>
        </w:tc>
        <w:tc>
          <w:tcPr>
            <w:tcW w:w="1276" w:type="dxa"/>
          </w:tcPr>
          <w:p w14:paraId="0909DEFC" w14:textId="2C048F78" w:rsidR="00E3138F" w:rsidRDefault="00E3138F" w:rsidP="00E3138F">
            <w:pPr>
              <w:pStyle w:val="Tablecontent"/>
              <w:jc w:val="center"/>
            </w:pPr>
            <w:r>
              <w:t>2</w:t>
            </w:r>
          </w:p>
        </w:tc>
        <w:tc>
          <w:tcPr>
            <w:tcW w:w="1559" w:type="dxa"/>
          </w:tcPr>
          <w:p w14:paraId="5ABC2A95" w14:textId="1CD38022" w:rsidR="00E3138F" w:rsidRDefault="00E3138F" w:rsidP="00E3138F">
            <w:pPr>
              <w:pStyle w:val="Tablecontent"/>
              <w:jc w:val="center"/>
            </w:pPr>
            <w:r>
              <w:t>2</w:t>
            </w:r>
          </w:p>
        </w:tc>
        <w:tc>
          <w:tcPr>
            <w:tcW w:w="1418" w:type="dxa"/>
          </w:tcPr>
          <w:p w14:paraId="7FBA8971" w14:textId="4803E0AC" w:rsidR="00E3138F" w:rsidRDefault="00E3138F" w:rsidP="00E3138F">
            <w:pPr>
              <w:pStyle w:val="Tablecontent"/>
              <w:jc w:val="center"/>
            </w:pPr>
            <w:r>
              <w:t>0</w:t>
            </w:r>
          </w:p>
        </w:tc>
      </w:tr>
      <w:tr w:rsidR="00E3138F" w14:paraId="1BDAD5B5" w14:textId="77777777" w:rsidTr="00E3138F">
        <w:trPr>
          <w:jc w:val="center"/>
        </w:trPr>
        <w:tc>
          <w:tcPr>
            <w:tcW w:w="1418" w:type="dxa"/>
          </w:tcPr>
          <w:p w14:paraId="084BB33A" w14:textId="042F0D1A" w:rsidR="00E3138F" w:rsidRDefault="00E3138F" w:rsidP="00E3138F">
            <w:pPr>
              <w:pStyle w:val="Tablecontent"/>
            </w:pPr>
            <w:r w:rsidRPr="00204C37">
              <w:t>WL-L</w:t>
            </w:r>
          </w:p>
        </w:tc>
        <w:tc>
          <w:tcPr>
            <w:tcW w:w="1276" w:type="dxa"/>
          </w:tcPr>
          <w:p w14:paraId="5B275FDB" w14:textId="17864344" w:rsidR="00E3138F" w:rsidRDefault="00E3138F" w:rsidP="00E3138F">
            <w:pPr>
              <w:pStyle w:val="Tablecontent"/>
              <w:jc w:val="center"/>
            </w:pPr>
            <w:r>
              <w:t>4</w:t>
            </w:r>
          </w:p>
        </w:tc>
        <w:tc>
          <w:tcPr>
            <w:tcW w:w="1559" w:type="dxa"/>
          </w:tcPr>
          <w:p w14:paraId="10953FB6" w14:textId="024C15A1" w:rsidR="00E3138F" w:rsidRDefault="00E3138F" w:rsidP="00E3138F">
            <w:pPr>
              <w:pStyle w:val="Tablecontent"/>
              <w:jc w:val="center"/>
            </w:pPr>
            <w:r>
              <w:t>4</w:t>
            </w:r>
          </w:p>
        </w:tc>
        <w:tc>
          <w:tcPr>
            <w:tcW w:w="1418" w:type="dxa"/>
          </w:tcPr>
          <w:p w14:paraId="48B9D2DA" w14:textId="1FEBD2A6" w:rsidR="00E3138F" w:rsidRDefault="00E3138F" w:rsidP="00E3138F">
            <w:pPr>
              <w:pStyle w:val="Tablecontent"/>
              <w:jc w:val="center"/>
            </w:pPr>
            <w:r>
              <w:t>1</w:t>
            </w:r>
          </w:p>
        </w:tc>
      </w:tr>
      <w:tr w:rsidR="00E3138F" w14:paraId="5004EC31" w14:textId="77777777" w:rsidTr="00E3138F">
        <w:trPr>
          <w:jc w:val="center"/>
        </w:trPr>
        <w:tc>
          <w:tcPr>
            <w:tcW w:w="1418" w:type="dxa"/>
          </w:tcPr>
          <w:p w14:paraId="06A48E57" w14:textId="1C165A77" w:rsidR="00E3138F" w:rsidRDefault="00E3138F" w:rsidP="00E3138F">
            <w:pPr>
              <w:pStyle w:val="Tablecontent"/>
            </w:pPr>
            <w:r w:rsidRPr="00204C37">
              <w:t>WL-B-D</w:t>
            </w:r>
          </w:p>
        </w:tc>
        <w:tc>
          <w:tcPr>
            <w:tcW w:w="1276" w:type="dxa"/>
          </w:tcPr>
          <w:p w14:paraId="71F5625D" w14:textId="40246860" w:rsidR="00E3138F" w:rsidRDefault="00E3138F" w:rsidP="00E3138F">
            <w:pPr>
              <w:pStyle w:val="Tablecontent"/>
              <w:jc w:val="center"/>
            </w:pPr>
            <w:r>
              <w:t>5</w:t>
            </w:r>
          </w:p>
        </w:tc>
        <w:tc>
          <w:tcPr>
            <w:tcW w:w="1559" w:type="dxa"/>
          </w:tcPr>
          <w:p w14:paraId="6DCB83EA" w14:textId="3671C50F" w:rsidR="00E3138F" w:rsidRDefault="00E3138F" w:rsidP="00E3138F">
            <w:pPr>
              <w:pStyle w:val="Tablecontent"/>
              <w:jc w:val="center"/>
            </w:pPr>
            <w:r>
              <w:t>5</w:t>
            </w:r>
          </w:p>
        </w:tc>
        <w:tc>
          <w:tcPr>
            <w:tcW w:w="1418" w:type="dxa"/>
          </w:tcPr>
          <w:p w14:paraId="3390AB35" w14:textId="5D88957A" w:rsidR="00E3138F" w:rsidRDefault="00E3138F" w:rsidP="00E3138F">
            <w:pPr>
              <w:pStyle w:val="Tablecontent"/>
              <w:jc w:val="center"/>
            </w:pPr>
            <w:r>
              <w:t>1</w:t>
            </w:r>
          </w:p>
        </w:tc>
      </w:tr>
      <w:tr w:rsidR="00E3138F" w14:paraId="47FFE4DC" w14:textId="77777777" w:rsidTr="00E3138F">
        <w:trPr>
          <w:jc w:val="center"/>
        </w:trPr>
        <w:tc>
          <w:tcPr>
            <w:tcW w:w="1418" w:type="dxa"/>
          </w:tcPr>
          <w:p w14:paraId="7C1706BB" w14:textId="20994DAA" w:rsidR="00E3138F" w:rsidRDefault="00E3138F" w:rsidP="00E3138F">
            <w:pPr>
              <w:pStyle w:val="Tablecontent"/>
            </w:pPr>
            <w:r w:rsidRPr="00204C37">
              <w:t>WL-B-E</w:t>
            </w:r>
          </w:p>
        </w:tc>
        <w:tc>
          <w:tcPr>
            <w:tcW w:w="1276" w:type="dxa"/>
          </w:tcPr>
          <w:p w14:paraId="1A6A1FAF" w14:textId="791AA7CB" w:rsidR="00E3138F" w:rsidRDefault="00E3138F" w:rsidP="00E3138F">
            <w:pPr>
              <w:pStyle w:val="Tablecontent"/>
              <w:jc w:val="center"/>
            </w:pPr>
            <w:r>
              <w:t>5</w:t>
            </w:r>
          </w:p>
        </w:tc>
        <w:tc>
          <w:tcPr>
            <w:tcW w:w="1559" w:type="dxa"/>
          </w:tcPr>
          <w:p w14:paraId="744E37D7" w14:textId="6FDF7786" w:rsidR="00E3138F" w:rsidRDefault="00E3138F" w:rsidP="00E3138F">
            <w:pPr>
              <w:pStyle w:val="Tablecontent"/>
              <w:jc w:val="center"/>
            </w:pPr>
            <w:r>
              <w:t>4</w:t>
            </w:r>
          </w:p>
        </w:tc>
        <w:tc>
          <w:tcPr>
            <w:tcW w:w="1418" w:type="dxa"/>
          </w:tcPr>
          <w:p w14:paraId="77C126F1" w14:textId="14AF67BA" w:rsidR="00E3138F" w:rsidRDefault="00E3138F" w:rsidP="00E3138F">
            <w:pPr>
              <w:pStyle w:val="Tablecontent"/>
              <w:jc w:val="center"/>
            </w:pPr>
            <w:r>
              <w:t>0</w:t>
            </w:r>
          </w:p>
        </w:tc>
      </w:tr>
      <w:tr w:rsidR="00E3138F" w14:paraId="6068C7AF" w14:textId="77777777" w:rsidTr="00E3138F">
        <w:trPr>
          <w:jc w:val="center"/>
        </w:trPr>
        <w:tc>
          <w:tcPr>
            <w:tcW w:w="1418" w:type="dxa"/>
          </w:tcPr>
          <w:p w14:paraId="53BC2A33" w14:textId="344542B5" w:rsidR="00E3138F" w:rsidRDefault="00E3138F" w:rsidP="00E3138F">
            <w:pPr>
              <w:pStyle w:val="Tablecontent"/>
            </w:pPr>
            <w:r w:rsidRPr="00204C37">
              <w:t>WL-NU</w:t>
            </w:r>
          </w:p>
        </w:tc>
        <w:tc>
          <w:tcPr>
            <w:tcW w:w="1276" w:type="dxa"/>
          </w:tcPr>
          <w:p w14:paraId="74ABB859" w14:textId="6619B944" w:rsidR="00E3138F" w:rsidRDefault="00E3138F" w:rsidP="00E3138F">
            <w:pPr>
              <w:pStyle w:val="Tablecontent"/>
              <w:jc w:val="center"/>
            </w:pPr>
            <w:r>
              <w:t>3</w:t>
            </w:r>
          </w:p>
        </w:tc>
        <w:tc>
          <w:tcPr>
            <w:tcW w:w="1559" w:type="dxa"/>
          </w:tcPr>
          <w:p w14:paraId="7ACC15A8" w14:textId="17462CF4" w:rsidR="00E3138F" w:rsidRDefault="00E3138F" w:rsidP="00E3138F">
            <w:pPr>
              <w:pStyle w:val="Tablecontent"/>
              <w:jc w:val="center"/>
            </w:pPr>
            <w:r>
              <w:t>2</w:t>
            </w:r>
          </w:p>
        </w:tc>
        <w:tc>
          <w:tcPr>
            <w:tcW w:w="1418" w:type="dxa"/>
          </w:tcPr>
          <w:p w14:paraId="0267BA75" w14:textId="2904F135" w:rsidR="00E3138F" w:rsidRDefault="00E3138F" w:rsidP="00E3138F">
            <w:pPr>
              <w:pStyle w:val="Tablecontent"/>
              <w:jc w:val="center"/>
            </w:pPr>
            <w:r>
              <w:t>1</w:t>
            </w:r>
          </w:p>
        </w:tc>
      </w:tr>
      <w:tr w:rsidR="00E3138F" w14:paraId="57D1F3CC" w14:textId="77777777" w:rsidTr="00E3138F">
        <w:trPr>
          <w:jc w:val="center"/>
        </w:trPr>
        <w:tc>
          <w:tcPr>
            <w:tcW w:w="1418" w:type="dxa"/>
          </w:tcPr>
          <w:p w14:paraId="182A9159" w14:textId="601CEC53" w:rsidR="00E3138F" w:rsidRDefault="00E3138F" w:rsidP="00E3138F">
            <w:pPr>
              <w:pStyle w:val="Tablecontent"/>
            </w:pPr>
            <w:r w:rsidRPr="00204C37">
              <w:t>WL-K</w:t>
            </w:r>
          </w:p>
        </w:tc>
        <w:tc>
          <w:tcPr>
            <w:tcW w:w="1276" w:type="dxa"/>
          </w:tcPr>
          <w:p w14:paraId="3416B037" w14:textId="5831724A" w:rsidR="00E3138F" w:rsidRDefault="00E3138F" w:rsidP="00E3138F">
            <w:pPr>
              <w:pStyle w:val="Tablecontent"/>
              <w:jc w:val="center"/>
            </w:pPr>
            <w:r>
              <w:t>5</w:t>
            </w:r>
          </w:p>
        </w:tc>
        <w:tc>
          <w:tcPr>
            <w:tcW w:w="1559" w:type="dxa"/>
          </w:tcPr>
          <w:p w14:paraId="65730040" w14:textId="65FEE000" w:rsidR="00E3138F" w:rsidRDefault="00E3138F" w:rsidP="00E3138F">
            <w:pPr>
              <w:pStyle w:val="Tablecontent"/>
              <w:jc w:val="center"/>
            </w:pPr>
            <w:r>
              <w:t>5</w:t>
            </w:r>
          </w:p>
        </w:tc>
        <w:tc>
          <w:tcPr>
            <w:tcW w:w="1418" w:type="dxa"/>
          </w:tcPr>
          <w:p w14:paraId="07DD8207" w14:textId="14EDB2CA" w:rsidR="00E3138F" w:rsidRDefault="00E3138F" w:rsidP="00E3138F">
            <w:pPr>
              <w:pStyle w:val="Tablecontent"/>
              <w:jc w:val="center"/>
            </w:pPr>
            <w:r>
              <w:t>0</w:t>
            </w:r>
          </w:p>
        </w:tc>
      </w:tr>
      <w:tr w:rsidR="00E3138F" w14:paraId="788336BC" w14:textId="77777777" w:rsidTr="00E3138F">
        <w:trPr>
          <w:jc w:val="center"/>
        </w:trPr>
        <w:tc>
          <w:tcPr>
            <w:tcW w:w="1418" w:type="dxa"/>
          </w:tcPr>
          <w:p w14:paraId="0A604370" w14:textId="50A30C6F" w:rsidR="00E3138F" w:rsidRDefault="00E3138F" w:rsidP="00E3138F">
            <w:pPr>
              <w:pStyle w:val="Tablecontent"/>
            </w:pPr>
            <w:r w:rsidRPr="00204C37">
              <w:t>WL-IS</w:t>
            </w:r>
          </w:p>
        </w:tc>
        <w:tc>
          <w:tcPr>
            <w:tcW w:w="1276" w:type="dxa"/>
          </w:tcPr>
          <w:p w14:paraId="2A07CB86" w14:textId="74A09FF6" w:rsidR="00E3138F" w:rsidRDefault="00E3138F" w:rsidP="00E3138F">
            <w:pPr>
              <w:pStyle w:val="Tablecontent"/>
              <w:jc w:val="center"/>
            </w:pPr>
            <w:r>
              <w:t>2</w:t>
            </w:r>
          </w:p>
        </w:tc>
        <w:tc>
          <w:tcPr>
            <w:tcW w:w="1559" w:type="dxa"/>
          </w:tcPr>
          <w:p w14:paraId="08179120" w14:textId="221920B9" w:rsidR="00E3138F" w:rsidRDefault="00E3138F" w:rsidP="00E3138F">
            <w:pPr>
              <w:pStyle w:val="Tablecontent"/>
              <w:jc w:val="center"/>
            </w:pPr>
            <w:r>
              <w:t>2</w:t>
            </w:r>
          </w:p>
        </w:tc>
        <w:tc>
          <w:tcPr>
            <w:tcW w:w="1418" w:type="dxa"/>
          </w:tcPr>
          <w:p w14:paraId="0B272A02" w14:textId="780F5EB6" w:rsidR="00E3138F" w:rsidRDefault="00E3138F" w:rsidP="00E3138F">
            <w:pPr>
              <w:pStyle w:val="Tablecontent"/>
              <w:jc w:val="center"/>
            </w:pPr>
            <w:r>
              <w:t>0</w:t>
            </w:r>
          </w:p>
        </w:tc>
      </w:tr>
      <w:tr w:rsidR="00E3138F" w14:paraId="068DDC8C" w14:textId="77777777" w:rsidTr="00E3138F">
        <w:trPr>
          <w:jc w:val="center"/>
        </w:trPr>
        <w:tc>
          <w:tcPr>
            <w:tcW w:w="1418" w:type="dxa"/>
          </w:tcPr>
          <w:p w14:paraId="40CF541B" w14:textId="1A20E7D3" w:rsidR="00E3138F" w:rsidRDefault="00E3138F" w:rsidP="00E3138F">
            <w:pPr>
              <w:pStyle w:val="Tablecontent"/>
            </w:pPr>
            <w:r w:rsidRPr="00204C37">
              <w:t>WL-HA</w:t>
            </w:r>
          </w:p>
        </w:tc>
        <w:tc>
          <w:tcPr>
            <w:tcW w:w="1276" w:type="dxa"/>
          </w:tcPr>
          <w:p w14:paraId="6CDA6FDD" w14:textId="5619C478" w:rsidR="00E3138F" w:rsidRDefault="00E3138F" w:rsidP="00E3138F">
            <w:pPr>
              <w:pStyle w:val="Tablecontent"/>
              <w:jc w:val="center"/>
            </w:pPr>
            <w:r>
              <w:t>6</w:t>
            </w:r>
          </w:p>
        </w:tc>
        <w:tc>
          <w:tcPr>
            <w:tcW w:w="1559" w:type="dxa"/>
          </w:tcPr>
          <w:p w14:paraId="13026C3F" w14:textId="35152F9E" w:rsidR="00E3138F" w:rsidRDefault="00E3138F" w:rsidP="00E3138F">
            <w:pPr>
              <w:pStyle w:val="Tablecontent"/>
              <w:jc w:val="center"/>
            </w:pPr>
            <w:r>
              <w:t>4</w:t>
            </w:r>
          </w:p>
        </w:tc>
        <w:tc>
          <w:tcPr>
            <w:tcW w:w="1418" w:type="dxa"/>
          </w:tcPr>
          <w:p w14:paraId="5EFF6335" w14:textId="58D68ED1" w:rsidR="00E3138F" w:rsidRDefault="00E3138F" w:rsidP="00E3138F">
            <w:pPr>
              <w:pStyle w:val="Tablecontent"/>
              <w:jc w:val="center"/>
            </w:pPr>
            <w:r>
              <w:t>1</w:t>
            </w:r>
          </w:p>
        </w:tc>
      </w:tr>
      <w:tr w:rsidR="00E3138F" w14:paraId="3B9BE0A4" w14:textId="77777777" w:rsidTr="00E3138F">
        <w:trPr>
          <w:jc w:val="center"/>
        </w:trPr>
        <w:tc>
          <w:tcPr>
            <w:tcW w:w="1418" w:type="dxa"/>
          </w:tcPr>
          <w:p w14:paraId="45842B8A" w14:textId="7B6A59E6" w:rsidR="00E3138F" w:rsidRDefault="00E3138F" w:rsidP="00E3138F">
            <w:pPr>
              <w:pStyle w:val="Tablecontent"/>
            </w:pPr>
            <w:r w:rsidRPr="00204C37">
              <w:t>WL-LA</w:t>
            </w:r>
          </w:p>
        </w:tc>
        <w:tc>
          <w:tcPr>
            <w:tcW w:w="1276" w:type="dxa"/>
          </w:tcPr>
          <w:p w14:paraId="7A871EF4" w14:textId="498B2F42" w:rsidR="00E3138F" w:rsidRDefault="00E3138F" w:rsidP="00E3138F">
            <w:pPr>
              <w:pStyle w:val="Tablecontent"/>
              <w:jc w:val="center"/>
            </w:pPr>
            <w:r>
              <w:t>4</w:t>
            </w:r>
          </w:p>
        </w:tc>
        <w:tc>
          <w:tcPr>
            <w:tcW w:w="1559" w:type="dxa"/>
          </w:tcPr>
          <w:p w14:paraId="2CBB5DF8" w14:textId="37B67238" w:rsidR="00E3138F" w:rsidRDefault="00E3138F" w:rsidP="00E3138F">
            <w:pPr>
              <w:pStyle w:val="Tablecontent"/>
              <w:jc w:val="center"/>
            </w:pPr>
            <w:r>
              <w:t>4</w:t>
            </w:r>
          </w:p>
        </w:tc>
        <w:tc>
          <w:tcPr>
            <w:tcW w:w="1418" w:type="dxa"/>
          </w:tcPr>
          <w:p w14:paraId="2B10B927" w14:textId="174AAA3E" w:rsidR="00E3138F" w:rsidRDefault="00E3138F" w:rsidP="00E3138F">
            <w:pPr>
              <w:pStyle w:val="Tablecontent"/>
              <w:jc w:val="center"/>
            </w:pPr>
            <w:r>
              <w:t>0</w:t>
            </w:r>
          </w:p>
        </w:tc>
      </w:tr>
      <w:tr w:rsidR="00E3138F" w14:paraId="2395C3C9" w14:textId="77777777" w:rsidTr="00E3138F">
        <w:trPr>
          <w:jc w:val="center"/>
        </w:trPr>
        <w:tc>
          <w:tcPr>
            <w:tcW w:w="1418" w:type="dxa"/>
          </w:tcPr>
          <w:p w14:paraId="73D7470B" w14:textId="3A07BB00" w:rsidR="00E3138F" w:rsidRDefault="00E3138F" w:rsidP="00E3138F">
            <w:pPr>
              <w:pStyle w:val="Tablecontent"/>
            </w:pPr>
            <w:r w:rsidRPr="00204C37">
              <w:t>WL-PB-15</w:t>
            </w:r>
          </w:p>
        </w:tc>
        <w:tc>
          <w:tcPr>
            <w:tcW w:w="1276" w:type="dxa"/>
          </w:tcPr>
          <w:p w14:paraId="24CD5F84" w14:textId="636E862D" w:rsidR="00E3138F" w:rsidRDefault="00E3138F" w:rsidP="00E3138F">
            <w:pPr>
              <w:pStyle w:val="Tablecontent"/>
              <w:jc w:val="center"/>
            </w:pPr>
            <w:r>
              <w:t>4</w:t>
            </w:r>
          </w:p>
        </w:tc>
        <w:tc>
          <w:tcPr>
            <w:tcW w:w="1559" w:type="dxa"/>
          </w:tcPr>
          <w:p w14:paraId="75D621CB" w14:textId="34CB2C8B" w:rsidR="00E3138F" w:rsidRDefault="00E3138F" w:rsidP="00E3138F">
            <w:pPr>
              <w:pStyle w:val="Tablecontent"/>
              <w:jc w:val="center"/>
            </w:pPr>
            <w:r>
              <w:t>3</w:t>
            </w:r>
          </w:p>
        </w:tc>
        <w:tc>
          <w:tcPr>
            <w:tcW w:w="1418" w:type="dxa"/>
          </w:tcPr>
          <w:p w14:paraId="32DB5698" w14:textId="77E79F75" w:rsidR="00E3138F" w:rsidRDefault="00E3138F" w:rsidP="00E3138F">
            <w:pPr>
              <w:pStyle w:val="Tablecontent"/>
              <w:jc w:val="center"/>
            </w:pPr>
            <w:r>
              <w:t>1</w:t>
            </w:r>
          </w:p>
        </w:tc>
      </w:tr>
      <w:tr w:rsidR="00E3138F" w14:paraId="58B55805" w14:textId="77777777" w:rsidTr="00E3138F">
        <w:trPr>
          <w:jc w:val="center"/>
        </w:trPr>
        <w:tc>
          <w:tcPr>
            <w:tcW w:w="1418" w:type="dxa"/>
          </w:tcPr>
          <w:p w14:paraId="4384C332" w14:textId="559DBEF3" w:rsidR="00E3138F" w:rsidRDefault="00E3138F" w:rsidP="00E3138F">
            <w:pPr>
              <w:pStyle w:val="Tablecontent"/>
            </w:pPr>
            <w:r w:rsidRPr="00204C37">
              <w:t>WL-PB-6</w:t>
            </w:r>
          </w:p>
        </w:tc>
        <w:tc>
          <w:tcPr>
            <w:tcW w:w="1276" w:type="dxa"/>
          </w:tcPr>
          <w:p w14:paraId="57413273" w14:textId="2BA09A83" w:rsidR="00E3138F" w:rsidRDefault="00E3138F" w:rsidP="00E3138F">
            <w:pPr>
              <w:pStyle w:val="Tablecontent"/>
              <w:jc w:val="center"/>
            </w:pPr>
            <w:r>
              <w:t>1</w:t>
            </w:r>
          </w:p>
        </w:tc>
        <w:tc>
          <w:tcPr>
            <w:tcW w:w="1559" w:type="dxa"/>
          </w:tcPr>
          <w:p w14:paraId="7B394515" w14:textId="303D6C33" w:rsidR="00E3138F" w:rsidRDefault="00E3138F" w:rsidP="00E3138F">
            <w:pPr>
              <w:pStyle w:val="Tablecontent"/>
              <w:jc w:val="center"/>
            </w:pPr>
            <w:r>
              <w:t>1</w:t>
            </w:r>
          </w:p>
        </w:tc>
        <w:tc>
          <w:tcPr>
            <w:tcW w:w="1418" w:type="dxa"/>
          </w:tcPr>
          <w:p w14:paraId="5F1C38A1" w14:textId="06957952" w:rsidR="00E3138F" w:rsidRDefault="00E3138F" w:rsidP="00E3138F">
            <w:pPr>
              <w:pStyle w:val="Tablecontent"/>
              <w:jc w:val="center"/>
            </w:pPr>
            <w:r>
              <w:t>0</w:t>
            </w:r>
          </w:p>
        </w:tc>
      </w:tr>
      <w:tr w:rsidR="00E3138F" w14:paraId="6D22B9BB" w14:textId="77777777" w:rsidTr="00E3138F">
        <w:trPr>
          <w:jc w:val="center"/>
        </w:trPr>
        <w:tc>
          <w:tcPr>
            <w:tcW w:w="1418" w:type="dxa"/>
          </w:tcPr>
          <w:p w14:paraId="3FFEA85C" w14:textId="1FB342DA" w:rsidR="00E3138F" w:rsidRDefault="00E3138F" w:rsidP="00E3138F">
            <w:pPr>
              <w:pStyle w:val="Tablecontent"/>
            </w:pPr>
            <w:r w:rsidRPr="00204C37">
              <w:lastRenderedPageBreak/>
              <w:t>WL-PB-7</w:t>
            </w:r>
          </w:p>
        </w:tc>
        <w:tc>
          <w:tcPr>
            <w:tcW w:w="1276" w:type="dxa"/>
          </w:tcPr>
          <w:p w14:paraId="278DA485" w14:textId="6E6CBEDB" w:rsidR="00E3138F" w:rsidRDefault="00E3138F" w:rsidP="00E3138F">
            <w:pPr>
              <w:pStyle w:val="Tablecontent"/>
              <w:jc w:val="center"/>
            </w:pPr>
            <w:r>
              <w:t>2</w:t>
            </w:r>
          </w:p>
        </w:tc>
        <w:tc>
          <w:tcPr>
            <w:tcW w:w="1559" w:type="dxa"/>
          </w:tcPr>
          <w:p w14:paraId="7FED46A6" w14:textId="0E39C718" w:rsidR="00E3138F" w:rsidRDefault="00E3138F" w:rsidP="00E3138F">
            <w:pPr>
              <w:pStyle w:val="Tablecontent"/>
              <w:jc w:val="center"/>
            </w:pPr>
            <w:r>
              <w:t>1</w:t>
            </w:r>
          </w:p>
        </w:tc>
        <w:tc>
          <w:tcPr>
            <w:tcW w:w="1418" w:type="dxa"/>
          </w:tcPr>
          <w:p w14:paraId="4CBC4152" w14:textId="4CFBB114" w:rsidR="00E3138F" w:rsidRDefault="00E3138F" w:rsidP="00E3138F">
            <w:pPr>
              <w:pStyle w:val="Tablecontent"/>
              <w:jc w:val="center"/>
            </w:pPr>
            <w:r>
              <w:t>0</w:t>
            </w:r>
          </w:p>
        </w:tc>
      </w:tr>
      <w:tr w:rsidR="00E3138F" w14:paraId="70064AE0" w14:textId="77777777" w:rsidTr="00E3138F">
        <w:trPr>
          <w:jc w:val="center"/>
        </w:trPr>
        <w:tc>
          <w:tcPr>
            <w:tcW w:w="1418" w:type="dxa"/>
          </w:tcPr>
          <w:p w14:paraId="3F68DCC1" w14:textId="2A47B381" w:rsidR="00E3138F" w:rsidRPr="00204C37" w:rsidRDefault="00E3138F" w:rsidP="00E3138F">
            <w:pPr>
              <w:pStyle w:val="Tablecontent"/>
            </w:pPr>
            <w:r w:rsidRPr="00766A64">
              <w:t>WL-PB-C</w:t>
            </w:r>
          </w:p>
        </w:tc>
        <w:tc>
          <w:tcPr>
            <w:tcW w:w="1276" w:type="dxa"/>
          </w:tcPr>
          <w:p w14:paraId="34E9BFD1" w14:textId="4425865D" w:rsidR="00E3138F" w:rsidRDefault="00E3138F" w:rsidP="00E3138F">
            <w:pPr>
              <w:pStyle w:val="Tablecontent"/>
              <w:jc w:val="center"/>
            </w:pPr>
            <w:r>
              <w:t>2</w:t>
            </w:r>
          </w:p>
        </w:tc>
        <w:tc>
          <w:tcPr>
            <w:tcW w:w="1559" w:type="dxa"/>
          </w:tcPr>
          <w:p w14:paraId="06707764" w14:textId="1D7C3155" w:rsidR="00E3138F" w:rsidRDefault="00E3138F" w:rsidP="00E3138F">
            <w:pPr>
              <w:pStyle w:val="Tablecontent"/>
              <w:jc w:val="center"/>
            </w:pPr>
            <w:r>
              <w:t>1</w:t>
            </w:r>
          </w:p>
        </w:tc>
        <w:tc>
          <w:tcPr>
            <w:tcW w:w="1418" w:type="dxa"/>
          </w:tcPr>
          <w:p w14:paraId="23A0EF3A" w14:textId="53110339" w:rsidR="00E3138F" w:rsidRDefault="00E3138F" w:rsidP="00E3138F">
            <w:pPr>
              <w:pStyle w:val="Tablecontent"/>
              <w:jc w:val="center"/>
            </w:pPr>
            <w:r>
              <w:t>0</w:t>
            </w:r>
          </w:p>
        </w:tc>
      </w:tr>
      <w:tr w:rsidR="00E3138F" w14:paraId="3818E420" w14:textId="77777777" w:rsidTr="00E3138F">
        <w:trPr>
          <w:jc w:val="center"/>
        </w:trPr>
        <w:tc>
          <w:tcPr>
            <w:tcW w:w="1418" w:type="dxa"/>
          </w:tcPr>
          <w:p w14:paraId="1C770262" w14:textId="1BBE13B0" w:rsidR="00E3138F" w:rsidRPr="00204C37" w:rsidRDefault="00E3138F" w:rsidP="00E3138F">
            <w:pPr>
              <w:pStyle w:val="Tablecontent"/>
            </w:pPr>
            <w:r w:rsidRPr="00766A64">
              <w:t>WL-PB-N</w:t>
            </w:r>
          </w:p>
        </w:tc>
        <w:tc>
          <w:tcPr>
            <w:tcW w:w="1276" w:type="dxa"/>
          </w:tcPr>
          <w:p w14:paraId="1CA32B8A" w14:textId="52150F25" w:rsidR="00E3138F" w:rsidRDefault="00E3138F" w:rsidP="00E3138F">
            <w:pPr>
              <w:pStyle w:val="Tablecontent"/>
              <w:jc w:val="center"/>
            </w:pPr>
            <w:r>
              <w:t>5</w:t>
            </w:r>
          </w:p>
        </w:tc>
        <w:tc>
          <w:tcPr>
            <w:tcW w:w="1559" w:type="dxa"/>
          </w:tcPr>
          <w:p w14:paraId="3ACA20FA" w14:textId="0EFF7A33" w:rsidR="00E3138F" w:rsidRDefault="00E3138F" w:rsidP="00E3138F">
            <w:pPr>
              <w:pStyle w:val="Tablecontent"/>
              <w:jc w:val="center"/>
            </w:pPr>
            <w:r>
              <w:t>5</w:t>
            </w:r>
          </w:p>
        </w:tc>
        <w:tc>
          <w:tcPr>
            <w:tcW w:w="1418" w:type="dxa"/>
          </w:tcPr>
          <w:p w14:paraId="775FFA79" w14:textId="663D3114" w:rsidR="00E3138F" w:rsidRDefault="00E3138F" w:rsidP="00E3138F">
            <w:pPr>
              <w:pStyle w:val="Tablecontent"/>
              <w:jc w:val="center"/>
            </w:pPr>
            <w:r>
              <w:t>2</w:t>
            </w:r>
          </w:p>
        </w:tc>
      </w:tr>
      <w:tr w:rsidR="00E3138F" w14:paraId="30A724C4" w14:textId="77777777" w:rsidTr="00E3138F">
        <w:trPr>
          <w:jc w:val="center"/>
        </w:trPr>
        <w:tc>
          <w:tcPr>
            <w:tcW w:w="1418" w:type="dxa"/>
          </w:tcPr>
          <w:p w14:paraId="37E38CE1" w14:textId="660606C6" w:rsidR="00E3138F" w:rsidRPr="00204C37" w:rsidRDefault="00E3138F" w:rsidP="00E3138F">
            <w:pPr>
              <w:pStyle w:val="Tablecontent"/>
            </w:pPr>
            <w:r w:rsidRPr="00766A64">
              <w:t>WL-PB-P</w:t>
            </w:r>
          </w:p>
        </w:tc>
        <w:tc>
          <w:tcPr>
            <w:tcW w:w="1276" w:type="dxa"/>
          </w:tcPr>
          <w:p w14:paraId="2FA06F87" w14:textId="2558B357" w:rsidR="00E3138F" w:rsidRDefault="00E3138F" w:rsidP="00E3138F">
            <w:pPr>
              <w:pStyle w:val="Tablecontent"/>
              <w:jc w:val="center"/>
            </w:pPr>
            <w:r>
              <w:t>5</w:t>
            </w:r>
          </w:p>
        </w:tc>
        <w:tc>
          <w:tcPr>
            <w:tcW w:w="1559" w:type="dxa"/>
          </w:tcPr>
          <w:p w14:paraId="38E35513" w14:textId="2894B52F" w:rsidR="00E3138F" w:rsidRDefault="00E3138F" w:rsidP="00E3138F">
            <w:pPr>
              <w:pStyle w:val="Tablecontent"/>
              <w:jc w:val="center"/>
            </w:pPr>
            <w:r>
              <w:t>5</w:t>
            </w:r>
          </w:p>
        </w:tc>
        <w:tc>
          <w:tcPr>
            <w:tcW w:w="1418" w:type="dxa"/>
          </w:tcPr>
          <w:p w14:paraId="04439B3D" w14:textId="16A8B301" w:rsidR="00E3138F" w:rsidRDefault="00E3138F" w:rsidP="00E3138F">
            <w:pPr>
              <w:pStyle w:val="Tablecontent"/>
              <w:jc w:val="center"/>
            </w:pPr>
            <w:r>
              <w:t>1</w:t>
            </w:r>
          </w:p>
        </w:tc>
      </w:tr>
      <w:tr w:rsidR="00E3138F" w14:paraId="69EFD9F2" w14:textId="77777777" w:rsidTr="00E3138F">
        <w:trPr>
          <w:jc w:val="center"/>
        </w:trPr>
        <w:tc>
          <w:tcPr>
            <w:tcW w:w="1418" w:type="dxa"/>
          </w:tcPr>
          <w:p w14:paraId="274BF86A" w14:textId="103ED0D8" w:rsidR="00E3138F" w:rsidRPr="00204C37" w:rsidRDefault="00E3138F" w:rsidP="00E3138F">
            <w:pPr>
              <w:pStyle w:val="Tablecontent"/>
            </w:pPr>
            <w:r w:rsidRPr="00766A64">
              <w:t>WL-PB-W</w:t>
            </w:r>
          </w:p>
        </w:tc>
        <w:tc>
          <w:tcPr>
            <w:tcW w:w="1276" w:type="dxa"/>
          </w:tcPr>
          <w:p w14:paraId="2885D493" w14:textId="41DCB6B3" w:rsidR="00E3138F" w:rsidRDefault="00E3138F" w:rsidP="00E3138F">
            <w:pPr>
              <w:pStyle w:val="Tablecontent"/>
              <w:jc w:val="center"/>
            </w:pPr>
            <w:r>
              <w:t>3</w:t>
            </w:r>
          </w:p>
        </w:tc>
        <w:tc>
          <w:tcPr>
            <w:tcW w:w="1559" w:type="dxa"/>
          </w:tcPr>
          <w:p w14:paraId="3138CB9E" w14:textId="0F9E8D29" w:rsidR="00E3138F" w:rsidRDefault="00E3138F" w:rsidP="00E3138F">
            <w:pPr>
              <w:pStyle w:val="Tablecontent"/>
              <w:jc w:val="center"/>
            </w:pPr>
            <w:r>
              <w:t>2</w:t>
            </w:r>
          </w:p>
        </w:tc>
        <w:tc>
          <w:tcPr>
            <w:tcW w:w="1418" w:type="dxa"/>
          </w:tcPr>
          <w:p w14:paraId="6AE8396C" w14:textId="2818F047" w:rsidR="00E3138F" w:rsidRDefault="00E3138F" w:rsidP="00E3138F">
            <w:pPr>
              <w:pStyle w:val="Tablecontent"/>
              <w:jc w:val="center"/>
            </w:pPr>
            <w:r>
              <w:t>1</w:t>
            </w:r>
          </w:p>
        </w:tc>
      </w:tr>
      <w:tr w:rsidR="00E3138F" w14:paraId="4D04484B" w14:textId="77777777" w:rsidTr="00E3138F">
        <w:trPr>
          <w:jc w:val="center"/>
        </w:trPr>
        <w:tc>
          <w:tcPr>
            <w:tcW w:w="1418" w:type="dxa"/>
          </w:tcPr>
          <w:p w14:paraId="5CED796B" w14:textId="54DEAC0F" w:rsidR="00E3138F" w:rsidRPr="00204C37" w:rsidRDefault="00E3138F" w:rsidP="00E3138F">
            <w:pPr>
              <w:pStyle w:val="Tablecontent"/>
            </w:pPr>
            <w:r w:rsidRPr="00766A64">
              <w:t>WL-PB-Z</w:t>
            </w:r>
          </w:p>
        </w:tc>
        <w:tc>
          <w:tcPr>
            <w:tcW w:w="1276" w:type="dxa"/>
          </w:tcPr>
          <w:p w14:paraId="1D57EBB8" w14:textId="59D7ED14" w:rsidR="00E3138F" w:rsidRDefault="00E3138F" w:rsidP="00E3138F">
            <w:pPr>
              <w:pStyle w:val="Tablecontent"/>
              <w:jc w:val="center"/>
            </w:pPr>
            <w:r>
              <w:t>0</w:t>
            </w:r>
          </w:p>
        </w:tc>
        <w:tc>
          <w:tcPr>
            <w:tcW w:w="1559" w:type="dxa"/>
          </w:tcPr>
          <w:p w14:paraId="50FAB042" w14:textId="724D45C5" w:rsidR="00E3138F" w:rsidRDefault="00E3138F" w:rsidP="00E3138F">
            <w:pPr>
              <w:pStyle w:val="Tablecontent"/>
              <w:jc w:val="center"/>
            </w:pPr>
            <w:r>
              <w:t>0</w:t>
            </w:r>
          </w:p>
        </w:tc>
        <w:tc>
          <w:tcPr>
            <w:tcW w:w="1418" w:type="dxa"/>
          </w:tcPr>
          <w:p w14:paraId="3C48B994" w14:textId="374595EF" w:rsidR="00E3138F" w:rsidRDefault="00E3138F" w:rsidP="00E3138F">
            <w:pPr>
              <w:pStyle w:val="Tablecontent"/>
              <w:jc w:val="center"/>
            </w:pPr>
            <w:r>
              <w:t>0</w:t>
            </w:r>
          </w:p>
        </w:tc>
      </w:tr>
      <w:tr w:rsidR="00E3138F" w14:paraId="5979BA7E" w14:textId="77777777" w:rsidTr="00E3138F">
        <w:trPr>
          <w:jc w:val="center"/>
        </w:trPr>
        <w:tc>
          <w:tcPr>
            <w:tcW w:w="1418" w:type="dxa"/>
          </w:tcPr>
          <w:p w14:paraId="5D2F33FC" w14:textId="7D7BA120" w:rsidR="00E3138F" w:rsidRPr="00204C37" w:rsidRDefault="00E3138F" w:rsidP="00E3138F">
            <w:pPr>
              <w:pStyle w:val="Tablecontent"/>
            </w:pPr>
            <w:r w:rsidRPr="00766A64">
              <w:t>WL-SPFa</w:t>
            </w:r>
          </w:p>
        </w:tc>
        <w:tc>
          <w:tcPr>
            <w:tcW w:w="1276" w:type="dxa"/>
          </w:tcPr>
          <w:p w14:paraId="76EA3C6F" w14:textId="505C0FD7" w:rsidR="00E3138F" w:rsidRDefault="00E3138F" w:rsidP="00E3138F">
            <w:pPr>
              <w:pStyle w:val="Tablecontent"/>
              <w:jc w:val="center"/>
            </w:pPr>
            <w:r>
              <w:t>2</w:t>
            </w:r>
          </w:p>
        </w:tc>
        <w:tc>
          <w:tcPr>
            <w:tcW w:w="1559" w:type="dxa"/>
          </w:tcPr>
          <w:p w14:paraId="131D7220" w14:textId="58D17018" w:rsidR="00E3138F" w:rsidRDefault="00E3138F" w:rsidP="00E3138F">
            <w:pPr>
              <w:pStyle w:val="Tablecontent"/>
              <w:jc w:val="center"/>
            </w:pPr>
            <w:r>
              <w:t>2</w:t>
            </w:r>
          </w:p>
        </w:tc>
        <w:tc>
          <w:tcPr>
            <w:tcW w:w="1418" w:type="dxa"/>
          </w:tcPr>
          <w:p w14:paraId="6BAFFC94" w14:textId="1E4FC875" w:rsidR="00E3138F" w:rsidRDefault="00E3138F" w:rsidP="00E3138F">
            <w:pPr>
              <w:pStyle w:val="Tablecontent"/>
              <w:jc w:val="center"/>
            </w:pPr>
            <w:r>
              <w:t>0</w:t>
            </w:r>
          </w:p>
        </w:tc>
      </w:tr>
      <w:tr w:rsidR="00E3138F" w14:paraId="3C451B12" w14:textId="77777777" w:rsidTr="00E3138F">
        <w:trPr>
          <w:jc w:val="center"/>
        </w:trPr>
        <w:tc>
          <w:tcPr>
            <w:tcW w:w="1418" w:type="dxa"/>
            <w:tcBorders>
              <w:bottom w:val="single" w:sz="4" w:space="0" w:color="auto"/>
            </w:tcBorders>
          </w:tcPr>
          <w:p w14:paraId="683C3E0E" w14:textId="7CBFC0B2" w:rsidR="00E3138F" w:rsidRDefault="00E3138F" w:rsidP="00E3138F">
            <w:pPr>
              <w:pStyle w:val="Tablecontent"/>
            </w:pPr>
            <w:r w:rsidRPr="00766A64">
              <w:t>WL-SPFb</w:t>
            </w:r>
          </w:p>
        </w:tc>
        <w:tc>
          <w:tcPr>
            <w:tcW w:w="1276" w:type="dxa"/>
            <w:tcBorders>
              <w:bottom w:val="single" w:sz="4" w:space="0" w:color="auto"/>
            </w:tcBorders>
          </w:tcPr>
          <w:p w14:paraId="6A259A7E" w14:textId="14075A34" w:rsidR="00E3138F" w:rsidRDefault="00E3138F" w:rsidP="00E3138F">
            <w:pPr>
              <w:pStyle w:val="Tablecontent"/>
              <w:jc w:val="center"/>
            </w:pPr>
            <w:r>
              <w:t>3</w:t>
            </w:r>
          </w:p>
        </w:tc>
        <w:tc>
          <w:tcPr>
            <w:tcW w:w="1559" w:type="dxa"/>
            <w:tcBorders>
              <w:bottom w:val="single" w:sz="4" w:space="0" w:color="auto"/>
            </w:tcBorders>
          </w:tcPr>
          <w:p w14:paraId="3FA4B3D5" w14:textId="7E5D8493" w:rsidR="00E3138F" w:rsidRDefault="00E3138F" w:rsidP="00E3138F">
            <w:pPr>
              <w:pStyle w:val="Tablecontent"/>
              <w:jc w:val="center"/>
            </w:pPr>
            <w:r>
              <w:t>3</w:t>
            </w:r>
          </w:p>
        </w:tc>
        <w:tc>
          <w:tcPr>
            <w:tcW w:w="1418" w:type="dxa"/>
            <w:tcBorders>
              <w:bottom w:val="single" w:sz="4" w:space="0" w:color="auto"/>
            </w:tcBorders>
          </w:tcPr>
          <w:p w14:paraId="2C93C6F9" w14:textId="39AE9B94" w:rsidR="00E3138F" w:rsidRDefault="00E3138F" w:rsidP="00E3138F">
            <w:pPr>
              <w:pStyle w:val="Tablecontent"/>
              <w:jc w:val="center"/>
            </w:pPr>
            <w:r>
              <w:t>0</w:t>
            </w:r>
          </w:p>
        </w:tc>
      </w:tr>
    </w:tbl>
    <w:p w14:paraId="39C0E0C2" w14:textId="38AB563E" w:rsidR="00A4187C" w:rsidRDefault="00A4187C" w:rsidP="00391005">
      <w:pPr>
        <w:pStyle w:val="ListParagraph"/>
      </w:pPr>
    </w:p>
    <w:p w14:paraId="4FCB1B88" w14:textId="3B02E6B9" w:rsidR="005E458B" w:rsidRDefault="005E458B" w:rsidP="00391005">
      <w:pPr>
        <w:pStyle w:val="ListParagraph"/>
      </w:pPr>
      <w:r>
        <w:t>WL-SPFa and WL-SPFb were lines from separate companies bred to provide pathogen free eggs fo</w:t>
      </w:r>
      <w:r w:rsidR="00383D82">
        <w:t>r research. Both lines have</w:t>
      </w:r>
      <w:r>
        <w:t xml:space="preserve"> ALVE1, which is not expressed under normal condition</w:t>
      </w:r>
      <w:r w:rsidR="00383D82">
        <w:t xml:space="preserve">s, and ALVE9, which </w:t>
      </w:r>
      <w:r>
        <w:t>express</w:t>
      </w:r>
      <w:r w:rsidR="00383D82">
        <w:t>es</w:t>
      </w:r>
      <w:r>
        <w:t xml:space="preserve"> envelope glycoproteins.</w:t>
      </w:r>
      <w:r w:rsidR="00383D82">
        <w:t xml:space="preserve"> Both these lines would be classed as ALV free despite this </w:t>
      </w:r>
      <w:r w:rsidR="00E90ACF">
        <w:t xml:space="preserve">envelope </w:t>
      </w:r>
      <w:r w:rsidR="00383D82">
        <w:t>expression due to testing solely with the p27 ELISA. In addition,</w:t>
      </w:r>
      <w:r>
        <w:t xml:space="preserve"> </w:t>
      </w:r>
      <w:r w:rsidR="00383D82">
        <w:t xml:space="preserve">SPFb also contains ALVE_ros010 (which is also present in brown egg layers, broilers and generalist breeds such as the Silkie) for which the sequence and expression profile are unknown. </w:t>
      </w:r>
    </w:p>
    <w:p w14:paraId="4EEF1229" w14:textId="58765309" w:rsidR="005E458B" w:rsidRDefault="00383D82" w:rsidP="00391005">
      <w:pPr>
        <w:pStyle w:val="ListParagraph"/>
      </w:pPr>
      <w:r>
        <w:t xml:space="preserve">The WL-HA and WL-LA lines were selectively bred for high and low antibody response to infection respectively. The two lines share ALVE1, ALVE3 and ALVE15, </w:t>
      </w:r>
      <w:r w:rsidR="00775B89">
        <w:t>and the low line also has ALVE4. The high line has ALVE9 and two sites shared with generalist breeds and broilers. The pool data came from sixteen individuals for both lines, but average coverage was 14.7 X for the high and 16.4 X for the low, meaning that on average at least half of the alleles would not be represented at any one site. As a result, it is difficult to assign any selective effect on the observed differences in ALVE content, especially without expression data for the additional sites in the high line.</w:t>
      </w:r>
    </w:p>
    <w:p w14:paraId="10F0AC48" w14:textId="12E20FA6" w:rsidR="00383D82" w:rsidRDefault="00293230" w:rsidP="00391005">
      <w:pPr>
        <w:pStyle w:val="ListParagraph"/>
      </w:pPr>
      <w:r>
        <w:t>The other analysed WLs are all held at research institutes and exhibit typica</w:t>
      </w:r>
      <w:r w:rsidR="00670F3E">
        <w:t xml:space="preserve">l layer ALVEs. Novel ALVEs were also </w:t>
      </w:r>
      <w:r w:rsidR="00D96C2A">
        <w:t>identified in WL-D (ALVE_ros034) and WL-NU (ALVE_ros046).</w:t>
      </w:r>
    </w:p>
    <w:p w14:paraId="6E42D8E0" w14:textId="1DBC9B0A" w:rsidR="00D96C2A" w:rsidRDefault="00D96C2A" w:rsidP="00391005">
      <w:pPr>
        <w:pStyle w:val="ListParagraph"/>
      </w:pPr>
      <w:r>
        <w:t>The BL-Br line is the parental line for the Smyth li</w:t>
      </w:r>
      <w:r w:rsidR="00A2735D">
        <w:t>ne (BL-Sm) which was bred as a</w:t>
      </w:r>
      <w:r>
        <w:t xml:space="preserve"> model for autoimmune vitiligo. ALVEs in both lines were analysed in 2000</w:t>
      </w:r>
      <w:r w:rsidR="00A437FC">
        <w:t xml:space="preserve"> using RFLPs, which suggested both lines had the same three ALVEs </w:t>
      </w:r>
      <w:r w:rsidR="00A437FC">
        <w:fldChar w:fldCharType="begin" w:fldLock="1"/>
      </w:r>
      <w:r w:rsidR="006E771C">
        <w:instrText>ADDIN CSL_CITATION { "citationItems" : [ { "id" : "ITEM-1", "itemData" : { "DOI" : "10.1016/S0002-9440(10)64978-4", "ISSN" : "00029440", "PMID" : "10702426", "abstract" : "The Smyth line (SL) chicken, an animal model for autoimmune human vitiligo, is characterized by a spontaneous posthatch pigment loss, determined to be the result of an autoimmune phenomenon. Because endogenous virus (EV) genes have been reported to be associated with a number of autoimmune diseases of human and animal models, we designed this experiment to investigate the role of EV in the SL vitiligo by using the complete sequence of Rous-associated virus-2 as a probe for EV. An F(2) resource population was developed by the matings of SL and parental control (BL) chickens. Linkage disequilibrium between vitiligo and EV was apparent (16.2-kb SacI fragment, P &lt;/= 0.05 and a 19-kb HindIII fragment, P &lt;/= 0.03). Methylation analyses revealed that the EV and endogenous avian retroviral (EAV) genes were methylated in both the SL and BL sublines of chickens; therefore, methylation does not appear to be responsible for the differences in the expression of vitiligo between SL and BL sublines. Expression of the EV genes correlated with the disease in vitiliginous SL101 birds and also in 5-Azacytidine-induced vitiliginous BL101 parental control chickens. Only one EV locus was detected in the unrelated Light Brown Leghorn control chickens (1q14) by in situ hybridization, whereas 3 EV loci were identified in SL101 and BL101 chickens (1p25, 2q26, and an unidentifiable microchromosome). Our observations indicate that EV genes may play a role in the induction of autoimmune vitiligo in the SL chicken model.", "author" : [ { "dropping-particle" : "", "family" : "Sreekumar", "given" : "G P", "non-dropping-particle" : "", "parse-names" : false, "suffix" : "" }, { "dropping-particle" : "", "family" : "Smyth", "given" : "J R", "non-dropping-particle" : "", "parse-names" : false, "suffix" : "" }, { "dropping-particle" : "", "family" : "Ambady", "given" : "S", "non-dropping-particle" : "", "parse-names" : false, "suffix" : "" }, { "dropping-particle" : "", "family" : "Ponce de Leon", "given" : "F a", "non-dropping-particle" : "", "parse-names" : false, "suffix" : "" } ], "container-title" : "The American journal of pathology", "id" : "ITEM-1", "issue" : "3", "issued" : { "date-parts" : [ [ "2000" ] ] }, "page" : "1099-1107", "publisher" : "American Society for Investigative Pathology", "title" : "Analysis of the effect of endogenous viral genes in the Smyth line chicken model for autoimmune vitiligo.", "type" : "article-journal", "volume" : "156" }, "uris" : [ "http://www.mendeley.com/documents/?uuid=d30d81cb-e344-4715-bd1a-539b4763d14b" ] } ], "mendeley" : { "formattedCitation" : "(Sreekumar et al. 2000)", "plainTextFormattedCitation" : "(Sreekumar et al. 2000)", "previouslyFormattedCitation" : "(Sreekumar et al. 2000)" }, "properties" : { "noteIndex" : 0 }, "schema" : "https://github.com/citation-style-language/schema/raw/master/csl-citation.json" }</w:instrText>
      </w:r>
      <w:r w:rsidR="00A437FC">
        <w:fldChar w:fldCharType="separate"/>
      </w:r>
      <w:r w:rsidR="00A437FC" w:rsidRPr="00A437FC">
        <w:rPr>
          <w:noProof/>
        </w:rPr>
        <w:t>(Sreekumar et al. 2000)</w:t>
      </w:r>
      <w:r w:rsidR="00A437FC">
        <w:fldChar w:fldCharType="end"/>
      </w:r>
      <w:r w:rsidR="00A437FC">
        <w:t xml:space="preserve">. </w:t>
      </w:r>
      <w:r w:rsidR="00A437FC">
        <w:lastRenderedPageBreak/>
        <w:t>Localisation using FISH suggested one was on an unknown microchromosome, one on chromosome 1 (cytogenetic band p2.5) and the other on chromosome 2 (</w:t>
      </w:r>
      <w:r w:rsidR="005655E9">
        <w:t>q2.6). Identification from the W</w:t>
      </w:r>
      <w:r w:rsidR="00A437FC">
        <w:t xml:space="preserve">GS data identified ALVE3 (chromosome 20), ALVEB5 (chromosome 1) and the novel ALVE_ros173 (chromosome 4) in both lines and ALVEB6 (chromosome 14) in BL-Br. ALVEB5 matches the chromosome 1 banding location well, but clearly there is no chromosome 2 insertion, and no traditional layer ALVEs are in the 2q2.6 region. </w:t>
      </w:r>
      <w:r w:rsidR="00D91467">
        <w:t>It is therefore likely that the FISH identification was incorrect or incomplete, as it would be unlikely that an ALVE on chromosome 2 would be lost in both lines independently (unless there has been active selection against it) accompanied by the introduction of a novel ALVE</w:t>
      </w:r>
      <w:r w:rsidR="00E90ACF">
        <w:t xml:space="preserve"> in both lines on chromosome 4.</w:t>
      </w:r>
    </w:p>
    <w:p w14:paraId="0848E75F" w14:textId="77D199FD" w:rsidR="005E458B" w:rsidRDefault="00AF605D" w:rsidP="00391005">
      <w:pPr>
        <w:pStyle w:val="ListParagraph"/>
      </w:pPr>
      <w:r>
        <w:t>Both blind chicken datasets have more ALVEs than would be expected in BLs, and many are shared with broilers and brown egg layers such as ALVE-NSAC1, ALVE-NSAC2, ALVE-TYR, ALVE_ros0</w:t>
      </w:r>
      <w:r w:rsidR="005C5613">
        <w:t>04, ALVE_ros0</w:t>
      </w:r>
      <w:r w:rsidR="00E146B9">
        <w:t>05 and ALVE_ros010, reflecting</w:t>
      </w:r>
      <w:r w:rsidR="005C5613">
        <w:t xml:space="preserve"> RIR and WPR crosses early in the</w:t>
      </w:r>
      <w:r w:rsidR="00E146B9">
        <w:t xml:space="preserve"> respective</w:t>
      </w:r>
      <w:r w:rsidR="005C5613">
        <w:t xml:space="preserve"> line development (Hocking 2017, personal communications).</w:t>
      </w:r>
      <w:r>
        <w:t xml:space="preserve"> </w:t>
      </w:r>
      <w:r w:rsidR="00CC742A">
        <w:t xml:space="preserve">BL-BEG lines have eight ALVEs each, sharing seven including a novel lineage-specific insertion on chromosome 1 (ALVE_ros040) and a novel insertion shared with both RIW lines (ALVE_ros066). The only differences are that the blind birds have ALVE15 and the sighted birds have ALVE9, ALVEs which are common in layers without impacting sight. It is likely that the observed difference is due </w:t>
      </w:r>
      <w:r w:rsidR="005C5613">
        <w:t xml:space="preserve">to </w:t>
      </w:r>
      <w:r w:rsidR="00CC742A">
        <w:t xml:space="preserve">sampling effects from the sequencing pool. </w:t>
      </w:r>
      <w:r w:rsidR="00CB0AC7">
        <w:t>Similarly, each of the Br-RGE lines has four or five ALVEs, but there were nin</w:t>
      </w:r>
      <w:r w:rsidR="00E146B9">
        <w:t>e total ALVEs in the dataset. I</w:t>
      </w:r>
      <w:r w:rsidR="00CB0AC7">
        <w:t>t is likely that ALVEs were simply missed fr</w:t>
      </w:r>
      <w:r w:rsidR="00E146B9">
        <w:t>om some lines, rather than representing</w:t>
      </w:r>
      <w:r w:rsidR="00CB0AC7">
        <w:t xml:space="preserve"> true biological difference</w:t>
      </w:r>
      <w:r w:rsidR="00E146B9">
        <w:t>s</w:t>
      </w:r>
      <w:r w:rsidR="00CB0AC7">
        <w:t xml:space="preserve">. </w:t>
      </w:r>
    </w:p>
    <w:p w14:paraId="16539C27" w14:textId="77777777" w:rsidR="005E458B" w:rsidRDefault="005E458B" w:rsidP="00391005">
      <w:pPr>
        <w:pStyle w:val="ListParagraph"/>
      </w:pPr>
    </w:p>
    <w:p w14:paraId="6C544FAA" w14:textId="34A747E5" w:rsidR="008E0A6C" w:rsidRDefault="00B41A2E" w:rsidP="008E0A6C">
      <w:pPr>
        <w:pStyle w:val="Heading4"/>
      </w:pPr>
      <w:r>
        <w:t>Commercial b</w:t>
      </w:r>
      <w:r w:rsidR="008E0A6C">
        <w:t>rown egg layers</w:t>
      </w:r>
    </w:p>
    <w:p w14:paraId="2DAB4315" w14:textId="7BE33307" w:rsidR="008E0A6C" w:rsidRDefault="00ED5E39" w:rsidP="00391005">
      <w:pPr>
        <w:pStyle w:val="ListParagraph"/>
      </w:pPr>
      <w:r>
        <w:t>The commercial brown egg layer breeds</w:t>
      </w:r>
      <w:r w:rsidR="00F4138E">
        <w:t xml:space="preserve"> had between six and eleven ALVEs</w:t>
      </w:r>
      <w:r w:rsidR="004729AB">
        <w:t xml:space="preserve"> (</w:t>
      </w:r>
      <w:r w:rsidR="000671C9">
        <w:fldChar w:fldCharType="begin" w:fldLock="1"/>
      </w:r>
      <w:r w:rsidR="000671C9">
        <w:instrText xml:space="preserve"> REF _Ref480895611 \h </w:instrText>
      </w:r>
      <w:r w:rsidR="000671C9">
        <w:fldChar w:fldCharType="separate"/>
      </w:r>
      <w:r w:rsidR="002C549C">
        <w:t xml:space="preserve">Table </w:t>
      </w:r>
      <w:r w:rsidR="002C549C">
        <w:rPr>
          <w:noProof/>
        </w:rPr>
        <w:t>7</w:t>
      </w:r>
      <w:r w:rsidR="002C549C">
        <w:t>.</w:t>
      </w:r>
      <w:r w:rsidR="002C549C">
        <w:rPr>
          <w:noProof/>
        </w:rPr>
        <w:t>4</w:t>
      </w:r>
      <w:r w:rsidR="000671C9">
        <w:fldChar w:fldCharType="end"/>
      </w:r>
      <w:r w:rsidR="004729AB">
        <w:t>). All seven lines shared ALVEB5, and all lines except the RIRs shared ALVE-TYR, ALVE-NSAC7 and ALVE21. Three novel ALVEs were discovered across the datasets, of which the Hy-Line RIR and WPR2 novel ALVEs (ALVE_ros007</w:t>
      </w:r>
      <w:r>
        <w:t xml:space="preserve"> and</w:t>
      </w:r>
      <w:r w:rsidR="004729AB">
        <w:t xml:space="preserve"> ALVE_ros009</w:t>
      </w:r>
      <w:r>
        <w:t xml:space="preserve"> respectively</w:t>
      </w:r>
      <w:r w:rsidR="004729AB">
        <w:t xml:space="preserve">) were described above (section </w:t>
      </w:r>
      <w:r w:rsidR="004729AB">
        <w:fldChar w:fldCharType="begin" w:fldLock="1"/>
      </w:r>
      <w:r w:rsidR="004729AB">
        <w:instrText xml:space="preserve"> REF _Ref476995004 \r \h </w:instrText>
      </w:r>
      <w:r w:rsidR="004729AB">
        <w:fldChar w:fldCharType="separate"/>
      </w:r>
      <w:r w:rsidR="002C549C">
        <w:t>6.4</w:t>
      </w:r>
      <w:r w:rsidR="004729AB">
        <w:fldChar w:fldCharType="end"/>
      </w:r>
      <w:r w:rsidR="004729AB">
        <w:t xml:space="preserve">). </w:t>
      </w:r>
      <w:r w:rsidR="00357BC9">
        <w:t xml:space="preserve">The </w:t>
      </w:r>
      <w:r w:rsidR="00C85D64">
        <w:t>RIR-L novel insertion (ALVE_ros211</w:t>
      </w:r>
      <w:r w:rsidR="00C40A82">
        <w:t>; 5:</w:t>
      </w:r>
      <w:r>
        <w:t xml:space="preserve"> </w:t>
      </w:r>
      <w:r w:rsidR="00C40A82">
        <w:t>56,988,767) is with</w:t>
      </w:r>
      <w:r w:rsidR="00357BC9">
        <w:t xml:space="preserve">in the </w:t>
      </w:r>
      <w:r w:rsidR="004729AB">
        <w:t>eighth intron of</w:t>
      </w:r>
      <w:r w:rsidR="00357BC9">
        <w:t xml:space="preserve"> MDGA2</w:t>
      </w:r>
      <w:r w:rsidR="00C40A82">
        <w:t xml:space="preserve"> </w:t>
      </w:r>
      <w:r w:rsidR="00357BC9">
        <w:t>(</w:t>
      </w:r>
      <w:r w:rsidR="004729AB" w:rsidRPr="004729AB">
        <w:t>MAM domain containing glycosylphosphatidylinositol anchor 2</w:t>
      </w:r>
      <w:r w:rsidR="004729AB">
        <w:t xml:space="preserve">). </w:t>
      </w:r>
    </w:p>
    <w:p w14:paraId="3EA4E4FA" w14:textId="2DD00E28" w:rsidR="008E0A6C" w:rsidRDefault="006405B9" w:rsidP="006405B9">
      <w:pPr>
        <w:pStyle w:val="Caption"/>
      </w:pPr>
      <w:bookmarkStart w:id="602" w:name="_Ref480895611"/>
      <w:bookmarkStart w:id="603" w:name="_Toc486786339"/>
      <w:r>
        <w:lastRenderedPageBreak/>
        <w:t xml:space="preserve">Table </w:t>
      </w:r>
      <w:fldSimple w:instr=" STYLEREF 1 \s " w:fldLock="1">
        <w:r w:rsidR="002C549C">
          <w:rPr>
            <w:noProof/>
          </w:rPr>
          <w:t>7</w:t>
        </w:r>
      </w:fldSimple>
      <w:r w:rsidR="001167C6">
        <w:t>.</w:t>
      </w:r>
      <w:fldSimple w:instr=" SEQ Table \* ARABIC \s 1 " w:fldLock="1">
        <w:r w:rsidR="002C549C">
          <w:rPr>
            <w:noProof/>
          </w:rPr>
          <w:t>4</w:t>
        </w:r>
      </w:fldSimple>
      <w:bookmarkEnd w:id="602"/>
      <w:r>
        <w:t xml:space="preserve"> Number of ALVEs identified in the commercial brown egg layer lines. The shared ALVEs column represents how many of the ALVEs in that line were shared with any other analysed dataset (not just this grouping). The novel ALVEs col</w:t>
      </w:r>
      <w:r w:rsidR="000749F9">
        <w:t>umn represents how many</w:t>
      </w:r>
      <w:r>
        <w:t xml:space="preserve"> o</w:t>
      </w:r>
      <w:r w:rsidR="000749F9">
        <w:t xml:space="preserve">f the identified ALVEs were </w:t>
      </w:r>
      <w:r>
        <w:t xml:space="preserve">previously </w:t>
      </w:r>
      <w:r w:rsidR="000749F9">
        <w:t>unknown</w:t>
      </w:r>
      <w:r>
        <w:t>.</w:t>
      </w:r>
      <w:bookmarkEnd w:id="603"/>
      <w:r>
        <w:t xml:space="preserve"> </w:t>
      </w:r>
    </w:p>
    <w:tbl>
      <w:tblPr>
        <w:tblStyle w:val="TableGrid"/>
        <w:tblW w:w="55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276"/>
        <w:gridCol w:w="1559"/>
        <w:gridCol w:w="1418"/>
      </w:tblGrid>
      <w:tr w:rsidR="0004035F" w14:paraId="4511B803" w14:textId="185ADFD1" w:rsidTr="008D2279">
        <w:trPr>
          <w:jc w:val="center"/>
        </w:trPr>
        <w:tc>
          <w:tcPr>
            <w:tcW w:w="1276" w:type="dxa"/>
            <w:tcBorders>
              <w:top w:val="single" w:sz="4" w:space="0" w:color="auto"/>
              <w:bottom w:val="single" w:sz="4" w:space="0" w:color="auto"/>
            </w:tcBorders>
            <w:vAlign w:val="center"/>
          </w:tcPr>
          <w:p w14:paraId="2F81B795" w14:textId="3E40EBA3" w:rsidR="0004035F" w:rsidRDefault="0004035F" w:rsidP="000671C9">
            <w:pPr>
              <w:pStyle w:val="Tablecontent"/>
            </w:pPr>
            <w:r>
              <w:t>Line name</w:t>
            </w:r>
          </w:p>
        </w:tc>
        <w:tc>
          <w:tcPr>
            <w:tcW w:w="1276" w:type="dxa"/>
            <w:tcBorders>
              <w:top w:val="single" w:sz="4" w:space="0" w:color="auto"/>
              <w:bottom w:val="single" w:sz="4" w:space="0" w:color="auto"/>
            </w:tcBorders>
            <w:vAlign w:val="center"/>
          </w:tcPr>
          <w:p w14:paraId="1E6C8AB3" w14:textId="6147FBEB" w:rsidR="0004035F" w:rsidRDefault="0004035F" w:rsidP="008D2279">
            <w:pPr>
              <w:pStyle w:val="Tablecontent"/>
              <w:jc w:val="center"/>
            </w:pPr>
            <w:r>
              <w:t>No. ALVEs</w:t>
            </w:r>
          </w:p>
        </w:tc>
        <w:tc>
          <w:tcPr>
            <w:tcW w:w="1559" w:type="dxa"/>
            <w:tcBorders>
              <w:top w:val="single" w:sz="4" w:space="0" w:color="auto"/>
              <w:bottom w:val="single" w:sz="4" w:space="0" w:color="auto"/>
            </w:tcBorders>
          </w:tcPr>
          <w:p w14:paraId="143806B0" w14:textId="66E9D651" w:rsidR="0004035F" w:rsidRDefault="008D2279" w:rsidP="008D2279">
            <w:pPr>
              <w:pStyle w:val="Tablecontent"/>
              <w:jc w:val="center"/>
            </w:pPr>
            <w:r>
              <w:t>S</w:t>
            </w:r>
            <w:r w:rsidR="0004035F">
              <w:t>hared ALVEs</w:t>
            </w:r>
          </w:p>
        </w:tc>
        <w:tc>
          <w:tcPr>
            <w:tcW w:w="1418" w:type="dxa"/>
            <w:tcBorders>
              <w:top w:val="single" w:sz="4" w:space="0" w:color="auto"/>
              <w:bottom w:val="single" w:sz="4" w:space="0" w:color="auto"/>
            </w:tcBorders>
          </w:tcPr>
          <w:p w14:paraId="71491E34" w14:textId="623E523E" w:rsidR="0004035F" w:rsidRDefault="008D2279" w:rsidP="008D2279">
            <w:pPr>
              <w:pStyle w:val="Tablecontent"/>
              <w:jc w:val="center"/>
            </w:pPr>
            <w:r>
              <w:t>N</w:t>
            </w:r>
            <w:r w:rsidR="0004035F">
              <w:t>ovel ALVEs</w:t>
            </w:r>
          </w:p>
        </w:tc>
      </w:tr>
      <w:tr w:rsidR="0004035F" w14:paraId="14322818" w14:textId="1D18A375" w:rsidTr="008D2279">
        <w:trPr>
          <w:jc w:val="center"/>
        </w:trPr>
        <w:tc>
          <w:tcPr>
            <w:tcW w:w="1276" w:type="dxa"/>
            <w:tcBorders>
              <w:top w:val="single" w:sz="4" w:space="0" w:color="auto"/>
            </w:tcBorders>
          </w:tcPr>
          <w:p w14:paraId="53CD33C4" w14:textId="048133D8" w:rsidR="0004035F" w:rsidRDefault="0004035F" w:rsidP="000671C9">
            <w:pPr>
              <w:pStyle w:val="Tablecontent"/>
            </w:pPr>
            <w:r>
              <w:t>RIR</w:t>
            </w:r>
          </w:p>
        </w:tc>
        <w:tc>
          <w:tcPr>
            <w:tcW w:w="1276" w:type="dxa"/>
            <w:tcBorders>
              <w:top w:val="single" w:sz="4" w:space="0" w:color="auto"/>
            </w:tcBorders>
          </w:tcPr>
          <w:p w14:paraId="0247B688" w14:textId="0280D22A" w:rsidR="0004035F" w:rsidRDefault="0004035F" w:rsidP="008D2279">
            <w:pPr>
              <w:pStyle w:val="Tablecontent"/>
              <w:jc w:val="center"/>
            </w:pPr>
            <w:r>
              <w:t>11</w:t>
            </w:r>
          </w:p>
        </w:tc>
        <w:tc>
          <w:tcPr>
            <w:tcW w:w="1559" w:type="dxa"/>
            <w:tcBorders>
              <w:top w:val="single" w:sz="4" w:space="0" w:color="auto"/>
            </w:tcBorders>
          </w:tcPr>
          <w:p w14:paraId="7B1B3638" w14:textId="2EA29F95" w:rsidR="0004035F" w:rsidRDefault="008D2279" w:rsidP="008D2279">
            <w:pPr>
              <w:pStyle w:val="Tablecontent"/>
              <w:jc w:val="center"/>
            </w:pPr>
            <w:r>
              <w:t>10</w:t>
            </w:r>
          </w:p>
        </w:tc>
        <w:tc>
          <w:tcPr>
            <w:tcW w:w="1418" w:type="dxa"/>
            <w:tcBorders>
              <w:top w:val="single" w:sz="4" w:space="0" w:color="auto"/>
            </w:tcBorders>
          </w:tcPr>
          <w:p w14:paraId="55438F00" w14:textId="134573CB" w:rsidR="0004035F" w:rsidRDefault="008D2279" w:rsidP="008D2279">
            <w:pPr>
              <w:pStyle w:val="Tablecontent"/>
              <w:jc w:val="center"/>
            </w:pPr>
            <w:r>
              <w:t>1</w:t>
            </w:r>
          </w:p>
        </w:tc>
      </w:tr>
      <w:tr w:rsidR="0004035F" w14:paraId="1A287AA1" w14:textId="1BD1E87D" w:rsidTr="008D2279">
        <w:trPr>
          <w:jc w:val="center"/>
        </w:trPr>
        <w:tc>
          <w:tcPr>
            <w:tcW w:w="1276" w:type="dxa"/>
          </w:tcPr>
          <w:p w14:paraId="19657D07" w14:textId="7CD65548" w:rsidR="0004035F" w:rsidRDefault="0004035F" w:rsidP="000671C9">
            <w:pPr>
              <w:pStyle w:val="Tablecontent"/>
            </w:pPr>
            <w:r>
              <w:t>RIR-L</w:t>
            </w:r>
          </w:p>
        </w:tc>
        <w:tc>
          <w:tcPr>
            <w:tcW w:w="1276" w:type="dxa"/>
          </w:tcPr>
          <w:p w14:paraId="657A269E" w14:textId="06A168AE" w:rsidR="0004035F" w:rsidRDefault="008D2279" w:rsidP="008D2279">
            <w:pPr>
              <w:pStyle w:val="Tablecontent"/>
              <w:jc w:val="center"/>
            </w:pPr>
            <w:r>
              <w:t>7</w:t>
            </w:r>
          </w:p>
        </w:tc>
        <w:tc>
          <w:tcPr>
            <w:tcW w:w="1559" w:type="dxa"/>
          </w:tcPr>
          <w:p w14:paraId="29001AEA" w14:textId="07085A4C" w:rsidR="0004035F" w:rsidRDefault="008D2279" w:rsidP="008D2279">
            <w:pPr>
              <w:pStyle w:val="Tablecontent"/>
              <w:jc w:val="center"/>
            </w:pPr>
            <w:r>
              <w:t>6</w:t>
            </w:r>
          </w:p>
        </w:tc>
        <w:tc>
          <w:tcPr>
            <w:tcW w:w="1418" w:type="dxa"/>
          </w:tcPr>
          <w:p w14:paraId="5ED0D60E" w14:textId="09C8313F" w:rsidR="0004035F" w:rsidRDefault="008D2279" w:rsidP="008D2279">
            <w:pPr>
              <w:pStyle w:val="Tablecontent"/>
              <w:jc w:val="center"/>
            </w:pPr>
            <w:r>
              <w:t>1</w:t>
            </w:r>
          </w:p>
        </w:tc>
      </w:tr>
      <w:tr w:rsidR="0004035F" w14:paraId="122CAE55" w14:textId="0CB0BE57" w:rsidTr="008D2279">
        <w:trPr>
          <w:jc w:val="center"/>
        </w:trPr>
        <w:tc>
          <w:tcPr>
            <w:tcW w:w="1276" w:type="dxa"/>
          </w:tcPr>
          <w:p w14:paraId="31C6B8FC" w14:textId="1D10A1B9" w:rsidR="0004035F" w:rsidRDefault="0004035F" w:rsidP="000671C9">
            <w:pPr>
              <w:pStyle w:val="Tablecontent"/>
            </w:pPr>
            <w:r>
              <w:t>RIW-ESH</w:t>
            </w:r>
          </w:p>
        </w:tc>
        <w:tc>
          <w:tcPr>
            <w:tcW w:w="1276" w:type="dxa"/>
          </w:tcPr>
          <w:p w14:paraId="2FB37217" w14:textId="736AE3C4" w:rsidR="0004035F" w:rsidRDefault="0004035F" w:rsidP="008D2279">
            <w:pPr>
              <w:pStyle w:val="Tablecontent"/>
              <w:jc w:val="center"/>
            </w:pPr>
            <w:r>
              <w:t>11</w:t>
            </w:r>
          </w:p>
        </w:tc>
        <w:tc>
          <w:tcPr>
            <w:tcW w:w="1559" w:type="dxa"/>
          </w:tcPr>
          <w:p w14:paraId="4027FE91" w14:textId="1892A5F9" w:rsidR="0004035F" w:rsidRDefault="008D2279" w:rsidP="008D2279">
            <w:pPr>
              <w:pStyle w:val="Tablecontent"/>
              <w:jc w:val="center"/>
            </w:pPr>
            <w:r>
              <w:t>10</w:t>
            </w:r>
          </w:p>
        </w:tc>
        <w:tc>
          <w:tcPr>
            <w:tcW w:w="1418" w:type="dxa"/>
          </w:tcPr>
          <w:p w14:paraId="7382CE9E" w14:textId="698076D3" w:rsidR="0004035F" w:rsidRDefault="008D2279" w:rsidP="008D2279">
            <w:pPr>
              <w:pStyle w:val="Tablecontent"/>
              <w:jc w:val="center"/>
            </w:pPr>
            <w:r>
              <w:t>0</w:t>
            </w:r>
          </w:p>
        </w:tc>
      </w:tr>
      <w:tr w:rsidR="0004035F" w14:paraId="05F16993" w14:textId="7C3D7A62" w:rsidTr="008D2279">
        <w:trPr>
          <w:jc w:val="center"/>
        </w:trPr>
        <w:tc>
          <w:tcPr>
            <w:tcW w:w="1276" w:type="dxa"/>
          </w:tcPr>
          <w:p w14:paraId="34ABF3CC" w14:textId="33DFCD93" w:rsidR="0004035F" w:rsidRDefault="0004035F" w:rsidP="000671C9">
            <w:pPr>
              <w:pStyle w:val="Tablecontent"/>
            </w:pPr>
            <w:r>
              <w:t>RIW-LSH</w:t>
            </w:r>
          </w:p>
        </w:tc>
        <w:tc>
          <w:tcPr>
            <w:tcW w:w="1276" w:type="dxa"/>
          </w:tcPr>
          <w:p w14:paraId="43B4B0DA" w14:textId="7C4776D9" w:rsidR="0004035F" w:rsidRDefault="0004035F" w:rsidP="008D2279">
            <w:pPr>
              <w:pStyle w:val="Tablecontent"/>
              <w:jc w:val="center"/>
            </w:pPr>
            <w:r>
              <w:t>11</w:t>
            </w:r>
          </w:p>
        </w:tc>
        <w:tc>
          <w:tcPr>
            <w:tcW w:w="1559" w:type="dxa"/>
          </w:tcPr>
          <w:p w14:paraId="024C97D8" w14:textId="5861D6F7" w:rsidR="0004035F" w:rsidRDefault="008D2279" w:rsidP="008D2279">
            <w:pPr>
              <w:pStyle w:val="Tablecontent"/>
              <w:jc w:val="center"/>
            </w:pPr>
            <w:r>
              <w:t>11</w:t>
            </w:r>
          </w:p>
        </w:tc>
        <w:tc>
          <w:tcPr>
            <w:tcW w:w="1418" w:type="dxa"/>
          </w:tcPr>
          <w:p w14:paraId="5D8CEC86" w14:textId="5318D126" w:rsidR="0004035F" w:rsidRDefault="008D2279" w:rsidP="008D2279">
            <w:pPr>
              <w:pStyle w:val="Tablecontent"/>
              <w:jc w:val="center"/>
            </w:pPr>
            <w:r>
              <w:t>0</w:t>
            </w:r>
          </w:p>
        </w:tc>
      </w:tr>
      <w:tr w:rsidR="0004035F" w14:paraId="3DF15503" w14:textId="025AB251" w:rsidTr="008D2279">
        <w:trPr>
          <w:jc w:val="center"/>
        </w:trPr>
        <w:tc>
          <w:tcPr>
            <w:tcW w:w="1276" w:type="dxa"/>
          </w:tcPr>
          <w:p w14:paraId="2A0BB815" w14:textId="2ECC0686" w:rsidR="0004035F" w:rsidRDefault="0004035F" w:rsidP="000671C9">
            <w:pPr>
              <w:pStyle w:val="Tablecontent"/>
            </w:pPr>
            <w:r>
              <w:t>WPR1</w:t>
            </w:r>
          </w:p>
        </w:tc>
        <w:tc>
          <w:tcPr>
            <w:tcW w:w="1276" w:type="dxa"/>
          </w:tcPr>
          <w:p w14:paraId="1EA1BD8C" w14:textId="23730AF1" w:rsidR="0004035F" w:rsidRDefault="0004035F" w:rsidP="008D2279">
            <w:pPr>
              <w:pStyle w:val="Tablecontent"/>
              <w:jc w:val="center"/>
            </w:pPr>
            <w:r>
              <w:t>8</w:t>
            </w:r>
          </w:p>
        </w:tc>
        <w:tc>
          <w:tcPr>
            <w:tcW w:w="1559" w:type="dxa"/>
          </w:tcPr>
          <w:p w14:paraId="2B218F35" w14:textId="2120FCBE" w:rsidR="0004035F" w:rsidRDefault="008D2279" w:rsidP="008D2279">
            <w:pPr>
              <w:pStyle w:val="Tablecontent"/>
              <w:jc w:val="center"/>
            </w:pPr>
            <w:r>
              <w:t>8</w:t>
            </w:r>
          </w:p>
        </w:tc>
        <w:tc>
          <w:tcPr>
            <w:tcW w:w="1418" w:type="dxa"/>
          </w:tcPr>
          <w:p w14:paraId="6C777489" w14:textId="60C2E790" w:rsidR="0004035F" w:rsidRDefault="008D2279" w:rsidP="008D2279">
            <w:pPr>
              <w:pStyle w:val="Tablecontent"/>
              <w:jc w:val="center"/>
            </w:pPr>
            <w:r>
              <w:t>0</w:t>
            </w:r>
          </w:p>
        </w:tc>
      </w:tr>
      <w:tr w:rsidR="0004035F" w14:paraId="23B4251D" w14:textId="3DBEA4EE" w:rsidTr="008D2279">
        <w:trPr>
          <w:jc w:val="center"/>
        </w:trPr>
        <w:tc>
          <w:tcPr>
            <w:tcW w:w="1276" w:type="dxa"/>
          </w:tcPr>
          <w:p w14:paraId="6338EC66" w14:textId="0E124661" w:rsidR="0004035F" w:rsidRDefault="0004035F" w:rsidP="000671C9">
            <w:pPr>
              <w:pStyle w:val="Tablecontent"/>
            </w:pPr>
            <w:r>
              <w:t>WPR2</w:t>
            </w:r>
          </w:p>
        </w:tc>
        <w:tc>
          <w:tcPr>
            <w:tcW w:w="1276" w:type="dxa"/>
          </w:tcPr>
          <w:p w14:paraId="19D1E112" w14:textId="01EC1A21" w:rsidR="0004035F" w:rsidRDefault="0004035F" w:rsidP="008D2279">
            <w:pPr>
              <w:pStyle w:val="Tablecontent"/>
              <w:jc w:val="center"/>
            </w:pPr>
            <w:r>
              <w:t>8</w:t>
            </w:r>
          </w:p>
        </w:tc>
        <w:tc>
          <w:tcPr>
            <w:tcW w:w="1559" w:type="dxa"/>
          </w:tcPr>
          <w:p w14:paraId="5800A630" w14:textId="7AAF5D9E" w:rsidR="0004035F" w:rsidRDefault="008D2279" w:rsidP="008D2279">
            <w:pPr>
              <w:pStyle w:val="Tablecontent"/>
              <w:jc w:val="center"/>
            </w:pPr>
            <w:r>
              <w:t>7</w:t>
            </w:r>
          </w:p>
        </w:tc>
        <w:tc>
          <w:tcPr>
            <w:tcW w:w="1418" w:type="dxa"/>
          </w:tcPr>
          <w:p w14:paraId="55CA244A" w14:textId="7AED1320" w:rsidR="0004035F" w:rsidRDefault="008D2279" w:rsidP="008D2279">
            <w:pPr>
              <w:pStyle w:val="Tablecontent"/>
              <w:jc w:val="center"/>
            </w:pPr>
            <w:r>
              <w:t>1</w:t>
            </w:r>
          </w:p>
        </w:tc>
      </w:tr>
      <w:tr w:rsidR="0004035F" w14:paraId="2CB1D05B" w14:textId="46DEFEF4" w:rsidTr="008D2279">
        <w:trPr>
          <w:jc w:val="center"/>
        </w:trPr>
        <w:tc>
          <w:tcPr>
            <w:tcW w:w="1276" w:type="dxa"/>
            <w:tcBorders>
              <w:bottom w:val="single" w:sz="4" w:space="0" w:color="auto"/>
            </w:tcBorders>
          </w:tcPr>
          <w:p w14:paraId="51009E81" w14:textId="16B2369A" w:rsidR="0004035F" w:rsidRDefault="0004035F" w:rsidP="000671C9">
            <w:pPr>
              <w:pStyle w:val="Tablecontent"/>
            </w:pPr>
            <w:r>
              <w:t>WPR-L</w:t>
            </w:r>
          </w:p>
        </w:tc>
        <w:tc>
          <w:tcPr>
            <w:tcW w:w="1276" w:type="dxa"/>
            <w:tcBorders>
              <w:bottom w:val="single" w:sz="4" w:space="0" w:color="auto"/>
            </w:tcBorders>
          </w:tcPr>
          <w:p w14:paraId="1FCD93F5" w14:textId="4FC8D6E5" w:rsidR="0004035F" w:rsidRDefault="0004035F" w:rsidP="008D2279">
            <w:pPr>
              <w:pStyle w:val="Tablecontent"/>
              <w:jc w:val="center"/>
            </w:pPr>
            <w:r>
              <w:t>6</w:t>
            </w:r>
          </w:p>
        </w:tc>
        <w:tc>
          <w:tcPr>
            <w:tcW w:w="1559" w:type="dxa"/>
            <w:tcBorders>
              <w:bottom w:val="single" w:sz="4" w:space="0" w:color="auto"/>
            </w:tcBorders>
          </w:tcPr>
          <w:p w14:paraId="5BF45DB7" w14:textId="159086AF" w:rsidR="0004035F" w:rsidRDefault="008D2279" w:rsidP="008D2279">
            <w:pPr>
              <w:pStyle w:val="Tablecontent"/>
              <w:jc w:val="center"/>
            </w:pPr>
            <w:r>
              <w:t>6</w:t>
            </w:r>
          </w:p>
        </w:tc>
        <w:tc>
          <w:tcPr>
            <w:tcW w:w="1418" w:type="dxa"/>
            <w:tcBorders>
              <w:bottom w:val="single" w:sz="4" w:space="0" w:color="auto"/>
            </w:tcBorders>
          </w:tcPr>
          <w:p w14:paraId="73E7A8D6" w14:textId="7B7ED91E" w:rsidR="0004035F" w:rsidRDefault="008D2279" w:rsidP="008D2279">
            <w:pPr>
              <w:pStyle w:val="Tablecontent"/>
              <w:jc w:val="center"/>
            </w:pPr>
            <w:r>
              <w:t>0</w:t>
            </w:r>
          </w:p>
        </w:tc>
      </w:tr>
    </w:tbl>
    <w:p w14:paraId="02C05139" w14:textId="77777777" w:rsidR="006405B9" w:rsidRDefault="006405B9" w:rsidP="00391005">
      <w:pPr>
        <w:pStyle w:val="ListParagraph"/>
      </w:pPr>
    </w:p>
    <w:p w14:paraId="7D14BFA8" w14:textId="497EFA6C" w:rsidR="006405B9" w:rsidRDefault="005C5613" w:rsidP="00391005">
      <w:pPr>
        <w:pStyle w:val="ListParagraph"/>
      </w:pPr>
      <w:r>
        <w:t>Compared with</w:t>
      </w:r>
      <w:r w:rsidR="006405B9">
        <w:t xml:space="preserve"> the sister HL WP</w:t>
      </w:r>
      <w:r w:rsidR="00C40A82">
        <w:t>Rs, the Lohmann WPR has no additional</w:t>
      </w:r>
      <w:r w:rsidR="006405B9">
        <w:t xml:space="preserve"> ALVEs. The Lohmann WPR sequence was from a pooled sequencing library so it is possible that rare ALVEs could have been missed, </w:t>
      </w:r>
      <w:r w:rsidR="00C40A82">
        <w:t>such as</w:t>
      </w:r>
      <w:r w:rsidR="006405B9">
        <w:t xml:space="preserve"> ALVE_ros004 which was present in all oth</w:t>
      </w:r>
      <w:r w:rsidR="00C40A82">
        <w:t>er brown egg layer lines, but was</w:t>
      </w:r>
      <w:r w:rsidR="006405B9">
        <w:t xml:space="preserve"> only</w:t>
      </w:r>
      <w:r w:rsidR="00C40A82">
        <w:t xml:space="preserve"> found at</w:t>
      </w:r>
      <w:r w:rsidR="006405B9">
        <w:t xml:space="preserve"> rare frequencies in the HL WPRs. </w:t>
      </w:r>
      <w:r w:rsidR="00C40A82">
        <w:t xml:space="preserve">Despite the similar genetics, the Lohmann RIR has fewer ALVEs than the HL RIR and the two lines only share five ALVEs. Sequencing does not appear to be the issue here as data was available for a pool of ten, and for twenty-five individuals, so it is highly unlikely that any ALVEs with a frequency greater than approximately 0.1 were missed. </w:t>
      </w:r>
    </w:p>
    <w:p w14:paraId="66B0A91E" w14:textId="10FA73C6" w:rsidR="0004035F" w:rsidRDefault="00843D3A" w:rsidP="00391005">
      <w:pPr>
        <w:pStyle w:val="ListParagraph"/>
      </w:pPr>
      <w:r>
        <w:t>The sister RIW lines were under differential selection for egg shell strength. The two lines do differ in their ALVE content</w:t>
      </w:r>
      <w:r w:rsidR="000D0E6A">
        <w:t>, but this is likely due to incomplete lineage sorting or dropped alleles from the pooled sequencing libraries, rather than due to selection. No ALVEs that differ between the two lines are within or near genes</w:t>
      </w:r>
      <w:r w:rsidR="00FB18F8">
        <w:t>.</w:t>
      </w:r>
      <w:r w:rsidR="000D0E6A">
        <w:t xml:space="preserve"> </w:t>
      </w:r>
    </w:p>
    <w:p w14:paraId="4CAA7DED" w14:textId="77777777" w:rsidR="0004035F" w:rsidRDefault="0004035F" w:rsidP="00391005">
      <w:pPr>
        <w:pStyle w:val="ListParagraph"/>
      </w:pPr>
    </w:p>
    <w:p w14:paraId="3438A1EF" w14:textId="0F997BFF" w:rsidR="008E0A6C" w:rsidRDefault="00897D60" w:rsidP="008E0A6C">
      <w:pPr>
        <w:pStyle w:val="Heading4"/>
      </w:pPr>
      <w:r>
        <w:t>B</w:t>
      </w:r>
      <w:r w:rsidR="008E0A6C">
        <w:t>roilers</w:t>
      </w:r>
    </w:p>
    <w:p w14:paraId="7398C2F2" w14:textId="0D0AADC0" w:rsidR="008E0A6C" w:rsidRDefault="00FF7818" w:rsidP="00391005">
      <w:pPr>
        <w:pStyle w:val="ListParagraph"/>
      </w:pPr>
      <w:r>
        <w:t>The Western heritage broiler lines and the Lindian Chinese broiler had between thirteen and thirty ALVEs (</w:t>
      </w:r>
      <w:r>
        <w:fldChar w:fldCharType="begin" w:fldLock="1"/>
      </w:r>
      <w:r>
        <w:instrText xml:space="preserve"> REF _Ref481049337 \h </w:instrText>
      </w:r>
      <w:r>
        <w:fldChar w:fldCharType="separate"/>
      </w:r>
      <w:r w:rsidR="002C549C">
        <w:t xml:space="preserve">Table </w:t>
      </w:r>
      <w:r w:rsidR="002C549C">
        <w:rPr>
          <w:noProof/>
        </w:rPr>
        <w:t>7</w:t>
      </w:r>
      <w:r w:rsidR="002C549C">
        <w:t>.</w:t>
      </w:r>
      <w:r w:rsidR="002C549C">
        <w:rPr>
          <w:noProof/>
        </w:rPr>
        <w:t>5</w:t>
      </w:r>
      <w:r>
        <w:fldChar w:fldCharType="end"/>
      </w:r>
      <w:r>
        <w:t>). Seventy-two different ALVEs were found between the six lines, f</w:t>
      </w:r>
      <w:r w:rsidR="00E146B9">
        <w:t>orty-one of which were novel to</w:t>
      </w:r>
      <w:r>
        <w:t xml:space="preserve"> this study. The Western lines </w:t>
      </w:r>
      <w:r>
        <w:lastRenderedPageBreak/>
        <w:t xml:space="preserve">share most of their ALVEs with other analysed birds. ALVEB6, ALVE_ros010 and ALVE_ros020 are shared between all five Western lines. </w:t>
      </w:r>
      <w:r w:rsidR="00A21695">
        <w:t>The common ‘meat type’ ALVEs of ALVEB5, ALVEB10, ALVE-NSAC1, ALVE-NSAC5 and ALVE-TYR are also common across these five lines. Despite similar total numbers</w:t>
      </w:r>
      <w:r w:rsidR="00177770">
        <w:t>,</w:t>
      </w:r>
      <w:r w:rsidR="00A21695">
        <w:t xml:space="preserve"> </w:t>
      </w:r>
      <w:r w:rsidR="005C5613">
        <w:t>the Lindian is very different from</w:t>
      </w:r>
      <w:r w:rsidR="00A21695">
        <w:t xml:space="preserve"> the other broilers. Only two of its fourteen ALVEs are shared with any other dataset, and only ALVE_ros220 is shared with another broiler (Br-INRA). It is also unlikely that the full ALVE diversity was represented here as the Lindian sequencing data came from one individual. </w:t>
      </w:r>
      <w:r w:rsidR="00177770">
        <w:t>Two Lindian insertions were within introns.</w:t>
      </w:r>
    </w:p>
    <w:p w14:paraId="3BBC9AA7" w14:textId="201FAE2F" w:rsidR="00FE3B11" w:rsidRDefault="00FE3B11" w:rsidP="00FE3B11">
      <w:pPr>
        <w:pStyle w:val="Caption"/>
      </w:pPr>
      <w:bookmarkStart w:id="604" w:name="_Ref481049337"/>
      <w:bookmarkStart w:id="605" w:name="_Toc486786340"/>
      <w:r>
        <w:t xml:space="preserve">Table </w:t>
      </w:r>
      <w:fldSimple w:instr=" STYLEREF 1 \s " w:fldLock="1">
        <w:r w:rsidR="002C549C">
          <w:rPr>
            <w:noProof/>
          </w:rPr>
          <w:t>7</w:t>
        </w:r>
      </w:fldSimple>
      <w:r w:rsidR="001167C6">
        <w:t>.</w:t>
      </w:r>
      <w:fldSimple w:instr=" SEQ Table \* ARABIC \s 1 " w:fldLock="1">
        <w:r w:rsidR="002C549C">
          <w:rPr>
            <w:noProof/>
          </w:rPr>
          <w:t>5</w:t>
        </w:r>
      </w:fldSimple>
      <w:bookmarkEnd w:id="604"/>
      <w:r>
        <w:t xml:space="preserve"> Number of ALVEs identified in the broiler lines. The shared ALVEs column represents how many of the ALVEs in that line were shared with any other analysed dataset (not just this grouping). The novel ALVEs column represents how many of the identified ALVEs were previously unknown.</w:t>
      </w:r>
      <w:bookmarkEnd w:id="605"/>
    </w:p>
    <w:tbl>
      <w:tblPr>
        <w:tblStyle w:val="TableGrid"/>
        <w:tblW w:w="55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276"/>
        <w:gridCol w:w="1559"/>
        <w:gridCol w:w="1418"/>
      </w:tblGrid>
      <w:tr w:rsidR="00FE3B11" w14:paraId="100FAC88" w14:textId="77777777" w:rsidTr="00AE57F6">
        <w:trPr>
          <w:jc w:val="center"/>
        </w:trPr>
        <w:tc>
          <w:tcPr>
            <w:tcW w:w="1276" w:type="dxa"/>
            <w:tcBorders>
              <w:top w:val="single" w:sz="4" w:space="0" w:color="auto"/>
              <w:bottom w:val="single" w:sz="4" w:space="0" w:color="auto"/>
            </w:tcBorders>
            <w:vAlign w:val="center"/>
          </w:tcPr>
          <w:p w14:paraId="01A57E34" w14:textId="77777777" w:rsidR="00FE3B11" w:rsidRDefault="00FE3B11" w:rsidP="00AE57F6">
            <w:pPr>
              <w:pStyle w:val="Tablecontent"/>
            </w:pPr>
            <w:r>
              <w:t>Line name</w:t>
            </w:r>
          </w:p>
        </w:tc>
        <w:tc>
          <w:tcPr>
            <w:tcW w:w="1276" w:type="dxa"/>
            <w:tcBorders>
              <w:top w:val="single" w:sz="4" w:space="0" w:color="auto"/>
              <w:bottom w:val="single" w:sz="4" w:space="0" w:color="auto"/>
            </w:tcBorders>
            <w:vAlign w:val="center"/>
          </w:tcPr>
          <w:p w14:paraId="44E749D6" w14:textId="77777777" w:rsidR="00FE3B11" w:rsidRDefault="00FE3B11" w:rsidP="00AE57F6">
            <w:pPr>
              <w:pStyle w:val="Tablecontent"/>
              <w:jc w:val="center"/>
            </w:pPr>
            <w:r>
              <w:t>No. ALVEs</w:t>
            </w:r>
          </w:p>
        </w:tc>
        <w:tc>
          <w:tcPr>
            <w:tcW w:w="1559" w:type="dxa"/>
            <w:tcBorders>
              <w:top w:val="single" w:sz="4" w:space="0" w:color="auto"/>
              <w:bottom w:val="single" w:sz="4" w:space="0" w:color="auto"/>
            </w:tcBorders>
          </w:tcPr>
          <w:p w14:paraId="78087261" w14:textId="77777777" w:rsidR="00FE3B11" w:rsidRDefault="00FE3B11" w:rsidP="00AE57F6">
            <w:pPr>
              <w:pStyle w:val="Tablecontent"/>
              <w:jc w:val="center"/>
            </w:pPr>
            <w:r>
              <w:t>Shared ALVEs</w:t>
            </w:r>
          </w:p>
        </w:tc>
        <w:tc>
          <w:tcPr>
            <w:tcW w:w="1418" w:type="dxa"/>
            <w:tcBorders>
              <w:top w:val="single" w:sz="4" w:space="0" w:color="auto"/>
              <w:bottom w:val="single" w:sz="4" w:space="0" w:color="auto"/>
            </w:tcBorders>
          </w:tcPr>
          <w:p w14:paraId="7718DE28" w14:textId="77777777" w:rsidR="00FE3B11" w:rsidRDefault="00FE3B11" w:rsidP="00AE57F6">
            <w:pPr>
              <w:pStyle w:val="Tablecontent"/>
              <w:jc w:val="center"/>
            </w:pPr>
            <w:r>
              <w:t>Novel ALVEs</w:t>
            </w:r>
          </w:p>
        </w:tc>
      </w:tr>
      <w:tr w:rsidR="00FE3B11" w14:paraId="5CC58CB0" w14:textId="77777777" w:rsidTr="00AE57F6">
        <w:trPr>
          <w:jc w:val="center"/>
        </w:trPr>
        <w:tc>
          <w:tcPr>
            <w:tcW w:w="1276" w:type="dxa"/>
            <w:tcBorders>
              <w:top w:val="single" w:sz="4" w:space="0" w:color="auto"/>
            </w:tcBorders>
          </w:tcPr>
          <w:p w14:paraId="445A8498" w14:textId="588C3350" w:rsidR="00FE3B11" w:rsidRDefault="00FE3B11" w:rsidP="00AE57F6">
            <w:pPr>
              <w:pStyle w:val="Tablecontent"/>
            </w:pPr>
            <w:r>
              <w:t>Br-Cobb</w:t>
            </w:r>
          </w:p>
        </w:tc>
        <w:tc>
          <w:tcPr>
            <w:tcW w:w="1276" w:type="dxa"/>
            <w:tcBorders>
              <w:top w:val="single" w:sz="4" w:space="0" w:color="auto"/>
            </w:tcBorders>
          </w:tcPr>
          <w:p w14:paraId="5F9D94FB" w14:textId="1E8B378A" w:rsidR="00FE3B11" w:rsidRDefault="00FE3B11" w:rsidP="00AE57F6">
            <w:pPr>
              <w:pStyle w:val="Tablecontent"/>
              <w:jc w:val="center"/>
            </w:pPr>
            <w:r>
              <w:t>15</w:t>
            </w:r>
          </w:p>
        </w:tc>
        <w:tc>
          <w:tcPr>
            <w:tcW w:w="1559" w:type="dxa"/>
            <w:tcBorders>
              <w:top w:val="single" w:sz="4" w:space="0" w:color="auto"/>
            </w:tcBorders>
          </w:tcPr>
          <w:p w14:paraId="3B695240" w14:textId="5DB72610" w:rsidR="00FE3B11" w:rsidRDefault="00FE3B11" w:rsidP="00AE57F6">
            <w:pPr>
              <w:pStyle w:val="Tablecontent"/>
              <w:jc w:val="center"/>
            </w:pPr>
            <w:r>
              <w:t>12</w:t>
            </w:r>
          </w:p>
        </w:tc>
        <w:tc>
          <w:tcPr>
            <w:tcW w:w="1418" w:type="dxa"/>
            <w:tcBorders>
              <w:top w:val="single" w:sz="4" w:space="0" w:color="auto"/>
            </w:tcBorders>
          </w:tcPr>
          <w:p w14:paraId="52853EC2" w14:textId="13E48E90" w:rsidR="00FE3B11" w:rsidRDefault="00FE3B11" w:rsidP="00AE57F6">
            <w:pPr>
              <w:pStyle w:val="Tablecontent"/>
              <w:jc w:val="center"/>
            </w:pPr>
            <w:r>
              <w:t>7</w:t>
            </w:r>
          </w:p>
        </w:tc>
      </w:tr>
      <w:tr w:rsidR="00FE3B11" w14:paraId="10C44523" w14:textId="77777777" w:rsidTr="00AE57F6">
        <w:trPr>
          <w:jc w:val="center"/>
        </w:trPr>
        <w:tc>
          <w:tcPr>
            <w:tcW w:w="1276" w:type="dxa"/>
          </w:tcPr>
          <w:p w14:paraId="21B33194" w14:textId="16ACFA95" w:rsidR="00FE3B11" w:rsidRDefault="00FE3B11" w:rsidP="00AE57F6">
            <w:pPr>
              <w:pStyle w:val="Tablecontent"/>
            </w:pPr>
            <w:r>
              <w:t>Br-INRA</w:t>
            </w:r>
          </w:p>
        </w:tc>
        <w:tc>
          <w:tcPr>
            <w:tcW w:w="1276" w:type="dxa"/>
          </w:tcPr>
          <w:p w14:paraId="7281B4FB" w14:textId="5B0BDB40" w:rsidR="00FE3B11" w:rsidRDefault="00FE3B11" w:rsidP="00AE57F6">
            <w:pPr>
              <w:pStyle w:val="Tablecontent"/>
              <w:jc w:val="center"/>
            </w:pPr>
            <w:r>
              <w:t>20</w:t>
            </w:r>
          </w:p>
        </w:tc>
        <w:tc>
          <w:tcPr>
            <w:tcW w:w="1559" w:type="dxa"/>
          </w:tcPr>
          <w:p w14:paraId="7509068E" w14:textId="2569D0A7" w:rsidR="00FE3B11" w:rsidRDefault="00FE3B11" w:rsidP="00AE57F6">
            <w:pPr>
              <w:pStyle w:val="Tablecontent"/>
              <w:jc w:val="center"/>
            </w:pPr>
            <w:r>
              <w:t>12</w:t>
            </w:r>
          </w:p>
        </w:tc>
        <w:tc>
          <w:tcPr>
            <w:tcW w:w="1418" w:type="dxa"/>
          </w:tcPr>
          <w:p w14:paraId="764D5BB6" w14:textId="3C008DF2" w:rsidR="00FE3B11" w:rsidRDefault="00FE3B11" w:rsidP="00AE57F6">
            <w:pPr>
              <w:pStyle w:val="Tablecontent"/>
              <w:jc w:val="center"/>
            </w:pPr>
            <w:r>
              <w:t>10</w:t>
            </w:r>
          </w:p>
        </w:tc>
      </w:tr>
      <w:tr w:rsidR="00FE3B11" w14:paraId="6BE18373" w14:textId="77777777" w:rsidTr="00AE57F6">
        <w:trPr>
          <w:jc w:val="center"/>
        </w:trPr>
        <w:tc>
          <w:tcPr>
            <w:tcW w:w="1276" w:type="dxa"/>
          </w:tcPr>
          <w:p w14:paraId="52CA8AB7" w14:textId="390839E2" w:rsidR="00FE3B11" w:rsidRDefault="00FE3B11" w:rsidP="00AE57F6">
            <w:pPr>
              <w:pStyle w:val="Tablecontent"/>
            </w:pPr>
            <w:r>
              <w:t>Br-REL</w:t>
            </w:r>
          </w:p>
        </w:tc>
        <w:tc>
          <w:tcPr>
            <w:tcW w:w="1276" w:type="dxa"/>
          </w:tcPr>
          <w:p w14:paraId="3F387F53" w14:textId="7C9296B2" w:rsidR="00FE3B11" w:rsidRDefault="00FE3B11" w:rsidP="00AE57F6">
            <w:pPr>
              <w:pStyle w:val="Tablecontent"/>
              <w:jc w:val="center"/>
            </w:pPr>
            <w:r>
              <w:t>30</w:t>
            </w:r>
          </w:p>
        </w:tc>
        <w:tc>
          <w:tcPr>
            <w:tcW w:w="1559" w:type="dxa"/>
          </w:tcPr>
          <w:p w14:paraId="75795BC1" w14:textId="445FB445" w:rsidR="00FE3B11" w:rsidRDefault="00FE3B11" w:rsidP="00AE57F6">
            <w:pPr>
              <w:pStyle w:val="Tablecontent"/>
              <w:jc w:val="center"/>
            </w:pPr>
            <w:r>
              <w:t>24</w:t>
            </w:r>
          </w:p>
        </w:tc>
        <w:tc>
          <w:tcPr>
            <w:tcW w:w="1418" w:type="dxa"/>
          </w:tcPr>
          <w:p w14:paraId="4BC1FBB1" w14:textId="7E72405A" w:rsidR="00FE3B11" w:rsidRDefault="00FE3B11" w:rsidP="00AE57F6">
            <w:pPr>
              <w:pStyle w:val="Tablecontent"/>
              <w:jc w:val="center"/>
            </w:pPr>
            <w:r>
              <w:t>13</w:t>
            </w:r>
          </w:p>
        </w:tc>
      </w:tr>
      <w:tr w:rsidR="00FE3B11" w14:paraId="57D759FD" w14:textId="77777777" w:rsidTr="00AE57F6">
        <w:trPr>
          <w:jc w:val="center"/>
        </w:trPr>
        <w:tc>
          <w:tcPr>
            <w:tcW w:w="1276" w:type="dxa"/>
          </w:tcPr>
          <w:p w14:paraId="076C2AE3" w14:textId="3E4B0088" w:rsidR="00FE3B11" w:rsidRDefault="00FE3B11" w:rsidP="00AE57F6">
            <w:pPr>
              <w:pStyle w:val="Tablecontent"/>
            </w:pPr>
            <w:r>
              <w:t>Br-VLDL-F</w:t>
            </w:r>
          </w:p>
        </w:tc>
        <w:tc>
          <w:tcPr>
            <w:tcW w:w="1276" w:type="dxa"/>
          </w:tcPr>
          <w:p w14:paraId="5BB5E9E8" w14:textId="1E1D833E" w:rsidR="00FE3B11" w:rsidRDefault="00FE3B11" w:rsidP="00AE57F6">
            <w:pPr>
              <w:pStyle w:val="Tablecontent"/>
              <w:jc w:val="center"/>
            </w:pPr>
            <w:r>
              <w:t>15</w:t>
            </w:r>
          </w:p>
        </w:tc>
        <w:tc>
          <w:tcPr>
            <w:tcW w:w="1559" w:type="dxa"/>
          </w:tcPr>
          <w:p w14:paraId="6CDB3FE5" w14:textId="25E5F3D8" w:rsidR="00FE3B11" w:rsidRDefault="00FE3B11" w:rsidP="00AE57F6">
            <w:pPr>
              <w:pStyle w:val="Tablecontent"/>
              <w:jc w:val="center"/>
            </w:pPr>
            <w:r>
              <w:t>12</w:t>
            </w:r>
          </w:p>
        </w:tc>
        <w:tc>
          <w:tcPr>
            <w:tcW w:w="1418" w:type="dxa"/>
          </w:tcPr>
          <w:p w14:paraId="322F337F" w14:textId="6F53052F" w:rsidR="00FE3B11" w:rsidRDefault="00FE3B11" w:rsidP="00AE57F6">
            <w:pPr>
              <w:pStyle w:val="Tablecontent"/>
              <w:jc w:val="center"/>
            </w:pPr>
            <w:r>
              <w:t>6</w:t>
            </w:r>
          </w:p>
        </w:tc>
      </w:tr>
      <w:tr w:rsidR="00FE3B11" w14:paraId="132DE10F" w14:textId="77777777" w:rsidTr="00AE57F6">
        <w:trPr>
          <w:jc w:val="center"/>
        </w:trPr>
        <w:tc>
          <w:tcPr>
            <w:tcW w:w="1276" w:type="dxa"/>
          </w:tcPr>
          <w:p w14:paraId="7BA42A5B" w14:textId="439CB364" w:rsidR="00FE3B11" w:rsidRDefault="00FE3B11" w:rsidP="00AE57F6">
            <w:pPr>
              <w:pStyle w:val="Tablecontent"/>
            </w:pPr>
            <w:r>
              <w:t>Br-VLDL-L</w:t>
            </w:r>
          </w:p>
        </w:tc>
        <w:tc>
          <w:tcPr>
            <w:tcW w:w="1276" w:type="dxa"/>
          </w:tcPr>
          <w:p w14:paraId="63F9D107" w14:textId="31081ADB" w:rsidR="00FE3B11" w:rsidRDefault="00FE3B11" w:rsidP="00AE57F6">
            <w:pPr>
              <w:pStyle w:val="Tablecontent"/>
              <w:jc w:val="center"/>
            </w:pPr>
            <w:r>
              <w:t>13</w:t>
            </w:r>
          </w:p>
        </w:tc>
        <w:tc>
          <w:tcPr>
            <w:tcW w:w="1559" w:type="dxa"/>
          </w:tcPr>
          <w:p w14:paraId="01D4F002" w14:textId="251D7607" w:rsidR="00FE3B11" w:rsidRDefault="00FE3B11" w:rsidP="00AE57F6">
            <w:pPr>
              <w:pStyle w:val="Tablecontent"/>
              <w:jc w:val="center"/>
            </w:pPr>
            <w:r>
              <w:t>11</w:t>
            </w:r>
          </w:p>
        </w:tc>
        <w:tc>
          <w:tcPr>
            <w:tcW w:w="1418" w:type="dxa"/>
          </w:tcPr>
          <w:p w14:paraId="610836DF" w14:textId="365F6DB9" w:rsidR="00FE3B11" w:rsidRDefault="00FE3B11" w:rsidP="00AE57F6">
            <w:pPr>
              <w:pStyle w:val="Tablecontent"/>
              <w:jc w:val="center"/>
            </w:pPr>
            <w:r>
              <w:t>7</w:t>
            </w:r>
          </w:p>
        </w:tc>
      </w:tr>
      <w:tr w:rsidR="00FE3B11" w14:paraId="04E9F13A" w14:textId="77777777" w:rsidTr="00AE57F6">
        <w:trPr>
          <w:jc w:val="center"/>
        </w:trPr>
        <w:tc>
          <w:tcPr>
            <w:tcW w:w="1276" w:type="dxa"/>
            <w:tcBorders>
              <w:bottom w:val="single" w:sz="4" w:space="0" w:color="auto"/>
            </w:tcBorders>
          </w:tcPr>
          <w:p w14:paraId="621FB0F9" w14:textId="58FBA56F" w:rsidR="00FE3B11" w:rsidRDefault="00FE3B11" w:rsidP="00AE57F6">
            <w:pPr>
              <w:pStyle w:val="Tablecontent"/>
            </w:pPr>
            <w:r>
              <w:t>Lindian</w:t>
            </w:r>
          </w:p>
        </w:tc>
        <w:tc>
          <w:tcPr>
            <w:tcW w:w="1276" w:type="dxa"/>
            <w:tcBorders>
              <w:bottom w:val="single" w:sz="4" w:space="0" w:color="auto"/>
            </w:tcBorders>
          </w:tcPr>
          <w:p w14:paraId="74D526F5" w14:textId="243A5E18" w:rsidR="00FE3B11" w:rsidRDefault="00FE3B11" w:rsidP="00AE57F6">
            <w:pPr>
              <w:pStyle w:val="Tablecontent"/>
              <w:jc w:val="center"/>
            </w:pPr>
            <w:r>
              <w:t>14</w:t>
            </w:r>
          </w:p>
        </w:tc>
        <w:tc>
          <w:tcPr>
            <w:tcW w:w="1559" w:type="dxa"/>
            <w:tcBorders>
              <w:bottom w:val="single" w:sz="4" w:space="0" w:color="auto"/>
            </w:tcBorders>
          </w:tcPr>
          <w:p w14:paraId="3044716D" w14:textId="0D90F4EA" w:rsidR="00FE3B11" w:rsidRDefault="00FE3B11" w:rsidP="00AE57F6">
            <w:pPr>
              <w:pStyle w:val="Tablecontent"/>
              <w:jc w:val="center"/>
            </w:pPr>
            <w:r>
              <w:t>2</w:t>
            </w:r>
          </w:p>
        </w:tc>
        <w:tc>
          <w:tcPr>
            <w:tcW w:w="1418" w:type="dxa"/>
            <w:tcBorders>
              <w:bottom w:val="single" w:sz="4" w:space="0" w:color="auto"/>
            </w:tcBorders>
          </w:tcPr>
          <w:p w14:paraId="4CC03624" w14:textId="4EFB2DB3" w:rsidR="00FE3B11" w:rsidRDefault="00FE3B11" w:rsidP="00AE57F6">
            <w:pPr>
              <w:pStyle w:val="Tablecontent"/>
              <w:jc w:val="center"/>
            </w:pPr>
            <w:r>
              <w:t>11</w:t>
            </w:r>
          </w:p>
        </w:tc>
      </w:tr>
    </w:tbl>
    <w:p w14:paraId="5F33DF66" w14:textId="26EA17EA" w:rsidR="00FE3B11" w:rsidRDefault="00FE3B11" w:rsidP="00391005">
      <w:pPr>
        <w:pStyle w:val="ListParagraph"/>
      </w:pPr>
    </w:p>
    <w:p w14:paraId="79EF0DC6" w14:textId="7941D584" w:rsidR="00A21695" w:rsidRDefault="00177770" w:rsidP="00391005">
      <w:pPr>
        <w:pStyle w:val="ListParagraph"/>
      </w:pPr>
      <w:r>
        <w:t>Five of the fifteen ALVEs identified in Br-Cobb overlapped with genes. Four were intronic, but the lineage-specific ALVE_ros231 is within the 3’UTR of LPHN2 (Latrophilin 2; also known as ADGRL2).</w:t>
      </w:r>
      <w:r w:rsidR="000E29EB">
        <w:t xml:space="preserve"> Seven of the twenty Br-INRA ALVEs were intronic. This included ALVE_ros072 in the third intron of FRY (Furry homologue; shared with Br-Cobb, Br-VLDL-L, Silkie and RJF-C), ALVE_ros234 in the fourteenth intron of ADGRL4 (</w:t>
      </w:r>
      <w:r w:rsidR="000E29EB" w:rsidRPr="000E29EB">
        <w:t>Adhesion G Protein-Coupled Receptor L4</w:t>
      </w:r>
      <w:r w:rsidR="000E29EB">
        <w:t>; shared with Bl-java), and three lineage-specific insertions.</w:t>
      </w:r>
    </w:p>
    <w:p w14:paraId="62F07012" w14:textId="531B5A2D" w:rsidR="00A21695" w:rsidRDefault="00A21695" w:rsidP="00391005">
      <w:pPr>
        <w:pStyle w:val="ListParagraph"/>
      </w:pPr>
      <w:r>
        <w:t xml:space="preserve">The </w:t>
      </w:r>
      <w:r w:rsidR="00177770">
        <w:t>high</w:t>
      </w:r>
      <w:r>
        <w:t xml:space="preserve"> ALVE count seen in the Br-REL line</w:t>
      </w:r>
      <w:r w:rsidR="005C5613">
        <w:t xml:space="preserve"> was unexpected, but it is</w:t>
      </w:r>
      <w:r>
        <w:t xml:space="preserve"> possible that matings outside the breed have occurred, as the line includes the typically layer ALVE1 and ALVE15. The REL dataset is also more likely to include the full diversity of ALVEs </w:t>
      </w:r>
      <w:r>
        <w:lastRenderedPageBreak/>
        <w:t>within that line as eighty individuals (in 8 pools of 10 birds) were used for sequencing.</w:t>
      </w:r>
      <w:r w:rsidR="00E146B9">
        <w:t xml:space="preserve"> Seven of the thirty ALVEs a</w:t>
      </w:r>
      <w:r w:rsidR="007531C1">
        <w:t xml:space="preserve">re intronic, including ALVE1, ALVE15, ALVEB6 and ALVE-TYR. The other three are all novel to this study, and only ALVE_ros142 is shared (with ETH-Horro). </w:t>
      </w:r>
    </w:p>
    <w:p w14:paraId="73215EEE" w14:textId="6B2CAE2E" w:rsidR="00A21695" w:rsidRDefault="00A21695" w:rsidP="00391005">
      <w:pPr>
        <w:pStyle w:val="ListParagraph"/>
      </w:pPr>
      <w:r>
        <w:t>The Br-VLDL-F and Br-VLDL-L lines are sister lines differentially selected</w:t>
      </w:r>
      <w:r w:rsidR="00E146B9">
        <w:t xml:space="preserve"> since the 1980s</w:t>
      </w:r>
      <w:r>
        <w:t xml:space="preserve"> for </w:t>
      </w:r>
      <w:r w:rsidR="00341352">
        <w:t xml:space="preserve">the concentration of </w:t>
      </w:r>
      <w:r>
        <w:t>very low density lipo</w:t>
      </w:r>
      <w:r w:rsidR="00341352">
        <w:t>protein (VLDL)</w:t>
      </w:r>
      <w:r>
        <w:t xml:space="preserve"> in blood plasma, an indicative marker for fatness or leanness in chickens </w:t>
      </w:r>
      <w:r>
        <w:fldChar w:fldCharType="begin" w:fldLock="1"/>
      </w:r>
      <w:r w:rsidR="007531C1">
        <w:instrText>ADDIN CSL_CITATION { "citationItems" : [ { "id" : "ITEM-1", "itemData" : { "ISSN" : "0022-2275", "PMID" : "2769076", "abstract" : "Plasma lipoprotein metabolism was studied in vivo in two lines of chickens produced by selection for high and low plasma very low density lipoprotein (VLDL) concentration. Rates of VLDL secretion were measured by determining the rate of accumulation of triglyceride in the plasma after intravenous injection of anti-lipoprotein lipase antibody. The clearance of VLDL-triglyceride and its uptake into liver and adipose tissue was examined using radioactively labeled VLDL synthesized in vivo. The rate of VLDL secretion was about threefold higher in the high-VLDL line as compared to the leaner, low VLDL-line (6.7 vs 2.1 mumol VLDL triglyceride/h per ml of plasma). The clearance of VLDL from the circulation of the low VLDL line was much faster than that of the high VLDL line (t1/2 of 3.7 and 13.6 min, respectively). The proportion of administered radiolabel taken up by the abdominal fat pad was substantially greater in the fat line than in the lean line (11.9 vs 4.8%, respectively). Lipoprotein lipase activities in leg muscle and heart were consistently greater in the low-VLDL line and beta-hydroxybutyrate concentrations in the plasma of the low-VLDL line were significantly greater than those in the high-VLDL line (0.86 vs 0.48 mumol/ml). The results show that the approximately tenfold difference in plasma VLDL concentration between lines is primarily due to markedly different rates of hepatic VLDL production and that selection has made a major effect on partitioning of VLDL triglyceride between adipose and other tissues.(ABSTRACT TRUNCATED AT 250 WORDS)", "author" : [ { "dropping-particle" : "", "family" : "Griffin", "given" : "H", "non-dropping-particle" : "", "parse-names" : false, "suffix" : "" }, { "dropping-particle" : "", "family" : "Acamovic", "given" : "F", "non-dropping-particle" : "", "parse-names" : false, "suffix" : "" }, { "dropping-particle" : "", "family" : "Guo", "given" : "K", "non-dropping-particle" : "", "parse-names" : false, "suffix" : "" }, { "dropping-particle" : "", "family" : "Peddie", "given" : "J", "non-dropping-particle" : "", "parse-names" : false, "suffix" : "" } ], "container-title" : "Journal of lipid research", "id" : "ITEM-1", "issue" : "8", "issued" : { "date-parts" : [ [ "1989" ] ] }, "page" : "1243-50", "title" : "Plasma lipoprotein metabolism in lean and in fat chickens produced by divergent selection for plasma very low density lipoprotein concentration.", "type" : "article-journal", "volume" : "30" }, "uris" : [ "http://www.mendeley.com/documents/?uuid=03ffe843-a167-43cf-9470-4023abb7f738" ] }, { "id" : "ITEM-2", "itemData" : { "DOI" : "10.1080/00071669108417340", "ISSN" : "0007-1668", "PMID" : "2049623", "abstract" : "1. Plasma lipoprotein metabolism and body composition in lines of chicken selected for high- and low-plasma very low density lipoprotein (VLDL) concentrations were compared to the commercial broiler (meat-type) line from which they were derived. 2. Selection for low-plasma VLDL concentration for 10 generations has reduced the rate of VLDL secretion by at least 50% in males whereas selection for high-VLDL concentration has increased the rate of VLDL secretion over 2-fold. 3. Body fat content was highly correlated with rate of secretion of plasma triglyceride-rich (TGR) lipoproteins (r = 0.88 over the three lines). However, extrapolation of the data suggests that birds secreting no TGR-lipoproteins into the plasma would still have substantial amounts of body fat. 4. Selection for high VLDL has increased the proportion of circulating VLDL-triglyceride taken up by the abdominal fat pad by over 2-fold but there was no difference between high- and low-VLDL lines in the proportion of VLDL-triglyceride taken up by tissues and oxidised to [14C]-carbon dioxide. 5. The results confirm the importance of plasma lipoprotein metabolism in determining body composition in the chicken but suggest there are limits to further reduction in body fat content by manipulation of plasma lipoprotein metabolism.", "author" : [ { "dropping-particle" : "", "family" : "Griffin", "given" : "H D", "non-dropping-particle" : "", "parse-names" : false, "suffix" : "" }, { "dropping-particle" : "", "family" : "Windsor", "given" : "D", "non-dropping-particle" : "", "parse-names" : false, "suffix" : "" }, { "dropping-particle" : "", "family" : "Whitehead", "given" : "C C", "non-dropping-particle" : "", "parse-names" : false, "suffix" : "" } ], "container-title" : "British poultry science", "id" : "ITEM-2", "issue" : "1", "issued" : { "date-parts" : [ [ "1991" ] ] }, "page" : "195-201", "title" : "Changes in lipoprotein metabolism and body composition in chickens in response to divergent selection for plasma very low density lipoprotein concentration.", "type" : "article-journal", "volume" : "32" }, "uris" : [ "http://www.mendeley.com/documents/?uuid=1d2208c9-2448-456e-b10b-44e53fca44e3" ] } ], "mendeley" : { "formattedCitation" : "(Griffin et al. 1989; Griffin et al. 1991)", "plainTextFormattedCitation" : "(Griffin et al. 1989; Griffin et al. 1991)", "previouslyFormattedCitation" : "(Griffin et al. 1989; Griffin et al. 1991)" }, "properties" : { "noteIndex" : 0 }, "schema" : "https://github.com/citation-style-language/schema/raw/master/csl-citation.json" }</w:instrText>
      </w:r>
      <w:r>
        <w:fldChar w:fldCharType="separate"/>
      </w:r>
      <w:r w:rsidRPr="00A21695">
        <w:rPr>
          <w:noProof/>
        </w:rPr>
        <w:t>(Griffin et al. 1989; Griffin et al. 1991)</w:t>
      </w:r>
      <w:r>
        <w:fldChar w:fldCharType="end"/>
      </w:r>
      <w:r>
        <w:t xml:space="preserve">. Despite this recent shared ancestry, only five of the twenty-three total ALVE instances identified in these two lines are shared. This could be due to the sequencing of only four individuals for each line, so some of the rarer insertions could have been missed from one line but identified in the sister line. Nine intronic ALVE insertions were identified, four of which were found only in the fat (Br-VLDL-F) </w:t>
      </w:r>
      <w:r w:rsidR="00341352">
        <w:t>line</w:t>
      </w:r>
      <w:r>
        <w:t xml:space="preserve"> </w:t>
      </w:r>
      <w:r w:rsidR="00341352">
        <w:t>(</w:t>
      </w:r>
      <w:r>
        <w:t>ALVE15, ALVEB6 and the novel, line-specific ALVE_ros083 and ALVE_ros273</w:t>
      </w:r>
      <w:r w:rsidR="00341352">
        <w:t>), but none of the effected genes were associated with gene ontology terms for lipid/amino acid biosynthesis, and none of the regions were associated with recent selection signature analysis (Khoo et al. manuscript in prep)</w:t>
      </w:r>
      <w:r>
        <w:t xml:space="preserve">. </w:t>
      </w:r>
      <w:r w:rsidR="00341352">
        <w:t xml:space="preserve">However, the novel ALVE_ros083 is in the second intron of the CaSR (Calcium-sensing receptor) gene, which regulates calcium, sodium, potassium and water reabsorption in kidney by regulating the release of parathyroid hormone </w:t>
      </w:r>
      <w:r w:rsidR="007531C1">
        <w:fldChar w:fldCharType="begin" w:fldLock="1"/>
      </w:r>
      <w:r w:rsidR="009855B7">
        <w:instrText>ADDIN CSL_CITATION { "citationItems" : [ { "id" : "ITEM-1", "itemData" : { "author" : [ { "dropping-particle" : "", "family" : "D'Souza-Li", "given" : "L", "non-dropping-particle" : "", "parse-names" : false, "suffix" : "" } ], "container-title" : "Arq Bras Endocrinol Metab", "id" : "ITEM-1", "issue" : "4", "issued" : { "date-parts" : [ [ "2006" ] ] }, "page" : "628-39", "title" : "The calcium-sensing receptor and related diseases", "type" : "article-journal", "volume" : "50" }, "uris" : [ "http://www.mendeley.com/documents/?uuid=a577970a-ac71-456a-89e7-315e43e38096" ] }, { "id" : "ITEM-2", "itemData" : { "author" : [ { "dropping-particle" : "", "family" : "Vezzoli", "given" : "G", "non-dropping-particle" : "", "parse-names" : false, "suffix" : "" }, { "dropping-particle" : "", "family" : "Soldati", "given" : "L", "non-dropping-particle" : "", "parse-names" : false, "suffix" : "" }, { "dropping-particle" : "", "family" : "Gambaro", "given" : "G", "non-dropping-particle" : "", "parse-names" : false, "suffix" : "" } ], "container-title" : "Current pharmaceutical biotechnology", "id" : "ITEM-2", "issue" : "3", "issued" : { "date-parts" : [ [ "2009" ] ] }, "page" : "302-310", "title" : "Roles of calcium-sensing receptor (CaSR) in renal mineral ion transport", "type" : "article-journal", "volume" : "10" }, "uris" : [ "http://www.mendeley.com/documents/?uuid=981750f4-ea03-461c-a2bb-d8de1c1ecff9" ] } ], "mendeley" : { "formattedCitation" : "(D\u2019Souza-Li 2006; Vezzoli et al. 2009)", "plainTextFormattedCitation" : "(D\u2019Souza-Li 2006; Vezzoli et al. 2009)", "previouslyFormattedCitation" : "(D\u2019Souza-Li 2006; Vezzoli et al. 2009)" }, "properties" : { "noteIndex" : 0 }, "schema" : "https://github.com/citation-style-language/schema/raw/master/csl-citation.json" }</w:instrText>
      </w:r>
      <w:r w:rsidR="007531C1">
        <w:fldChar w:fldCharType="separate"/>
      </w:r>
      <w:r w:rsidR="007531C1" w:rsidRPr="007531C1">
        <w:rPr>
          <w:noProof/>
        </w:rPr>
        <w:t>(D’Souza-Li 2006; Vezzoli et al. 2009)</w:t>
      </w:r>
      <w:r w:rsidR="007531C1">
        <w:fldChar w:fldCharType="end"/>
      </w:r>
      <w:r w:rsidR="00341352">
        <w:t>. Interestingly, this insertion is associated with a genomic deletion of 334 bp (in a similar manner to ALVE_ros007 in the HL RIR). A combination of the presence of an ALVE insertion within the intron, and disruption of the intron genomic sequence, might impact the expression of CaSR.</w:t>
      </w:r>
    </w:p>
    <w:p w14:paraId="1CF66450" w14:textId="0873E17C" w:rsidR="008E0A6C" w:rsidRDefault="008E0A6C" w:rsidP="00391005">
      <w:pPr>
        <w:pStyle w:val="ListParagraph"/>
      </w:pPr>
    </w:p>
    <w:p w14:paraId="609DF902" w14:textId="111C5055" w:rsidR="008E0A6C" w:rsidRDefault="008E0A6C" w:rsidP="008E0A6C">
      <w:pPr>
        <w:pStyle w:val="Heading4"/>
      </w:pPr>
      <w:r>
        <w:t>Generalists and ‘native’ breeds</w:t>
      </w:r>
    </w:p>
    <w:p w14:paraId="4B581E9C" w14:textId="1B38473D" w:rsidR="008E0A6C" w:rsidRDefault="00A6008B" w:rsidP="00391005">
      <w:pPr>
        <w:pStyle w:val="ListParagraph"/>
      </w:pPr>
      <w:r>
        <w:t>This diverse group of fourteen datasets exhibited very varied ALVE content, both in terms of total number and the specific sites identified. Lines ranged from having a single, novel, unshared ALVE (Chahua; ALVE_ros271) to twenty-two ALVEs in the Black Java (Bl-java) breed (</w:t>
      </w:r>
      <w:r w:rsidR="004C00AB">
        <w:fldChar w:fldCharType="begin" w:fldLock="1"/>
      </w:r>
      <w:r w:rsidR="004C00AB">
        <w:instrText xml:space="preserve"> REF _Ref481148101 \h </w:instrText>
      </w:r>
      <w:r w:rsidR="004C00AB">
        <w:fldChar w:fldCharType="separate"/>
      </w:r>
      <w:r w:rsidR="002C549C">
        <w:t xml:space="preserve">Table </w:t>
      </w:r>
      <w:r w:rsidR="002C549C">
        <w:rPr>
          <w:noProof/>
        </w:rPr>
        <w:t>7</w:t>
      </w:r>
      <w:r w:rsidR="002C549C">
        <w:t>.</w:t>
      </w:r>
      <w:r w:rsidR="002C549C">
        <w:rPr>
          <w:noProof/>
        </w:rPr>
        <w:t>6</w:t>
      </w:r>
      <w:r w:rsidR="004C00AB">
        <w:fldChar w:fldCharType="end"/>
      </w:r>
      <w:r>
        <w:t>). Eighty-three different ALVEs w</w:t>
      </w:r>
      <w:r w:rsidR="00361CE5">
        <w:t xml:space="preserve">ere identified across the lines, fifty-six of which were new to this study (67.5 %). </w:t>
      </w:r>
    </w:p>
    <w:p w14:paraId="09321CFC" w14:textId="15CC7476" w:rsidR="00AE57F6" w:rsidRDefault="00AE57F6" w:rsidP="00AE57F6">
      <w:pPr>
        <w:pStyle w:val="Caption"/>
      </w:pPr>
      <w:bookmarkStart w:id="606" w:name="_Ref481148101"/>
      <w:bookmarkStart w:id="607" w:name="_Toc486786341"/>
      <w:r>
        <w:lastRenderedPageBreak/>
        <w:t xml:space="preserve">Table </w:t>
      </w:r>
      <w:fldSimple w:instr=" STYLEREF 1 \s " w:fldLock="1">
        <w:r w:rsidR="002C549C">
          <w:rPr>
            <w:noProof/>
          </w:rPr>
          <w:t>7</w:t>
        </w:r>
      </w:fldSimple>
      <w:r w:rsidR="001167C6">
        <w:t>.</w:t>
      </w:r>
      <w:fldSimple w:instr=" SEQ Table \* ARABIC \s 1 " w:fldLock="1">
        <w:r w:rsidR="002C549C">
          <w:rPr>
            <w:noProof/>
          </w:rPr>
          <w:t>6</w:t>
        </w:r>
      </w:fldSimple>
      <w:bookmarkEnd w:id="606"/>
      <w:r>
        <w:t xml:space="preserve"> Number of AL</w:t>
      </w:r>
      <w:r w:rsidR="00A6008B">
        <w:t xml:space="preserve">VEs identified in the </w:t>
      </w:r>
      <w:r>
        <w:t>generalist or native breeds. The shared ALVEs column represents how many of the ALVEs in that line were shared with any other analysed dataset (not just this grouping). The novel ALVEs column represents how many of the identified ALVEs were previously unknown.</w:t>
      </w:r>
      <w:bookmarkEnd w:id="607"/>
    </w:p>
    <w:tbl>
      <w:tblPr>
        <w:tblStyle w:val="TableGrid"/>
        <w:tblW w:w="56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276"/>
        <w:gridCol w:w="1559"/>
        <w:gridCol w:w="1418"/>
      </w:tblGrid>
      <w:tr w:rsidR="00AE57F6" w14:paraId="36F965A6" w14:textId="77777777" w:rsidTr="00AE57F6">
        <w:trPr>
          <w:jc w:val="center"/>
        </w:trPr>
        <w:tc>
          <w:tcPr>
            <w:tcW w:w="1418" w:type="dxa"/>
            <w:tcBorders>
              <w:top w:val="single" w:sz="4" w:space="0" w:color="auto"/>
              <w:bottom w:val="single" w:sz="4" w:space="0" w:color="auto"/>
            </w:tcBorders>
            <w:vAlign w:val="center"/>
          </w:tcPr>
          <w:p w14:paraId="7CD23EC6" w14:textId="77777777" w:rsidR="00AE57F6" w:rsidRDefault="00AE57F6" w:rsidP="00AE57F6">
            <w:pPr>
              <w:pStyle w:val="Tablecontent"/>
            </w:pPr>
            <w:r>
              <w:t>Line name</w:t>
            </w:r>
          </w:p>
        </w:tc>
        <w:tc>
          <w:tcPr>
            <w:tcW w:w="1276" w:type="dxa"/>
            <w:tcBorders>
              <w:top w:val="single" w:sz="4" w:space="0" w:color="auto"/>
              <w:bottom w:val="single" w:sz="4" w:space="0" w:color="auto"/>
            </w:tcBorders>
            <w:vAlign w:val="center"/>
          </w:tcPr>
          <w:p w14:paraId="28BF3A13" w14:textId="77777777" w:rsidR="00AE57F6" w:rsidRDefault="00AE57F6" w:rsidP="00AE57F6">
            <w:pPr>
              <w:pStyle w:val="Tablecontent"/>
              <w:jc w:val="center"/>
            </w:pPr>
            <w:r>
              <w:t>No. ALVEs</w:t>
            </w:r>
          </w:p>
        </w:tc>
        <w:tc>
          <w:tcPr>
            <w:tcW w:w="1559" w:type="dxa"/>
            <w:tcBorders>
              <w:top w:val="single" w:sz="4" w:space="0" w:color="auto"/>
              <w:bottom w:val="single" w:sz="4" w:space="0" w:color="auto"/>
            </w:tcBorders>
          </w:tcPr>
          <w:p w14:paraId="4B23C664" w14:textId="77777777" w:rsidR="00AE57F6" w:rsidRDefault="00AE57F6" w:rsidP="00AE57F6">
            <w:pPr>
              <w:pStyle w:val="Tablecontent"/>
              <w:jc w:val="center"/>
            </w:pPr>
            <w:r>
              <w:t>Shared ALVEs</w:t>
            </w:r>
          </w:p>
        </w:tc>
        <w:tc>
          <w:tcPr>
            <w:tcW w:w="1418" w:type="dxa"/>
            <w:tcBorders>
              <w:top w:val="single" w:sz="4" w:space="0" w:color="auto"/>
              <w:bottom w:val="single" w:sz="4" w:space="0" w:color="auto"/>
            </w:tcBorders>
          </w:tcPr>
          <w:p w14:paraId="367EBBDA" w14:textId="77777777" w:rsidR="00AE57F6" w:rsidRDefault="00AE57F6" w:rsidP="00AE57F6">
            <w:pPr>
              <w:pStyle w:val="Tablecontent"/>
              <w:jc w:val="center"/>
            </w:pPr>
            <w:r>
              <w:t>Novel ALVEs</w:t>
            </w:r>
          </w:p>
        </w:tc>
      </w:tr>
      <w:tr w:rsidR="00AE57F6" w14:paraId="4DEECF4D" w14:textId="77777777" w:rsidTr="00AE57F6">
        <w:trPr>
          <w:jc w:val="center"/>
        </w:trPr>
        <w:tc>
          <w:tcPr>
            <w:tcW w:w="1418" w:type="dxa"/>
            <w:tcBorders>
              <w:top w:val="single" w:sz="4" w:space="0" w:color="auto"/>
            </w:tcBorders>
          </w:tcPr>
          <w:p w14:paraId="18BD67C6" w14:textId="7C03F6D6" w:rsidR="00AE57F6" w:rsidRDefault="00AE57F6" w:rsidP="00AE57F6">
            <w:pPr>
              <w:pStyle w:val="Tablecontent"/>
            </w:pPr>
            <w:r>
              <w:t>Araucana</w:t>
            </w:r>
          </w:p>
        </w:tc>
        <w:tc>
          <w:tcPr>
            <w:tcW w:w="1276" w:type="dxa"/>
            <w:tcBorders>
              <w:top w:val="single" w:sz="4" w:space="0" w:color="auto"/>
            </w:tcBorders>
          </w:tcPr>
          <w:p w14:paraId="3542E1EF" w14:textId="37F16DB7" w:rsidR="00AE57F6" w:rsidRDefault="00AE57F6" w:rsidP="00AE57F6">
            <w:pPr>
              <w:pStyle w:val="Tablecontent"/>
              <w:jc w:val="center"/>
            </w:pPr>
            <w:r>
              <w:t>12</w:t>
            </w:r>
          </w:p>
        </w:tc>
        <w:tc>
          <w:tcPr>
            <w:tcW w:w="1559" w:type="dxa"/>
            <w:tcBorders>
              <w:top w:val="single" w:sz="4" w:space="0" w:color="auto"/>
            </w:tcBorders>
          </w:tcPr>
          <w:p w14:paraId="61E260D8" w14:textId="45D71D41" w:rsidR="00AE57F6" w:rsidRDefault="00AE57F6" w:rsidP="00AE57F6">
            <w:pPr>
              <w:pStyle w:val="Tablecontent"/>
              <w:jc w:val="center"/>
            </w:pPr>
            <w:r>
              <w:t>8</w:t>
            </w:r>
          </w:p>
        </w:tc>
        <w:tc>
          <w:tcPr>
            <w:tcW w:w="1418" w:type="dxa"/>
            <w:tcBorders>
              <w:top w:val="single" w:sz="4" w:space="0" w:color="auto"/>
            </w:tcBorders>
          </w:tcPr>
          <w:p w14:paraId="44AA2233" w14:textId="299CCC1B" w:rsidR="00AE57F6" w:rsidRDefault="00AE57F6" w:rsidP="00AE57F6">
            <w:pPr>
              <w:pStyle w:val="Tablecontent"/>
              <w:jc w:val="center"/>
            </w:pPr>
            <w:r>
              <w:t>6</w:t>
            </w:r>
          </w:p>
        </w:tc>
      </w:tr>
      <w:tr w:rsidR="00AE57F6" w14:paraId="1FEDB7DA" w14:textId="77777777" w:rsidTr="00AE57F6">
        <w:trPr>
          <w:jc w:val="center"/>
        </w:trPr>
        <w:tc>
          <w:tcPr>
            <w:tcW w:w="1418" w:type="dxa"/>
          </w:tcPr>
          <w:p w14:paraId="5D938F78" w14:textId="412D9687" w:rsidR="00AE57F6" w:rsidRDefault="00AE57F6" w:rsidP="00AE57F6">
            <w:pPr>
              <w:pStyle w:val="Tablecontent"/>
            </w:pPr>
            <w:r>
              <w:t>Bl-java</w:t>
            </w:r>
          </w:p>
        </w:tc>
        <w:tc>
          <w:tcPr>
            <w:tcW w:w="1276" w:type="dxa"/>
          </w:tcPr>
          <w:p w14:paraId="00F3C7EA" w14:textId="11574C9A" w:rsidR="00AE57F6" w:rsidRDefault="00AE57F6" w:rsidP="00AE57F6">
            <w:pPr>
              <w:pStyle w:val="Tablecontent"/>
              <w:jc w:val="center"/>
            </w:pPr>
            <w:r>
              <w:t>22</w:t>
            </w:r>
          </w:p>
        </w:tc>
        <w:tc>
          <w:tcPr>
            <w:tcW w:w="1559" w:type="dxa"/>
          </w:tcPr>
          <w:p w14:paraId="2348FCE7" w14:textId="2BDC78CF" w:rsidR="00AE57F6" w:rsidRDefault="00AE57F6" w:rsidP="00AE57F6">
            <w:pPr>
              <w:pStyle w:val="Tablecontent"/>
              <w:jc w:val="center"/>
            </w:pPr>
            <w:r>
              <w:t>12</w:t>
            </w:r>
          </w:p>
        </w:tc>
        <w:tc>
          <w:tcPr>
            <w:tcW w:w="1418" w:type="dxa"/>
          </w:tcPr>
          <w:p w14:paraId="421AF9CB" w14:textId="12BD4D49" w:rsidR="00AE57F6" w:rsidRDefault="00AE57F6" w:rsidP="00AE57F6">
            <w:pPr>
              <w:pStyle w:val="Tablecontent"/>
              <w:jc w:val="center"/>
            </w:pPr>
            <w:r>
              <w:t>9</w:t>
            </w:r>
          </w:p>
        </w:tc>
      </w:tr>
      <w:tr w:rsidR="00AE57F6" w14:paraId="086E2584" w14:textId="77777777" w:rsidTr="00AE57F6">
        <w:trPr>
          <w:jc w:val="center"/>
        </w:trPr>
        <w:tc>
          <w:tcPr>
            <w:tcW w:w="1418" w:type="dxa"/>
          </w:tcPr>
          <w:p w14:paraId="7DB2F2EB" w14:textId="6880B66F" w:rsidR="00AE57F6" w:rsidRDefault="00AE57F6" w:rsidP="00AE57F6">
            <w:pPr>
              <w:pStyle w:val="Tablecontent"/>
            </w:pPr>
            <w:r>
              <w:t>Bl-sum</w:t>
            </w:r>
          </w:p>
        </w:tc>
        <w:tc>
          <w:tcPr>
            <w:tcW w:w="1276" w:type="dxa"/>
          </w:tcPr>
          <w:p w14:paraId="551E2193" w14:textId="542AF068" w:rsidR="00AE57F6" w:rsidRDefault="00AE57F6" w:rsidP="00AE57F6">
            <w:pPr>
              <w:pStyle w:val="Tablecontent"/>
              <w:jc w:val="center"/>
            </w:pPr>
            <w:r>
              <w:t>2</w:t>
            </w:r>
          </w:p>
        </w:tc>
        <w:tc>
          <w:tcPr>
            <w:tcW w:w="1559" w:type="dxa"/>
          </w:tcPr>
          <w:p w14:paraId="7FFAD625" w14:textId="77EAF775" w:rsidR="00AE57F6" w:rsidRDefault="00AE57F6" w:rsidP="00AE57F6">
            <w:pPr>
              <w:pStyle w:val="Tablecontent"/>
              <w:jc w:val="center"/>
            </w:pPr>
            <w:r>
              <w:t>1</w:t>
            </w:r>
          </w:p>
        </w:tc>
        <w:tc>
          <w:tcPr>
            <w:tcW w:w="1418" w:type="dxa"/>
          </w:tcPr>
          <w:p w14:paraId="54F65029" w14:textId="325E5F76" w:rsidR="00AE57F6" w:rsidRDefault="00AE57F6" w:rsidP="00AE57F6">
            <w:pPr>
              <w:pStyle w:val="Tablecontent"/>
              <w:jc w:val="center"/>
            </w:pPr>
            <w:r>
              <w:t>1</w:t>
            </w:r>
          </w:p>
        </w:tc>
      </w:tr>
      <w:tr w:rsidR="00AE57F6" w14:paraId="5094BC11" w14:textId="77777777" w:rsidTr="00AE57F6">
        <w:trPr>
          <w:jc w:val="center"/>
        </w:trPr>
        <w:tc>
          <w:tcPr>
            <w:tcW w:w="1418" w:type="dxa"/>
          </w:tcPr>
          <w:p w14:paraId="06B4DD98" w14:textId="50E84590" w:rsidR="00AE57F6" w:rsidRDefault="00AE57F6" w:rsidP="00AE57F6">
            <w:pPr>
              <w:pStyle w:val="Tablecontent"/>
            </w:pPr>
            <w:r>
              <w:t>Chahua</w:t>
            </w:r>
          </w:p>
        </w:tc>
        <w:tc>
          <w:tcPr>
            <w:tcW w:w="1276" w:type="dxa"/>
          </w:tcPr>
          <w:p w14:paraId="63A5C8DD" w14:textId="4FC84DA1" w:rsidR="00AE57F6" w:rsidRDefault="00AE57F6" w:rsidP="00AE57F6">
            <w:pPr>
              <w:pStyle w:val="Tablecontent"/>
              <w:jc w:val="center"/>
            </w:pPr>
            <w:r>
              <w:t>1</w:t>
            </w:r>
          </w:p>
        </w:tc>
        <w:tc>
          <w:tcPr>
            <w:tcW w:w="1559" w:type="dxa"/>
          </w:tcPr>
          <w:p w14:paraId="6A17AC69" w14:textId="2CD500E3" w:rsidR="00AE57F6" w:rsidRDefault="00AE57F6" w:rsidP="00AE57F6">
            <w:pPr>
              <w:pStyle w:val="Tablecontent"/>
              <w:jc w:val="center"/>
            </w:pPr>
            <w:r>
              <w:t>0</w:t>
            </w:r>
          </w:p>
        </w:tc>
        <w:tc>
          <w:tcPr>
            <w:tcW w:w="1418" w:type="dxa"/>
          </w:tcPr>
          <w:p w14:paraId="293E2817" w14:textId="1274C57C" w:rsidR="00AE57F6" w:rsidRDefault="00AE57F6" w:rsidP="00AE57F6">
            <w:pPr>
              <w:pStyle w:val="Tablecontent"/>
              <w:jc w:val="center"/>
            </w:pPr>
            <w:r>
              <w:t>1</w:t>
            </w:r>
          </w:p>
        </w:tc>
      </w:tr>
      <w:tr w:rsidR="00AE57F6" w14:paraId="684A6A59" w14:textId="77777777" w:rsidTr="00AE57F6">
        <w:trPr>
          <w:jc w:val="center"/>
        </w:trPr>
        <w:tc>
          <w:tcPr>
            <w:tcW w:w="1418" w:type="dxa"/>
          </w:tcPr>
          <w:p w14:paraId="4602A434" w14:textId="1F615D7C" w:rsidR="00AE57F6" w:rsidRDefault="00AE57F6" w:rsidP="00AE57F6">
            <w:pPr>
              <w:pStyle w:val="Tablecontent"/>
            </w:pPr>
            <w:r>
              <w:t>Fayoumi</w:t>
            </w:r>
          </w:p>
        </w:tc>
        <w:tc>
          <w:tcPr>
            <w:tcW w:w="1276" w:type="dxa"/>
          </w:tcPr>
          <w:p w14:paraId="6E622B17" w14:textId="32BE73F1" w:rsidR="00AE57F6" w:rsidRDefault="00AE57F6" w:rsidP="00AE57F6">
            <w:pPr>
              <w:pStyle w:val="Tablecontent"/>
              <w:jc w:val="center"/>
            </w:pPr>
            <w:r>
              <w:t>6</w:t>
            </w:r>
          </w:p>
        </w:tc>
        <w:tc>
          <w:tcPr>
            <w:tcW w:w="1559" w:type="dxa"/>
          </w:tcPr>
          <w:p w14:paraId="471C0725" w14:textId="358CA24B" w:rsidR="00AE57F6" w:rsidRDefault="00AE57F6" w:rsidP="00AE57F6">
            <w:pPr>
              <w:pStyle w:val="Tablecontent"/>
              <w:jc w:val="center"/>
            </w:pPr>
            <w:r>
              <w:t>2</w:t>
            </w:r>
          </w:p>
        </w:tc>
        <w:tc>
          <w:tcPr>
            <w:tcW w:w="1418" w:type="dxa"/>
          </w:tcPr>
          <w:p w14:paraId="194ADE9A" w14:textId="608B0F13" w:rsidR="00AE57F6" w:rsidRDefault="00AE57F6" w:rsidP="00AE57F6">
            <w:pPr>
              <w:pStyle w:val="Tablecontent"/>
              <w:jc w:val="center"/>
            </w:pPr>
            <w:r>
              <w:t>6</w:t>
            </w:r>
          </w:p>
        </w:tc>
      </w:tr>
      <w:tr w:rsidR="00AE57F6" w14:paraId="11C07FC2" w14:textId="77777777" w:rsidTr="00AE57F6">
        <w:trPr>
          <w:jc w:val="center"/>
        </w:trPr>
        <w:tc>
          <w:tcPr>
            <w:tcW w:w="1418" w:type="dxa"/>
          </w:tcPr>
          <w:p w14:paraId="5A4658CF" w14:textId="3E8ED69F" w:rsidR="00AE57F6" w:rsidRDefault="00AE57F6" w:rsidP="00AE57F6">
            <w:pPr>
              <w:pStyle w:val="Tablecontent"/>
            </w:pPr>
            <w:r>
              <w:t>Kedu hitam</w:t>
            </w:r>
          </w:p>
        </w:tc>
        <w:tc>
          <w:tcPr>
            <w:tcW w:w="1276" w:type="dxa"/>
          </w:tcPr>
          <w:p w14:paraId="57C9EF04" w14:textId="14B137E3" w:rsidR="00AE57F6" w:rsidRDefault="00AE57F6" w:rsidP="00AE57F6">
            <w:pPr>
              <w:pStyle w:val="Tablecontent"/>
              <w:jc w:val="center"/>
            </w:pPr>
            <w:r>
              <w:t>12</w:t>
            </w:r>
          </w:p>
        </w:tc>
        <w:tc>
          <w:tcPr>
            <w:tcW w:w="1559" w:type="dxa"/>
          </w:tcPr>
          <w:p w14:paraId="78E342EB" w14:textId="1AA796EB" w:rsidR="00AE57F6" w:rsidRDefault="00AE57F6" w:rsidP="00AE57F6">
            <w:pPr>
              <w:pStyle w:val="Tablecontent"/>
              <w:jc w:val="center"/>
            </w:pPr>
            <w:r>
              <w:t>5</w:t>
            </w:r>
          </w:p>
        </w:tc>
        <w:tc>
          <w:tcPr>
            <w:tcW w:w="1418" w:type="dxa"/>
          </w:tcPr>
          <w:p w14:paraId="418B22BD" w14:textId="6AFA0E81" w:rsidR="00AE57F6" w:rsidRDefault="00AE57F6" w:rsidP="00AE57F6">
            <w:pPr>
              <w:pStyle w:val="Tablecontent"/>
              <w:jc w:val="center"/>
            </w:pPr>
            <w:r>
              <w:t>8</w:t>
            </w:r>
          </w:p>
        </w:tc>
      </w:tr>
      <w:tr w:rsidR="00AE57F6" w14:paraId="20614C17" w14:textId="77777777" w:rsidTr="00AE57F6">
        <w:trPr>
          <w:jc w:val="center"/>
        </w:trPr>
        <w:tc>
          <w:tcPr>
            <w:tcW w:w="1418" w:type="dxa"/>
          </w:tcPr>
          <w:p w14:paraId="0024328D" w14:textId="5C6B4257" w:rsidR="00AE57F6" w:rsidRDefault="00AE57F6" w:rsidP="00AE57F6">
            <w:pPr>
              <w:pStyle w:val="Tablecontent"/>
            </w:pPr>
            <w:r>
              <w:t>Korean</w:t>
            </w:r>
          </w:p>
        </w:tc>
        <w:tc>
          <w:tcPr>
            <w:tcW w:w="1276" w:type="dxa"/>
          </w:tcPr>
          <w:p w14:paraId="07B3EE5E" w14:textId="121DCC7C" w:rsidR="00AE57F6" w:rsidRDefault="00AE57F6" w:rsidP="00AE57F6">
            <w:pPr>
              <w:pStyle w:val="Tablecontent"/>
              <w:jc w:val="center"/>
            </w:pPr>
            <w:r>
              <w:t>10</w:t>
            </w:r>
          </w:p>
        </w:tc>
        <w:tc>
          <w:tcPr>
            <w:tcW w:w="1559" w:type="dxa"/>
          </w:tcPr>
          <w:p w14:paraId="1CCC46E5" w14:textId="5A53177B" w:rsidR="00AE57F6" w:rsidRDefault="00AE57F6" w:rsidP="00AE57F6">
            <w:pPr>
              <w:pStyle w:val="Tablecontent"/>
              <w:jc w:val="center"/>
            </w:pPr>
            <w:r>
              <w:t>9</w:t>
            </w:r>
          </w:p>
        </w:tc>
        <w:tc>
          <w:tcPr>
            <w:tcW w:w="1418" w:type="dxa"/>
          </w:tcPr>
          <w:p w14:paraId="63C890A1" w14:textId="3DB0E8E3" w:rsidR="00AE57F6" w:rsidRDefault="00AE57F6" w:rsidP="00AE57F6">
            <w:pPr>
              <w:pStyle w:val="Tablecontent"/>
              <w:jc w:val="center"/>
            </w:pPr>
            <w:r>
              <w:t>5</w:t>
            </w:r>
          </w:p>
        </w:tc>
      </w:tr>
      <w:tr w:rsidR="00AE57F6" w14:paraId="56587223" w14:textId="77777777" w:rsidTr="00AE57F6">
        <w:trPr>
          <w:jc w:val="center"/>
        </w:trPr>
        <w:tc>
          <w:tcPr>
            <w:tcW w:w="1418" w:type="dxa"/>
          </w:tcPr>
          <w:p w14:paraId="40541DA1" w14:textId="4EBECE6E" w:rsidR="00AE57F6" w:rsidRDefault="00AE57F6" w:rsidP="00AE57F6">
            <w:pPr>
              <w:pStyle w:val="Tablecontent"/>
            </w:pPr>
            <w:r>
              <w:t>Silkie</w:t>
            </w:r>
          </w:p>
        </w:tc>
        <w:tc>
          <w:tcPr>
            <w:tcW w:w="1276" w:type="dxa"/>
          </w:tcPr>
          <w:p w14:paraId="760173D0" w14:textId="08F199A4" w:rsidR="00AE57F6" w:rsidRDefault="00AE57F6" w:rsidP="00AE57F6">
            <w:pPr>
              <w:pStyle w:val="Tablecontent"/>
              <w:jc w:val="center"/>
            </w:pPr>
            <w:r>
              <w:t>9</w:t>
            </w:r>
          </w:p>
        </w:tc>
        <w:tc>
          <w:tcPr>
            <w:tcW w:w="1559" w:type="dxa"/>
          </w:tcPr>
          <w:p w14:paraId="30C4F9F6" w14:textId="23F225A5" w:rsidR="00AE57F6" w:rsidRDefault="00AE57F6" w:rsidP="00AE57F6">
            <w:pPr>
              <w:pStyle w:val="Tablecontent"/>
              <w:jc w:val="center"/>
            </w:pPr>
            <w:r>
              <w:t>3</w:t>
            </w:r>
          </w:p>
        </w:tc>
        <w:tc>
          <w:tcPr>
            <w:tcW w:w="1418" w:type="dxa"/>
          </w:tcPr>
          <w:p w14:paraId="0FB60E8A" w14:textId="1A10473A" w:rsidR="00AE57F6" w:rsidRDefault="00AE57F6" w:rsidP="00AE57F6">
            <w:pPr>
              <w:pStyle w:val="Tablecontent"/>
              <w:jc w:val="center"/>
            </w:pPr>
            <w:r>
              <w:t>5</w:t>
            </w:r>
          </w:p>
        </w:tc>
      </w:tr>
      <w:tr w:rsidR="00AE57F6" w14:paraId="4F9184AA" w14:textId="77777777" w:rsidTr="00AE57F6">
        <w:trPr>
          <w:jc w:val="center"/>
        </w:trPr>
        <w:tc>
          <w:tcPr>
            <w:tcW w:w="1418" w:type="dxa"/>
          </w:tcPr>
          <w:p w14:paraId="74BDDB2C" w14:textId="000CF941" w:rsidR="00AE57F6" w:rsidRDefault="00AE57F6" w:rsidP="00AE57F6">
            <w:pPr>
              <w:pStyle w:val="Tablecontent"/>
            </w:pPr>
            <w:r>
              <w:t>Sumatera</w:t>
            </w:r>
          </w:p>
        </w:tc>
        <w:tc>
          <w:tcPr>
            <w:tcW w:w="1276" w:type="dxa"/>
          </w:tcPr>
          <w:p w14:paraId="328E1009" w14:textId="044D7C3E" w:rsidR="00AE57F6" w:rsidRDefault="00AE57F6" w:rsidP="00AE57F6">
            <w:pPr>
              <w:pStyle w:val="Tablecontent"/>
              <w:jc w:val="center"/>
            </w:pPr>
            <w:r>
              <w:t>2</w:t>
            </w:r>
          </w:p>
        </w:tc>
        <w:tc>
          <w:tcPr>
            <w:tcW w:w="1559" w:type="dxa"/>
          </w:tcPr>
          <w:p w14:paraId="0F09F639" w14:textId="191B3C69" w:rsidR="00AE57F6" w:rsidRDefault="00AE57F6" w:rsidP="00AE57F6">
            <w:pPr>
              <w:pStyle w:val="Tablecontent"/>
              <w:jc w:val="center"/>
            </w:pPr>
            <w:r>
              <w:t>2</w:t>
            </w:r>
          </w:p>
        </w:tc>
        <w:tc>
          <w:tcPr>
            <w:tcW w:w="1418" w:type="dxa"/>
          </w:tcPr>
          <w:p w14:paraId="0C37B117" w14:textId="6E99D3D7" w:rsidR="00AE57F6" w:rsidRDefault="00AE57F6" w:rsidP="00AE57F6">
            <w:pPr>
              <w:pStyle w:val="Tablecontent"/>
              <w:jc w:val="center"/>
            </w:pPr>
            <w:r>
              <w:t>0</w:t>
            </w:r>
          </w:p>
        </w:tc>
      </w:tr>
      <w:tr w:rsidR="00AE57F6" w14:paraId="3732E289" w14:textId="77777777" w:rsidTr="00AE57F6">
        <w:trPr>
          <w:jc w:val="center"/>
        </w:trPr>
        <w:tc>
          <w:tcPr>
            <w:tcW w:w="1418" w:type="dxa"/>
          </w:tcPr>
          <w:p w14:paraId="0E91F897" w14:textId="096EF71A" w:rsidR="00AE57F6" w:rsidRDefault="00AE57F6" w:rsidP="00AE57F6">
            <w:pPr>
              <w:pStyle w:val="Tablecontent"/>
            </w:pPr>
            <w:r>
              <w:t>Taiwan</w:t>
            </w:r>
          </w:p>
        </w:tc>
        <w:tc>
          <w:tcPr>
            <w:tcW w:w="1276" w:type="dxa"/>
          </w:tcPr>
          <w:p w14:paraId="10FA7E8B" w14:textId="5848832A" w:rsidR="00AE57F6" w:rsidRDefault="00AE57F6" w:rsidP="00AE57F6">
            <w:pPr>
              <w:pStyle w:val="Tablecontent"/>
              <w:jc w:val="center"/>
            </w:pPr>
            <w:r>
              <w:t>7</w:t>
            </w:r>
          </w:p>
        </w:tc>
        <w:tc>
          <w:tcPr>
            <w:tcW w:w="1559" w:type="dxa"/>
          </w:tcPr>
          <w:p w14:paraId="74D54B1F" w14:textId="40F6D52F" w:rsidR="00AE57F6" w:rsidRDefault="00AE57F6" w:rsidP="00AE57F6">
            <w:pPr>
              <w:pStyle w:val="Tablecontent"/>
              <w:jc w:val="center"/>
            </w:pPr>
            <w:r>
              <w:t>4</w:t>
            </w:r>
          </w:p>
        </w:tc>
        <w:tc>
          <w:tcPr>
            <w:tcW w:w="1418" w:type="dxa"/>
          </w:tcPr>
          <w:p w14:paraId="35AFE00B" w14:textId="63BA8C8D" w:rsidR="00AE57F6" w:rsidRDefault="00AE57F6" w:rsidP="00AE57F6">
            <w:pPr>
              <w:pStyle w:val="Tablecontent"/>
              <w:jc w:val="center"/>
            </w:pPr>
            <w:r>
              <w:t>3</w:t>
            </w:r>
          </w:p>
        </w:tc>
      </w:tr>
      <w:tr w:rsidR="00AE57F6" w14:paraId="763B9B8A" w14:textId="77777777" w:rsidTr="00AE57F6">
        <w:trPr>
          <w:jc w:val="center"/>
        </w:trPr>
        <w:tc>
          <w:tcPr>
            <w:tcW w:w="1418" w:type="dxa"/>
          </w:tcPr>
          <w:p w14:paraId="66B1CE07" w14:textId="226400D9" w:rsidR="00AE57F6" w:rsidRDefault="00AE57F6" w:rsidP="00AE57F6">
            <w:pPr>
              <w:pStyle w:val="Tablecontent"/>
            </w:pPr>
            <w:r>
              <w:t>TIB-HL1</w:t>
            </w:r>
          </w:p>
        </w:tc>
        <w:tc>
          <w:tcPr>
            <w:tcW w:w="1276" w:type="dxa"/>
          </w:tcPr>
          <w:p w14:paraId="4E39BD21" w14:textId="26F523EB" w:rsidR="00AE57F6" w:rsidRDefault="00AE57F6" w:rsidP="00AE57F6">
            <w:pPr>
              <w:pStyle w:val="Tablecontent"/>
              <w:jc w:val="center"/>
            </w:pPr>
            <w:r>
              <w:t>4</w:t>
            </w:r>
          </w:p>
        </w:tc>
        <w:tc>
          <w:tcPr>
            <w:tcW w:w="1559" w:type="dxa"/>
          </w:tcPr>
          <w:p w14:paraId="18198BFC" w14:textId="08C2EAD6" w:rsidR="00AE57F6" w:rsidRDefault="00AE57F6" w:rsidP="00AE57F6">
            <w:pPr>
              <w:pStyle w:val="Tablecontent"/>
              <w:jc w:val="center"/>
            </w:pPr>
            <w:r>
              <w:t>1</w:t>
            </w:r>
          </w:p>
        </w:tc>
        <w:tc>
          <w:tcPr>
            <w:tcW w:w="1418" w:type="dxa"/>
          </w:tcPr>
          <w:p w14:paraId="271BF2BA" w14:textId="325A6D6C" w:rsidR="00AE57F6" w:rsidRDefault="00AE57F6" w:rsidP="00AE57F6">
            <w:pPr>
              <w:pStyle w:val="Tablecontent"/>
              <w:jc w:val="center"/>
            </w:pPr>
            <w:r>
              <w:t>3</w:t>
            </w:r>
          </w:p>
        </w:tc>
      </w:tr>
      <w:tr w:rsidR="00AE57F6" w14:paraId="37491C9C" w14:textId="77777777" w:rsidTr="00AE57F6">
        <w:trPr>
          <w:jc w:val="center"/>
        </w:trPr>
        <w:tc>
          <w:tcPr>
            <w:tcW w:w="1418" w:type="dxa"/>
          </w:tcPr>
          <w:p w14:paraId="04A1ECA8" w14:textId="119EF69E" w:rsidR="00AE57F6" w:rsidRDefault="00AE57F6" w:rsidP="00AE57F6">
            <w:pPr>
              <w:pStyle w:val="Tablecontent"/>
            </w:pPr>
            <w:r>
              <w:t>TIB-HL2</w:t>
            </w:r>
          </w:p>
        </w:tc>
        <w:tc>
          <w:tcPr>
            <w:tcW w:w="1276" w:type="dxa"/>
          </w:tcPr>
          <w:p w14:paraId="5300A93E" w14:textId="17986868" w:rsidR="00AE57F6" w:rsidRDefault="00AE57F6" w:rsidP="00AE57F6">
            <w:pPr>
              <w:pStyle w:val="Tablecontent"/>
              <w:jc w:val="center"/>
            </w:pPr>
            <w:r>
              <w:t>2</w:t>
            </w:r>
          </w:p>
        </w:tc>
        <w:tc>
          <w:tcPr>
            <w:tcW w:w="1559" w:type="dxa"/>
          </w:tcPr>
          <w:p w14:paraId="5B69A2E9" w14:textId="2FE68DAC" w:rsidR="00AE57F6" w:rsidRDefault="00AE57F6" w:rsidP="00AE57F6">
            <w:pPr>
              <w:pStyle w:val="Tablecontent"/>
              <w:jc w:val="center"/>
            </w:pPr>
            <w:r>
              <w:t>2</w:t>
            </w:r>
          </w:p>
        </w:tc>
        <w:tc>
          <w:tcPr>
            <w:tcW w:w="1418" w:type="dxa"/>
          </w:tcPr>
          <w:p w14:paraId="7E9BBA5A" w14:textId="733F1D70" w:rsidR="00AE57F6" w:rsidRDefault="00AE57F6" w:rsidP="00AE57F6">
            <w:pPr>
              <w:pStyle w:val="Tablecontent"/>
              <w:jc w:val="center"/>
            </w:pPr>
            <w:r>
              <w:t>0</w:t>
            </w:r>
          </w:p>
        </w:tc>
      </w:tr>
      <w:tr w:rsidR="00AE57F6" w14:paraId="079F2A8E" w14:textId="77777777" w:rsidTr="00AE57F6">
        <w:trPr>
          <w:jc w:val="center"/>
        </w:trPr>
        <w:tc>
          <w:tcPr>
            <w:tcW w:w="1418" w:type="dxa"/>
          </w:tcPr>
          <w:p w14:paraId="0ADB67B7" w14:textId="65A3E4A4" w:rsidR="00AE57F6" w:rsidRDefault="00AE57F6" w:rsidP="00AE57F6">
            <w:pPr>
              <w:pStyle w:val="Tablecontent"/>
            </w:pPr>
            <w:r>
              <w:t>TIB-HL3</w:t>
            </w:r>
          </w:p>
        </w:tc>
        <w:tc>
          <w:tcPr>
            <w:tcW w:w="1276" w:type="dxa"/>
          </w:tcPr>
          <w:p w14:paraId="1E267F32" w14:textId="3E249567" w:rsidR="00AE57F6" w:rsidRDefault="00AE57F6" w:rsidP="00AE57F6">
            <w:pPr>
              <w:pStyle w:val="Tablecontent"/>
              <w:jc w:val="center"/>
            </w:pPr>
            <w:r>
              <w:t>2</w:t>
            </w:r>
          </w:p>
        </w:tc>
        <w:tc>
          <w:tcPr>
            <w:tcW w:w="1559" w:type="dxa"/>
          </w:tcPr>
          <w:p w14:paraId="45EA5EFB" w14:textId="3E578B04" w:rsidR="00AE57F6" w:rsidRDefault="00AE57F6" w:rsidP="00AE57F6">
            <w:pPr>
              <w:pStyle w:val="Tablecontent"/>
              <w:jc w:val="center"/>
            </w:pPr>
            <w:r>
              <w:t>0</w:t>
            </w:r>
          </w:p>
        </w:tc>
        <w:tc>
          <w:tcPr>
            <w:tcW w:w="1418" w:type="dxa"/>
          </w:tcPr>
          <w:p w14:paraId="4B4A9767" w14:textId="416CC7ED" w:rsidR="00AE57F6" w:rsidRDefault="00AE57F6" w:rsidP="00AE57F6">
            <w:pPr>
              <w:pStyle w:val="Tablecontent"/>
              <w:jc w:val="center"/>
            </w:pPr>
            <w:r>
              <w:t>2</w:t>
            </w:r>
          </w:p>
        </w:tc>
      </w:tr>
      <w:tr w:rsidR="00AE57F6" w14:paraId="74E2D96A" w14:textId="77777777" w:rsidTr="00AE57F6">
        <w:trPr>
          <w:jc w:val="center"/>
        </w:trPr>
        <w:tc>
          <w:tcPr>
            <w:tcW w:w="1418" w:type="dxa"/>
            <w:tcBorders>
              <w:bottom w:val="single" w:sz="4" w:space="0" w:color="auto"/>
            </w:tcBorders>
          </w:tcPr>
          <w:p w14:paraId="00303ECA" w14:textId="24A07EEC" w:rsidR="00AE57F6" w:rsidRDefault="00AE57F6" w:rsidP="00AE57F6">
            <w:pPr>
              <w:pStyle w:val="Tablecontent"/>
            </w:pPr>
            <w:r>
              <w:t>Xishuang</w:t>
            </w:r>
          </w:p>
        </w:tc>
        <w:tc>
          <w:tcPr>
            <w:tcW w:w="1276" w:type="dxa"/>
            <w:tcBorders>
              <w:bottom w:val="single" w:sz="4" w:space="0" w:color="auto"/>
            </w:tcBorders>
          </w:tcPr>
          <w:p w14:paraId="55E57D82" w14:textId="7201D76D" w:rsidR="00AE57F6" w:rsidRDefault="00AE57F6" w:rsidP="00AE57F6">
            <w:pPr>
              <w:pStyle w:val="Tablecontent"/>
              <w:jc w:val="center"/>
            </w:pPr>
            <w:r>
              <w:t>16</w:t>
            </w:r>
          </w:p>
        </w:tc>
        <w:tc>
          <w:tcPr>
            <w:tcW w:w="1559" w:type="dxa"/>
            <w:tcBorders>
              <w:bottom w:val="single" w:sz="4" w:space="0" w:color="auto"/>
            </w:tcBorders>
          </w:tcPr>
          <w:p w14:paraId="600CD1EC" w14:textId="409AF9C6" w:rsidR="00AE57F6" w:rsidRDefault="00AE57F6" w:rsidP="00AE57F6">
            <w:pPr>
              <w:pStyle w:val="Tablecontent"/>
              <w:jc w:val="center"/>
            </w:pPr>
            <w:r>
              <w:t>5</w:t>
            </w:r>
          </w:p>
        </w:tc>
        <w:tc>
          <w:tcPr>
            <w:tcW w:w="1418" w:type="dxa"/>
            <w:tcBorders>
              <w:bottom w:val="single" w:sz="4" w:space="0" w:color="auto"/>
            </w:tcBorders>
          </w:tcPr>
          <w:p w14:paraId="66DE2FF6" w14:textId="721C17DC" w:rsidR="00AE57F6" w:rsidRDefault="00AE57F6" w:rsidP="00AE57F6">
            <w:pPr>
              <w:pStyle w:val="Tablecontent"/>
              <w:jc w:val="center"/>
            </w:pPr>
            <w:r>
              <w:t>12</w:t>
            </w:r>
          </w:p>
        </w:tc>
      </w:tr>
    </w:tbl>
    <w:p w14:paraId="1BA3BA7D" w14:textId="30D40B04" w:rsidR="00AE57F6" w:rsidRDefault="00AE57F6" w:rsidP="00391005">
      <w:pPr>
        <w:pStyle w:val="ListParagraph"/>
      </w:pPr>
    </w:p>
    <w:p w14:paraId="26AF2D67" w14:textId="181D6544" w:rsidR="00361CE5" w:rsidRDefault="001960D7" w:rsidP="00391005">
      <w:pPr>
        <w:pStyle w:val="ListParagraph"/>
      </w:pPr>
      <w:r>
        <w:t xml:space="preserve">The ALVE content of some lines may be incompletely represented due to the sequencing methodology used. For example, sequencing data for the Chahua, three Tibetan highland breeds, Silkie and Taiwan country chicken were each derived from only a single individual, so are unlikely to be truly representative of the breed or region.  </w:t>
      </w:r>
    </w:p>
    <w:p w14:paraId="3CDDA148" w14:textId="4B6FD9F2" w:rsidR="008E0A6C" w:rsidRDefault="008E0A6C" w:rsidP="00391005">
      <w:pPr>
        <w:pStyle w:val="ListParagraph"/>
      </w:pPr>
    </w:p>
    <w:p w14:paraId="1D090184" w14:textId="765E3979" w:rsidR="008E0A6C" w:rsidRDefault="008E0A6C" w:rsidP="008E0A6C">
      <w:pPr>
        <w:pStyle w:val="Heading4"/>
      </w:pPr>
      <w:r>
        <w:t>RJFs and ‘village’ chickens</w:t>
      </w:r>
    </w:p>
    <w:p w14:paraId="4315EEA0" w14:textId="0BB6AAA2" w:rsidR="008E0A6C" w:rsidRDefault="0035387B" w:rsidP="00391005">
      <w:pPr>
        <w:pStyle w:val="ListParagraph"/>
      </w:pPr>
      <w:r>
        <w:t>This group represents the most diverse lines when compared to all other analysed datasets. These five lines</w:t>
      </w:r>
      <w:r w:rsidR="000B49C4">
        <w:t xml:space="preserve"> have 178 ALVE instances</w:t>
      </w:r>
      <w:r>
        <w:t xml:space="preserve"> </w:t>
      </w:r>
      <w:r w:rsidR="000B49C4">
        <w:t>(</w:t>
      </w:r>
      <w:r>
        <w:t>over 55 %</w:t>
      </w:r>
      <w:r w:rsidR="000B49C4">
        <w:t xml:space="preserve"> of the total ALVEs identified)</w:t>
      </w:r>
      <w:r>
        <w:t xml:space="preserve"> and 165 ALVEs are novel characterisations in this study</w:t>
      </w:r>
      <w:r w:rsidR="00760967">
        <w:t xml:space="preserve"> (</w:t>
      </w:r>
      <w:r w:rsidR="00D66135">
        <w:t xml:space="preserve">92.7 %; </w:t>
      </w:r>
      <w:r w:rsidR="00760967">
        <w:fldChar w:fldCharType="begin" w:fldLock="1"/>
      </w:r>
      <w:r w:rsidR="00760967">
        <w:instrText xml:space="preserve"> REF _Ref481056360 \h </w:instrText>
      </w:r>
      <w:r w:rsidR="00760967">
        <w:fldChar w:fldCharType="separate"/>
      </w:r>
      <w:r w:rsidR="002C549C">
        <w:t xml:space="preserve">Table </w:t>
      </w:r>
      <w:r w:rsidR="002C549C">
        <w:rPr>
          <w:noProof/>
        </w:rPr>
        <w:t>7</w:t>
      </w:r>
      <w:r w:rsidR="002C549C">
        <w:t>.</w:t>
      </w:r>
      <w:r w:rsidR="002C549C">
        <w:rPr>
          <w:noProof/>
        </w:rPr>
        <w:t>7</w:t>
      </w:r>
      <w:r w:rsidR="00760967">
        <w:fldChar w:fldCharType="end"/>
      </w:r>
      <w:r w:rsidR="00760967">
        <w:t>)</w:t>
      </w:r>
      <w:r>
        <w:t xml:space="preserve">. Within the group, RJF-J and RJF-S have markedly fewer ALVEs, </w:t>
      </w:r>
      <w:r w:rsidR="00760967">
        <w:t>but</w:t>
      </w:r>
      <w:r w:rsidR="00E90ACF">
        <w:t xml:space="preserve"> the</w:t>
      </w:r>
      <w:r w:rsidR="00760967">
        <w:t xml:space="preserve"> </w:t>
      </w:r>
      <w:r w:rsidR="000B49C4">
        <w:t xml:space="preserve">identified </w:t>
      </w:r>
      <w:r w:rsidR="000B49C4">
        <w:lastRenderedPageBreak/>
        <w:t>ALVEs</w:t>
      </w:r>
      <w:r>
        <w:t xml:space="preserve"> are </w:t>
      </w:r>
      <w:r w:rsidR="00760967">
        <w:t>nearly all</w:t>
      </w:r>
      <w:r>
        <w:t xml:space="preserve"> lineage-specific. These two lines had pooled sequencing datasets for two and three individuals respectively, so this may have limited the number of identified ALVEs compared to RJF-C (six individual sequencing datasets).</w:t>
      </w:r>
    </w:p>
    <w:p w14:paraId="11DEE302" w14:textId="6202C563" w:rsidR="00AE57F6" w:rsidRDefault="00AE57F6" w:rsidP="00AE57F6">
      <w:pPr>
        <w:pStyle w:val="Caption"/>
      </w:pPr>
      <w:bookmarkStart w:id="608" w:name="_Ref481056360"/>
      <w:bookmarkStart w:id="609" w:name="_Toc486786342"/>
      <w:r>
        <w:t xml:space="preserve">Table </w:t>
      </w:r>
      <w:fldSimple w:instr=" STYLEREF 1 \s " w:fldLock="1">
        <w:r w:rsidR="002C549C">
          <w:rPr>
            <w:noProof/>
          </w:rPr>
          <w:t>7</w:t>
        </w:r>
      </w:fldSimple>
      <w:r w:rsidR="001167C6">
        <w:t>.</w:t>
      </w:r>
      <w:fldSimple w:instr=" SEQ Table \* ARABIC \s 1 " w:fldLock="1">
        <w:r w:rsidR="002C549C">
          <w:rPr>
            <w:noProof/>
          </w:rPr>
          <w:t>7</w:t>
        </w:r>
      </w:fldSimple>
      <w:bookmarkEnd w:id="608"/>
      <w:r>
        <w:t xml:space="preserve"> Number of ALVEs identified in the RJFs and ‘village’ chickens. The shared ALVEs column represents how many of the ALVEs in that line were shared with any other analysed dataset (not just this grouping). The novel ALVEs column represents how many of the identified ALVEs were previously unknown.</w:t>
      </w:r>
      <w:bookmarkEnd w:id="609"/>
    </w:p>
    <w:tbl>
      <w:tblPr>
        <w:tblStyle w:val="TableGrid"/>
        <w:tblW w:w="55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276"/>
        <w:gridCol w:w="1559"/>
        <w:gridCol w:w="1418"/>
      </w:tblGrid>
      <w:tr w:rsidR="00AE57F6" w14:paraId="63B7690C" w14:textId="77777777" w:rsidTr="00AE57F6">
        <w:trPr>
          <w:jc w:val="center"/>
        </w:trPr>
        <w:tc>
          <w:tcPr>
            <w:tcW w:w="1276" w:type="dxa"/>
            <w:tcBorders>
              <w:top w:val="single" w:sz="4" w:space="0" w:color="auto"/>
              <w:bottom w:val="single" w:sz="4" w:space="0" w:color="auto"/>
            </w:tcBorders>
            <w:vAlign w:val="center"/>
          </w:tcPr>
          <w:p w14:paraId="70347C20" w14:textId="77777777" w:rsidR="00AE57F6" w:rsidRDefault="00AE57F6" w:rsidP="00AE57F6">
            <w:pPr>
              <w:pStyle w:val="Tablecontent"/>
            </w:pPr>
            <w:r>
              <w:t>Line name</w:t>
            </w:r>
          </w:p>
        </w:tc>
        <w:tc>
          <w:tcPr>
            <w:tcW w:w="1276" w:type="dxa"/>
            <w:tcBorders>
              <w:top w:val="single" w:sz="4" w:space="0" w:color="auto"/>
              <w:bottom w:val="single" w:sz="4" w:space="0" w:color="auto"/>
            </w:tcBorders>
            <w:vAlign w:val="center"/>
          </w:tcPr>
          <w:p w14:paraId="288AC6F8" w14:textId="77777777" w:rsidR="00AE57F6" w:rsidRDefault="00AE57F6" w:rsidP="00AE57F6">
            <w:pPr>
              <w:pStyle w:val="Tablecontent"/>
              <w:jc w:val="center"/>
            </w:pPr>
            <w:r>
              <w:t>No. ALVEs</w:t>
            </w:r>
          </w:p>
        </w:tc>
        <w:tc>
          <w:tcPr>
            <w:tcW w:w="1559" w:type="dxa"/>
            <w:tcBorders>
              <w:top w:val="single" w:sz="4" w:space="0" w:color="auto"/>
              <w:bottom w:val="single" w:sz="4" w:space="0" w:color="auto"/>
            </w:tcBorders>
          </w:tcPr>
          <w:p w14:paraId="6EFFEEEF" w14:textId="77777777" w:rsidR="00AE57F6" w:rsidRDefault="00AE57F6" w:rsidP="00AE57F6">
            <w:pPr>
              <w:pStyle w:val="Tablecontent"/>
              <w:jc w:val="center"/>
            </w:pPr>
            <w:r>
              <w:t>Shared ALVEs</w:t>
            </w:r>
          </w:p>
        </w:tc>
        <w:tc>
          <w:tcPr>
            <w:tcW w:w="1418" w:type="dxa"/>
            <w:tcBorders>
              <w:top w:val="single" w:sz="4" w:space="0" w:color="auto"/>
              <w:bottom w:val="single" w:sz="4" w:space="0" w:color="auto"/>
            </w:tcBorders>
          </w:tcPr>
          <w:p w14:paraId="6B7E34AB" w14:textId="77777777" w:rsidR="00AE57F6" w:rsidRDefault="00AE57F6" w:rsidP="00AE57F6">
            <w:pPr>
              <w:pStyle w:val="Tablecontent"/>
              <w:jc w:val="center"/>
            </w:pPr>
            <w:r>
              <w:t>Novel ALVEs</w:t>
            </w:r>
          </w:p>
        </w:tc>
      </w:tr>
      <w:tr w:rsidR="00AE57F6" w14:paraId="0C121F46" w14:textId="77777777" w:rsidTr="00AE57F6">
        <w:trPr>
          <w:jc w:val="center"/>
        </w:trPr>
        <w:tc>
          <w:tcPr>
            <w:tcW w:w="1276" w:type="dxa"/>
            <w:tcBorders>
              <w:top w:val="single" w:sz="4" w:space="0" w:color="auto"/>
            </w:tcBorders>
          </w:tcPr>
          <w:p w14:paraId="0E45E4FA" w14:textId="4408DF59" w:rsidR="00AE57F6" w:rsidRDefault="00AE57F6" w:rsidP="00AE57F6">
            <w:pPr>
              <w:pStyle w:val="Tablecontent"/>
            </w:pPr>
            <w:r>
              <w:t>ETH-Horro</w:t>
            </w:r>
          </w:p>
        </w:tc>
        <w:tc>
          <w:tcPr>
            <w:tcW w:w="1276" w:type="dxa"/>
            <w:tcBorders>
              <w:top w:val="single" w:sz="4" w:space="0" w:color="auto"/>
            </w:tcBorders>
          </w:tcPr>
          <w:p w14:paraId="2A6E08B6" w14:textId="394BBB56" w:rsidR="00AE57F6" w:rsidRDefault="00AE57F6" w:rsidP="00AE57F6">
            <w:pPr>
              <w:pStyle w:val="Tablecontent"/>
              <w:jc w:val="center"/>
            </w:pPr>
            <w:r>
              <w:t>50</w:t>
            </w:r>
          </w:p>
        </w:tc>
        <w:tc>
          <w:tcPr>
            <w:tcW w:w="1559" w:type="dxa"/>
            <w:tcBorders>
              <w:top w:val="single" w:sz="4" w:space="0" w:color="auto"/>
            </w:tcBorders>
          </w:tcPr>
          <w:p w14:paraId="5A51094E" w14:textId="0E2E33B5" w:rsidR="00AE57F6" w:rsidRDefault="00AE57F6" w:rsidP="00AE57F6">
            <w:pPr>
              <w:pStyle w:val="Tablecontent"/>
              <w:jc w:val="center"/>
            </w:pPr>
            <w:r>
              <w:t>11</w:t>
            </w:r>
          </w:p>
        </w:tc>
        <w:tc>
          <w:tcPr>
            <w:tcW w:w="1418" w:type="dxa"/>
            <w:tcBorders>
              <w:top w:val="single" w:sz="4" w:space="0" w:color="auto"/>
            </w:tcBorders>
          </w:tcPr>
          <w:p w14:paraId="71DED158" w14:textId="38F4FCF2" w:rsidR="00AE57F6" w:rsidRDefault="00AE57F6" w:rsidP="00AE57F6">
            <w:pPr>
              <w:pStyle w:val="Tablecontent"/>
              <w:jc w:val="center"/>
            </w:pPr>
            <w:r>
              <w:t>44</w:t>
            </w:r>
          </w:p>
        </w:tc>
      </w:tr>
      <w:tr w:rsidR="00AE57F6" w14:paraId="49456F7D" w14:textId="77777777" w:rsidTr="00AE57F6">
        <w:trPr>
          <w:jc w:val="center"/>
        </w:trPr>
        <w:tc>
          <w:tcPr>
            <w:tcW w:w="1276" w:type="dxa"/>
          </w:tcPr>
          <w:p w14:paraId="2E466F1D" w14:textId="0E250664" w:rsidR="00AE57F6" w:rsidRDefault="00AE57F6" w:rsidP="00AE57F6">
            <w:pPr>
              <w:pStyle w:val="Tablecontent"/>
            </w:pPr>
            <w:r>
              <w:t>ETH-Jarso</w:t>
            </w:r>
          </w:p>
        </w:tc>
        <w:tc>
          <w:tcPr>
            <w:tcW w:w="1276" w:type="dxa"/>
          </w:tcPr>
          <w:p w14:paraId="5F21653A" w14:textId="562A5448" w:rsidR="00AE57F6" w:rsidRDefault="00AE57F6" w:rsidP="00AE57F6">
            <w:pPr>
              <w:pStyle w:val="Tablecontent"/>
              <w:jc w:val="center"/>
            </w:pPr>
            <w:r>
              <w:t>59</w:t>
            </w:r>
          </w:p>
        </w:tc>
        <w:tc>
          <w:tcPr>
            <w:tcW w:w="1559" w:type="dxa"/>
          </w:tcPr>
          <w:p w14:paraId="1F355D08" w14:textId="4BA3BC22" w:rsidR="00AE57F6" w:rsidRDefault="00AE57F6" w:rsidP="00AE57F6">
            <w:pPr>
              <w:pStyle w:val="Tablecontent"/>
              <w:jc w:val="center"/>
            </w:pPr>
            <w:r>
              <w:t>8</w:t>
            </w:r>
          </w:p>
        </w:tc>
        <w:tc>
          <w:tcPr>
            <w:tcW w:w="1418" w:type="dxa"/>
          </w:tcPr>
          <w:p w14:paraId="5D3EB227" w14:textId="616E8680" w:rsidR="00AE57F6" w:rsidRDefault="00AE57F6" w:rsidP="00AE57F6">
            <w:pPr>
              <w:pStyle w:val="Tablecontent"/>
              <w:jc w:val="center"/>
            </w:pPr>
            <w:r>
              <w:t>52</w:t>
            </w:r>
          </w:p>
        </w:tc>
      </w:tr>
      <w:tr w:rsidR="00AE57F6" w14:paraId="355B8E88" w14:textId="77777777" w:rsidTr="00AE57F6">
        <w:trPr>
          <w:jc w:val="center"/>
        </w:trPr>
        <w:tc>
          <w:tcPr>
            <w:tcW w:w="1276" w:type="dxa"/>
          </w:tcPr>
          <w:p w14:paraId="07D2E8C7" w14:textId="10D6170C" w:rsidR="00AE57F6" w:rsidRDefault="00AE57F6" w:rsidP="00AE57F6">
            <w:pPr>
              <w:pStyle w:val="Tablecontent"/>
            </w:pPr>
            <w:r>
              <w:t>RJF-C</w:t>
            </w:r>
          </w:p>
        </w:tc>
        <w:tc>
          <w:tcPr>
            <w:tcW w:w="1276" w:type="dxa"/>
          </w:tcPr>
          <w:p w14:paraId="4138D004" w14:textId="02D3A019" w:rsidR="00AE57F6" w:rsidRDefault="00AE57F6" w:rsidP="00AE57F6">
            <w:pPr>
              <w:pStyle w:val="Tablecontent"/>
              <w:jc w:val="center"/>
            </w:pPr>
            <w:r>
              <w:t>52</w:t>
            </w:r>
          </w:p>
        </w:tc>
        <w:tc>
          <w:tcPr>
            <w:tcW w:w="1559" w:type="dxa"/>
          </w:tcPr>
          <w:p w14:paraId="3B910C5C" w14:textId="5A0ED252" w:rsidR="00AE57F6" w:rsidRDefault="00AE57F6" w:rsidP="00AE57F6">
            <w:pPr>
              <w:pStyle w:val="Tablecontent"/>
              <w:jc w:val="center"/>
            </w:pPr>
            <w:r>
              <w:t>4</w:t>
            </w:r>
          </w:p>
        </w:tc>
        <w:tc>
          <w:tcPr>
            <w:tcW w:w="1418" w:type="dxa"/>
          </w:tcPr>
          <w:p w14:paraId="4693F645" w14:textId="13AE7268" w:rsidR="00AE57F6" w:rsidRDefault="00AE57F6" w:rsidP="00AE57F6">
            <w:pPr>
              <w:pStyle w:val="Tablecontent"/>
              <w:jc w:val="center"/>
            </w:pPr>
            <w:r>
              <w:t>49</w:t>
            </w:r>
          </w:p>
        </w:tc>
      </w:tr>
      <w:tr w:rsidR="00AE57F6" w14:paraId="75859CEF" w14:textId="77777777" w:rsidTr="00AE57F6">
        <w:trPr>
          <w:jc w:val="center"/>
        </w:trPr>
        <w:tc>
          <w:tcPr>
            <w:tcW w:w="1276" w:type="dxa"/>
          </w:tcPr>
          <w:p w14:paraId="7D00C7BD" w14:textId="64F7F9B0" w:rsidR="00AE57F6" w:rsidRDefault="00AE57F6" w:rsidP="00AE57F6">
            <w:pPr>
              <w:pStyle w:val="Tablecontent"/>
            </w:pPr>
            <w:r>
              <w:t>RJF-J</w:t>
            </w:r>
          </w:p>
        </w:tc>
        <w:tc>
          <w:tcPr>
            <w:tcW w:w="1276" w:type="dxa"/>
          </w:tcPr>
          <w:p w14:paraId="21FBA9C7" w14:textId="32837E0F" w:rsidR="00AE57F6" w:rsidRDefault="00AE57F6" w:rsidP="00AE57F6">
            <w:pPr>
              <w:pStyle w:val="Tablecontent"/>
              <w:jc w:val="center"/>
            </w:pPr>
            <w:r>
              <w:t>11</w:t>
            </w:r>
          </w:p>
        </w:tc>
        <w:tc>
          <w:tcPr>
            <w:tcW w:w="1559" w:type="dxa"/>
          </w:tcPr>
          <w:p w14:paraId="4EAD048B" w14:textId="3C8F60DB" w:rsidR="00AE57F6" w:rsidRDefault="00AE57F6" w:rsidP="00AE57F6">
            <w:pPr>
              <w:pStyle w:val="Tablecontent"/>
              <w:jc w:val="center"/>
            </w:pPr>
            <w:r>
              <w:t>1</w:t>
            </w:r>
          </w:p>
        </w:tc>
        <w:tc>
          <w:tcPr>
            <w:tcW w:w="1418" w:type="dxa"/>
          </w:tcPr>
          <w:p w14:paraId="5E942CC0" w14:textId="253F98DD" w:rsidR="00AE57F6" w:rsidRDefault="00AE57F6" w:rsidP="00AE57F6">
            <w:pPr>
              <w:pStyle w:val="Tablecontent"/>
              <w:jc w:val="center"/>
            </w:pPr>
            <w:r>
              <w:t>11</w:t>
            </w:r>
          </w:p>
        </w:tc>
      </w:tr>
      <w:tr w:rsidR="00AE57F6" w14:paraId="7722981C" w14:textId="77777777" w:rsidTr="00AE57F6">
        <w:trPr>
          <w:jc w:val="center"/>
        </w:trPr>
        <w:tc>
          <w:tcPr>
            <w:tcW w:w="1276" w:type="dxa"/>
            <w:tcBorders>
              <w:bottom w:val="single" w:sz="4" w:space="0" w:color="auto"/>
            </w:tcBorders>
          </w:tcPr>
          <w:p w14:paraId="21E27F34" w14:textId="1A5A6E8E" w:rsidR="00AE57F6" w:rsidRDefault="00AE57F6" w:rsidP="00AE57F6">
            <w:pPr>
              <w:pStyle w:val="Tablecontent"/>
            </w:pPr>
            <w:r>
              <w:t>RJF-S</w:t>
            </w:r>
          </w:p>
        </w:tc>
        <w:tc>
          <w:tcPr>
            <w:tcW w:w="1276" w:type="dxa"/>
            <w:tcBorders>
              <w:bottom w:val="single" w:sz="4" w:space="0" w:color="auto"/>
            </w:tcBorders>
          </w:tcPr>
          <w:p w14:paraId="0936A378" w14:textId="4EA1AD49" w:rsidR="00AE57F6" w:rsidRDefault="00AE57F6" w:rsidP="00AE57F6">
            <w:pPr>
              <w:pStyle w:val="Tablecontent"/>
              <w:jc w:val="center"/>
            </w:pPr>
            <w:r>
              <w:t>12</w:t>
            </w:r>
          </w:p>
        </w:tc>
        <w:tc>
          <w:tcPr>
            <w:tcW w:w="1559" w:type="dxa"/>
            <w:tcBorders>
              <w:bottom w:val="single" w:sz="4" w:space="0" w:color="auto"/>
            </w:tcBorders>
          </w:tcPr>
          <w:p w14:paraId="1029E134" w14:textId="7859126A" w:rsidR="00AE57F6" w:rsidRDefault="00AE57F6" w:rsidP="00AE57F6">
            <w:pPr>
              <w:pStyle w:val="Tablecontent"/>
              <w:jc w:val="center"/>
            </w:pPr>
            <w:r>
              <w:t>0</w:t>
            </w:r>
          </w:p>
        </w:tc>
        <w:tc>
          <w:tcPr>
            <w:tcW w:w="1418" w:type="dxa"/>
            <w:tcBorders>
              <w:bottom w:val="single" w:sz="4" w:space="0" w:color="auto"/>
            </w:tcBorders>
          </w:tcPr>
          <w:p w14:paraId="31B13A9E" w14:textId="565361A1" w:rsidR="00AE57F6" w:rsidRDefault="00AE57F6" w:rsidP="00AE57F6">
            <w:pPr>
              <w:pStyle w:val="Tablecontent"/>
              <w:jc w:val="center"/>
            </w:pPr>
            <w:r>
              <w:t>12</w:t>
            </w:r>
          </w:p>
        </w:tc>
      </w:tr>
    </w:tbl>
    <w:p w14:paraId="2C34BDCD" w14:textId="77777777" w:rsidR="00AE57F6" w:rsidRDefault="00AE57F6" w:rsidP="00391005">
      <w:pPr>
        <w:pStyle w:val="ListParagraph"/>
      </w:pPr>
    </w:p>
    <w:p w14:paraId="2CED3924" w14:textId="77777777" w:rsidR="000B49C4" w:rsidRDefault="00760967" w:rsidP="00391005">
      <w:pPr>
        <w:pStyle w:val="ListParagraph"/>
      </w:pPr>
      <w:r>
        <w:t xml:space="preserve">Insertions within genes are common within these lines, except for RJF-S where only one ALVE is intronic (8.3 %; ALVE_ros107). ETH-Horro has twelve intronic overlaps (24.0 %) and ETH-Jarso has fourteen (23.7 %). RJF-C has sixteen gene overlaps (30.8 %), with ALVE_ros074 overlapping with the 3’UTR of ELMOD1 (ELMO domain containing 1). RJF-J has six gene overlaps (54.5 %), including ALVE_ros012, which is the only exonic insertion in the entire study. </w:t>
      </w:r>
    </w:p>
    <w:p w14:paraId="5F96D865" w14:textId="1DFB6113" w:rsidR="00760967" w:rsidRDefault="00760967" w:rsidP="00391005">
      <w:pPr>
        <w:pStyle w:val="ListParagraph"/>
      </w:pPr>
      <w:r>
        <w:t>ALVE_ros012 is within the eight</w:t>
      </w:r>
      <w:r w:rsidR="00052252">
        <w:t>h</w:t>
      </w:r>
      <w:r>
        <w:t xml:space="preserve"> exon of </w:t>
      </w:r>
      <w:r w:rsidR="00052252">
        <w:t xml:space="preserve">the eleven exon </w:t>
      </w:r>
      <w:r>
        <w:t>CPA5 (carboxypeptidase A5 precursor)</w:t>
      </w:r>
      <w:r w:rsidR="00052252">
        <w:t xml:space="preserve">. The insertion is at 1: 963,340 and the exon eight coordinates are 1: 963,280-963,370. </w:t>
      </w:r>
      <w:r w:rsidR="00E90ACF">
        <w:t>If this insertion causes a transcript</w:t>
      </w:r>
      <w:r w:rsidR="000B49C4">
        <w:t xml:space="preserve"> truncation, the final 170 amino acids (40.6 % of the total protein length) will be lost. On length alone this would likely destroy the protein functionality, but InterPro analysis also shows that the insertion region is non-cytoplasmic, so protein folding is likely important, and that the insertion disrupts a core PRINTS peptidase domain. For the host RJF this may have limited phenotypic effect as there are multiple paralogues which potentially facilitate redundancy, including the </w:t>
      </w:r>
      <w:r w:rsidR="00E90ACF">
        <w:t xml:space="preserve">immediately </w:t>
      </w:r>
      <w:r w:rsidR="000B49C4">
        <w:t xml:space="preserve">neighbouring CPA2 (upstream) and CPA1 (downstream). However, tissue </w:t>
      </w:r>
      <w:r w:rsidR="00E90ACF">
        <w:t>specific expression or paralogue</w:t>
      </w:r>
      <w:r w:rsidR="000B49C4">
        <w:t xml:space="preserve"> protein specialisation is unknown.</w:t>
      </w:r>
    </w:p>
    <w:p w14:paraId="5F805431" w14:textId="0091FAA7" w:rsidR="00F2789B" w:rsidRDefault="00F2789B" w:rsidP="00F2789B">
      <w:pPr>
        <w:pStyle w:val="Heading3"/>
      </w:pPr>
      <w:bookmarkStart w:id="610" w:name="_Ref480883003"/>
      <w:bookmarkStart w:id="611" w:name="_Toc485721672"/>
      <w:bookmarkStart w:id="612" w:name="_Toc486787252"/>
      <w:bookmarkStart w:id="613" w:name="_Toc486787400"/>
      <w:r>
        <w:lastRenderedPageBreak/>
        <w:t>Failings with the Kauai and Andersson datasets</w:t>
      </w:r>
      <w:bookmarkEnd w:id="610"/>
      <w:bookmarkEnd w:id="611"/>
      <w:bookmarkEnd w:id="612"/>
      <w:bookmarkEnd w:id="613"/>
    </w:p>
    <w:p w14:paraId="37C4A0CE" w14:textId="5D66D5E6" w:rsidR="00A02C08" w:rsidRDefault="00E823E8" w:rsidP="00391005">
      <w:pPr>
        <w:pStyle w:val="ListParagraph"/>
      </w:pPr>
      <w:r>
        <w:t>No ALVEs were identified in either of the single end datasets analysed in this study: the Ka</w:t>
      </w:r>
      <w:r w:rsidR="00A02C08">
        <w:t>uai feral chickens or the multiple</w:t>
      </w:r>
      <w:r>
        <w:t xml:space="preserve"> A</w:t>
      </w:r>
      <w:r w:rsidR="005C5613">
        <w:t>ndersson-sequenced lines. Whereas</w:t>
      </w:r>
      <w:r>
        <w:t xml:space="preserve"> no previous analyses for ALVE content have been conducted with the Kauai chickens, the Andersson-sequenced lines included WLs, WPRs and RIRs, shown in this stu</w:t>
      </w:r>
      <w:r w:rsidR="00BC02D4">
        <w:t xml:space="preserve">dy and previous work to </w:t>
      </w:r>
      <w:r>
        <w:t xml:space="preserve">contain multiple ALVE insertions. </w:t>
      </w:r>
      <w:r w:rsidR="00A02C08">
        <w:t xml:space="preserve">Problems with the identification scripts were ruled out due to the successful identification of ALVE insertions in the J-Line and Hy-Line pseudo single end FASTQ files using the single end script pipeline (section </w:t>
      </w:r>
      <w:r w:rsidR="00A02C08">
        <w:fldChar w:fldCharType="begin" w:fldLock="1"/>
      </w:r>
      <w:r w:rsidR="00A02C08">
        <w:instrText xml:space="preserve"> REF _Ref480792034 \r \h </w:instrText>
      </w:r>
      <w:r w:rsidR="00A02C08">
        <w:fldChar w:fldCharType="separate"/>
      </w:r>
      <w:r w:rsidR="002C549C">
        <w:t>7.3.2</w:t>
      </w:r>
      <w:r w:rsidR="00A02C08">
        <w:fldChar w:fldCharType="end"/>
      </w:r>
      <w:r w:rsidR="00A02C08">
        <w:t xml:space="preserve">). </w:t>
      </w:r>
      <w:r w:rsidR="003B5021">
        <w:t xml:space="preserve">However, the analysis of pipeline sensitivity with those pseudo single end FASTQ files did highlight the need for at least 25 bp of viral clipped sequence to successfully map to the pseudochromosome, and how coverage can affect insertion calling, particularly from pooled libraries. </w:t>
      </w:r>
    </w:p>
    <w:p w14:paraId="0EEB5190" w14:textId="0E543494" w:rsidR="008959AD" w:rsidRDefault="003B5021" w:rsidP="00391005">
      <w:pPr>
        <w:pStyle w:val="ListParagraph"/>
      </w:pPr>
      <w:r>
        <w:t>The Kauai chickens were all sequenced from individual libraries but only with an average coverage of 2.7–4.8X. In addition, the reads were 75 bp compared to the standard 101 bp generated in Illumi</w:t>
      </w:r>
      <w:r w:rsidR="00D66135">
        <w:t>na sequencing, so the probability</w:t>
      </w:r>
      <w:r>
        <w:t xml:space="preserve"> of a single read mapping significantly to both host genome and pseudochromosome correctly was reduced. </w:t>
      </w:r>
      <w:r w:rsidR="00995B76">
        <w:t>For the Andersson lines the average coverage was even lower at 1.7–3.1X, the data was all from pooled libraries, and the reads were only 35 bp in length</w:t>
      </w:r>
      <w:r w:rsidR="00BC02D4">
        <w:t>,</w:t>
      </w:r>
      <w:r w:rsidR="00995B76">
        <w:t xml:space="preserve"> making</w:t>
      </w:r>
      <w:r w:rsidR="00BC02D4">
        <w:t xml:space="preserve"> the</w:t>
      </w:r>
      <w:r w:rsidR="00995B76">
        <w:t xml:space="preserve"> calling of ALVE insertions impossible from this identification pipeline</w:t>
      </w:r>
      <w:r w:rsidR="008959AD">
        <w:t xml:space="preserve">. </w:t>
      </w:r>
    </w:p>
    <w:p w14:paraId="5B42021B" w14:textId="0E8CFE6A" w:rsidR="003B5021" w:rsidRDefault="008959AD" w:rsidP="00391005">
      <w:pPr>
        <w:pStyle w:val="ListParagraph"/>
      </w:pPr>
      <w:r>
        <w:t xml:space="preserve">To further check pipeline sensitivity, each of the Andersson-sequenced BAM files was checked manually for ALVEs found to be common for those breeds, such as ALVE1, ALVE3 and ALVE15 for WLs. No ALVEs were detected this way either, suggesting that structural variant calling of this kind may not be possible with single end 35 bp reads. Testing was done using both the standard BWA mem protocol and the short read optimised BWA aln followed by BWA samse protocol, but this made no significant difference to mapping rates. The Kauai BAM files were also checked manually, again without success. However, this may be because these lines do not have ALVEs common with previously analysed birds, rather than no inserts being detectable with 75 bp reads.   </w:t>
      </w:r>
    </w:p>
    <w:p w14:paraId="5A051E07" w14:textId="77777777" w:rsidR="00F2789B" w:rsidRDefault="00F2789B" w:rsidP="00391005">
      <w:pPr>
        <w:pStyle w:val="ListParagraph"/>
      </w:pPr>
    </w:p>
    <w:p w14:paraId="115DE2A4" w14:textId="4A167BA4" w:rsidR="00F2789B" w:rsidRPr="00F2789B" w:rsidRDefault="000038B3" w:rsidP="006579D8">
      <w:pPr>
        <w:pStyle w:val="Heading2"/>
      </w:pPr>
      <w:bookmarkStart w:id="614" w:name="_Toc485721673"/>
      <w:bookmarkStart w:id="615" w:name="_Toc486787253"/>
      <w:bookmarkStart w:id="616" w:name="_Toc486787401"/>
      <w:r>
        <w:lastRenderedPageBreak/>
        <w:t>ALVE insertion patterns across all analysed datasets</w:t>
      </w:r>
      <w:bookmarkEnd w:id="614"/>
      <w:bookmarkEnd w:id="615"/>
      <w:bookmarkEnd w:id="616"/>
    </w:p>
    <w:p w14:paraId="23A64487" w14:textId="303A5629" w:rsidR="00E7778F" w:rsidRDefault="00404692" w:rsidP="00404692">
      <w:pPr>
        <w:pStyle w:val="Heading3"/>
      </w:pPr>
      <w:bookmarkStart w:id="617" w:name="_Toc485721674"/>
      <w:bookmarkStart w:id="618" w:name="_Toc486787254"/>
      <w:bookmarkStart w:id="619" w:name="_Toc486787402"/>
      <w:r>
        <w:t>ALVE insertion sites</w:t>
      </w:r>
      <w:bookmarkEnd w:id="617"/>
      <w:bookmarkEnd w:id="618"/>
      <w:bookmarkEnd w:id="619"/>
    </w:p>
    <w:p w14:paraId="2B1BEE05" w14:textId="0A7B2FC8" w:rsidR="00404692" w:rsidRDefault="00381136" w:rsidP="00391005">
      <w:pPr>
        <w:pStyle w:val="ListParagraph"/>
      </w:pPr>
      <w:r>
        <w:t>There wa</w:t>
      </w:r>
      <w:r w:rsidR="00D93F17">
        <w:t>s n</w:t>
      </w:r>
      <w:r w:rsidR="00897D60">
        <w:t>o observable bias across the 322</w:t>
      </w:r>
      <w:r w:rsidR="00D93F17">
        <w:t xml:space="preserve"> ALVE insertion sites for any kind of GC skew when compared to chromosome or genome-wide GC levels, at any calculated window size. No hexamer insertion sequences </w:t>
      </w:r>
      <w:r>
        <w:t xml:space="preserve">were over-represented, and the hexamer GC content was normally distributed around a mean value of 49.9 % GC with five occurrences of entirely A/T hexamers, but no entirely G/C hexamers. The modelled hexamer sequence GC content was also </w:t>
      </w:r>
      <w:r w:rsidR="005F4B73">
        <w:t>normally distributed, but shifted</w:t>
      </w:r>
      <w:r>
        <w:t xml:space="preserve"> towards </w:t>
      </w:r>
      <w:r w:rsidR="00D66135">
        <w:t xml:space="preserve">the </w:t>
      </w:r>
      <w:r>
        <w:t>genome-wide GC content with a mean value of 42.4 %, significantly less GC rich than the observed sequences (t = 4.66; P = 3.84x10</w:t>
      </w:r>
      <w:r>
        <w:rPr>
          <w:vertAlign w:val="superscript"/>
        </w:rPr>
        <w:t>-6</w:t>
      </w:r>
      <w:r>
        <w:t xml:space="preserve">). </w:t>
      </w:r>
    </w:p>
    <w:p w14:paraId="186872EE" w14:textId="1EBCB1A5" w:rsidR="00D00373" w:rsidRDefault="00D00373" w:rsidP="00391005">
      <w:pPr>
        <w:pStyle w:val="ListParagraph"/>
      </w:pPr>
      <w:r>
        <w:t>A total of eighty-six identified ALVE insertion sites were within genes</w:t>
      </w:r>
      <w:r w:rsidR="00A324E0">
        <w:t xml:space="preserve"> (</w:t>
      </w:r>
      <w:r w:rsidR="00897D60">
        <w:t>26</w:t>
      </w:r>
      <w:r w:rsidR="00A14109">
        <w:t>.</w:t>
      </w:r>
      <w:r w:rsidR="00897D60">
        <w:t>7</w:t>
      </w:r>
      <w:r w:rsidR="00A14109">
        <w:t xml:space="preserve"> %</w:t>
      </w:r>
      <w:r w:rsidR="00A324E0">
        <w:t xml:space="preserve">): one within an exon, two within 3’ UTRs, and the remainder in introns. </w:t>
      </w:r>
      <w:r w:rsidR="00A14109">
        <w:t>If all insertions were random events in the same line y</w:t>
      </w:r>
      <w:r w:rsidR="002354B4">
        <w:t>ou would expect 51.8</w:t>
      </w:r>
      <w:r w:rsidR="00A14109">
        <w:t xml:space="preserve"> % to be within introns. However, each line has had independent insertion events, so it is unwise to over</w:t>
      </w:r>
      <w:r w:rsidR="005C5613">
        <w:t xml:space="preserve"> </w:t>
      </w:r>
      <w:r w:rsidR="00A14109">
        <w:t>interpret these observed distributions, particularly as it hides the patterns in indi</w:t>
      </w:r>
      <w:r w:rsidR="002A4D93">
        <w:t xml:space="preserve">vidual lines. For example, six of the WL lines (WL1, WL5, WL-IS, WL-L, WL-PB-C, WL-SPFa) only have intronic ALVE insertions. </w:t>
      </w:r>
      <w:r w:rsidR="002354B4">
        <w:t xml:space="preserve">Despite this deficit of insertions overlapping genes, 32.9 % of insertions fall within 10 kb of a gene, compared to 4.1 % under random integration. </w:t>
      </w:r>
    </w:p>
    <w:p w14:paraId="1A636D6E" w14:textId="619BE3B2" w:rsidR="00E70EB0" w:rsidRDefault="00E70EB0" w:rsidP="00391005">
      <w:pPr>
        <w:pStyle w:val="ListParagraph"/>
      </w:pPr>
      <w:r>
        <w:t xml:space="preserve">ALVE insertions, like LTR retrotransposons (Chapter 3), are most common on the largest chromosomes, with identified ALVE number positively correlated with chromosome length (r = 0.959, P &lt; 0.001). Insertion sites therefore appear random, but the chance an individual insertion will be retained will depend on genetic drift and the selective pressure, if any, caused by that insertion. </w:t>
      </w:r>
    </w:p>
    <w:p w14:paraId="76109D63" w14:textId="2A4579FE" w:rsidR="00404692" w:rsidRDefault="00404692" w:rsidP="00391005">
      <w:pPr>
        <w:pStyle w:val="ListParagraph"/>
      </w:pPr>
    </w:p>
    <w:p w14:paraId="4665CD21" w14:textId="5639259C" w:rsidR="00404692" w:rsidRDefault="00404692" w:rsidP="00404692">
      <w:pPr>
        <w:pStyle w:val="Heading3"/>
      </w:pPr>
      <w:bookmarkStart w:id="620" w:name="_Toc485721675"/>
      <w:bookmarkStart w:id="621" w:name="_Toc486787255"/>
      <w:bookmarkStart w:id="622" w:name="_Toc486787403"/>
      <w:r>
        <w:t>ALVEs as genetic markers</w:t>
      </w:r>
      <w:bookmarkEnd w:id="620"/>
      <w:bookmarkEnd w:id="621"/>
      <w:bookmarkEnd w:id="622"/>
    </w:p>
    <w:p w14:paraId="049FAD3F" w14:textId="6C93E46D" w:rsidR="00FC65DD" w:rsidRDefault="000D7C88" w:rsidP="00391005">
      <w:pPr>
        <w:pStyle w:val="ListParagraph"/>
      </w:pPr>
      <w:r>
        <w:t>The dendrogram constructed from the ALVE presence/abs</w:t>
      </w:r>
      <w:r w:rsidR="000F0588">
        <w:t>ence data (</w:t>
      </w:r>
      <w:r w:rsidR="000F0588" w:rsidRPr="000D7C88">
        <w:fldChar w:fldCharType="begin" w:fldLock="1"/>
      </w:r>
      <w:r w:rsidR="000F0588" w:rsidRPr="000D7C88">
        <w:instrText xml:space="preserve"> REF _Ref480968047 \h  \* MERGEFORMAT </w:instrText>
      </w:r>
      <w:r w:rsidR="000F0588" w:rsidRPr="000D7C88">
        <w:fldChar w:fldCharType="separate"/>
      </w:r>
      <w:r w:rsidR="002C549C" w:rsidRPr="00D66135">
        <w:t xml:space="preserve">Figure </w:t>
      </w:r>
      <w:r w:rsidR="002C549C">
        <w:rPr>
          <w:noProof/>
        </w:rPr>
        <w:t>7</w:t>
      </w:r>
      <w:r w:rsidR="002C549C" w:rsidRPr="00D66135">
        <w:rPr>
          <w:noProof/>
        </w:rPr>
        <w:t>.</w:t>
      </w:r>
      <w:r w:rsidR="002C549C">
        <w:rPr>
          <w:noProof/>
        </w:rPr>
        <w:t>4</w:t>
      </w:r>
      <w:r w:rsidR="000F0588" w:rsidRPr="000D7C88">
        <w:fldChar w:fldCharType="end"/>
      </w:r>
      <w:r w:rsidR="000F0588">
        <w:t xml:space="preserve">) </w:t>
      </w:r>
      <w:r w:rsidR="00F005AA">
        <w:t xml:space="preserve">generally </w:t>
      </w:r>
      <w:r w:rsidR="000F0588">
        <w:t xml:space="preserve">follows the </w:t>
      </w:r>
      <w:r>
        <w:t>accepted pattern of ALVE numbers in commercial stock, where white egg layers have fewer than brown egg layers, which have fewer than broilers</w:t>
      </w:r>
      <w:r w:rsidR="000F0588">
        <w:t xml:space="preserve">. </w:t>
      </w:r>
    </w:p>
    <w:p w14:paraId="3F22E4D8" w14:textId="44C28746" w:rsidR="00404725" w:rsidRPr="003A3EAD" w:rsidRDefault="00404725" w:rsidP="00391005">
      <w:pPr>
        <w:pStyle w:val="ListParagraph"/>
      </w:pPr>
    </w:p>
    <w:p w14:paraId="75CC571A" w14:textId="5AF8941D" w:rsidR="00404725" w:rsidRDefault="00805E7F" w:rsidP="00D66135">
      <w:pPr>
        <w:pStyle w:val="ListParagraph"/>
        <w:jc w:val="center"/>
      </w:pPr>
      <w:r>
        <w:rPr>
          <w:noProof/>
          <w:lang w:eastAsia="en-GB"/>
        </w:rPr>
        <w:lastRenderedPageBreak/>
        <w:drawing>
          <wp:inline distT="0" distB="0" distL="0" distR="0" wp14:anchorId="1ED9FD2A" wp14:editId="0159AA73">
            <wp:extent cx="5269114" cy="7167342"/>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98568" cy="7207407"/>
                    </a:xfrm>
                    <a:prstGeom prst="rect">
                      <a:avLst/>
                    </a:prstGeom>
                    <a:noFill/>
                  </pic:spPr>
                </pic:pic>
              </a:graphicData>
            </a:graphic>
          </wp:inline>
        </w:drawing>
      </w:r>
    </w:p>
    <w:p w14:paraId="4C7E1E0A" w14:textId="5A7C08A1" w:rsidR="00404725" w:rsidRDefault="00404725" w:rsidP="00404725">
      <w:pPr>
        <w:pStyle w:val="Figure"/>
      </w:pPr>
      <w:bookmarkStart w:id="623" w:name="_Ref480968047"/>
      <w:bookmarkStart w:id="624" w:name="_Toc486785474"/>
      <w:r w:rsidRPr="00D66135">
        <w:t xml:space="preserve">Figure </w:t>
      </w:r>
      <w:fldSimple w:instr=" STYLEREF 1 \s " w:fldLock="1">
        <w:r w:rsidR="002C549C">
          <w:rPr>
            <w:noProof/>
          </w:rPr>
          <w:t>7</w:t>
        </w:r>
      </w:fldSimple>
      <w:r w:rsidR="001167C6" w:rsidRPr="00D66135">
        <w:t>.</w:t>
      </w:r>
      <w:fldSimple w:instr=" SEQ Figure \* ARABIC \s 1 " w:fldLock="1">
        <w:r w:rsidR="002C549C">
          <w:rPr>
            <w:noProof/>
          </w:rPr>
          <w:t>4</w:t>
        </w:r>
      </w:fldSimple>
      <w:bookmarkEnd w:id="623"/>
      <w:r>
        <w:t xml:space="preserve"> Dendrogram of relatedness between successfully analysed chicken lines using ALVE presence/absence data. </w:t>
      </w:r>
      <w:r w:rsidR="00805E7F">
        <w:t xml:space="preserve">Broilers are marked with pink boxes, brown egg layers with brown boxes and white egg layers with white boxes. </w:t>
      </w:r>
      <w:r>
        <w:t>Lines marked wi</w:t>
      </w:r>
      <w:r w:rsidR="005655E9">
        <w:t>th grey squares had individual W</w:t>
      </w:r>
      <w:r>
        <w:t xml:space="preserve">GS data. All unmarked lines used pooled data. </w:t>
      </w:r>
      <w:r w:rsidR="00562CAE">
        <w:t xml:space="preserve">All datasets </w:t>
      </w:r>
      <w:r>
        <w:t>were paired end Illumina data. Line name</w:t>
      </w:r>
      <w:r w:rsidR="00562CAE">
        <w:t xml:space="preserve"> abbreviations were defined</w:t>
      </w:r>
      <w:r>
        <w:t xml:space="preserve"> in </w:t>
      </w:r>
      <w:r w:rsidRPr="0017184E">
        <w:fldChar w:fldCharType="begin" w:fldLock="1"/>
      </w:r>
      <w:r w:rsidRPr="0017184E">
        <w:instrText xml:space="preserve"> REF _Ref480807905 \h </w:instrText>
      </w:r>
      <w:r w:rsidR="0017184E" w:rsidRPr="0017184E">
        <w:instrText xml:space="preserve"> \* MERGEFORMAT </w:instrText>
      </w:r>
      <w:r w:rsidRPr="0017184E">
        <w:fldChar w:fldCharType="separate"/>
      </w:r>
      <w:r w:rsidR="002C549C" w:rsidRPr="00303F07">
        <w:t xml:space="preserve">Table </w:t>
      </w:r>
      <w:r w:rsidR="002C549C">
        <w:rPr>
          <w:noProof/>
        </w:rPr>
        <w:t>5</w:t>
      </w:r>
      <w:r w:rsidR="002C549C" w:rsidRPr="00303F07">
        <w:rPr>
          <w:noProof/>
        </w:rPr>
        <w:t>.</w:t>
      </w:r>
      <w:r w:rsidR="002C549C">
        <w:rPr>
          <w:noProof/>
        </w:rPr>
        <w:t>3</w:t>
      </w:r>
      <w:r w:rsidRPr="0017184E">
        <w:fldChar w:fldCharType="end"/>
      </w:r>
      <w:r>
        <w:t>.</w:t>
      </w:r>
      <w:bookmarkEnd w:id="624"/>
    </w:p>
    <w:p w14:paraId="15E4CCB5" w14:textId="371D5963" w:rsidR="00FC65DD" w:rsidRDefault="008D5F1C" w:rsidP="00391005">
      <w:pPr>
        <w:pStyle w:val="ListParagraph"/>
      </w:pPr>
      <w:r>
        <w:lastRenderedPageBreak/>
        <w:t xml:space="preserve">The RJF and ‘village’ birds appear most basal due to their high overall ALVE count and large number of lineage-specific inserts. Whilst RJF-J and RJF-S are not at the base of the dendrogram with RJF-C or </w:t>
      </w:r>
      <w:r w:rsidR="0025410D">
        <w:t xml:space="preserve">the </w:t>
      </w:r>
      <w:r>
        <w:t xml:space="preserve">Ethiopian village chickens, </w:t>
      </w:r>
      <w:r w:rsidR="0025410D">
        <w:t xml:space="preserve">this appears to be due to the number of identified ALVEs, rather than the </w:t>
      </w:r>
      <w:r w:rsidR="0025410D" w:rsidRPr="00E760F5">
        <w:t>observed</w:t>
      </w:r>
      <w:r w:rsidR="0025410D">
        <w:t xml:space="preserve"> diversity. RJF-S has no shared ALVEs and RJF-J shares only one ALVE with the Black Java breed, which makes geographical sense. As considered above, it</w:t>
      </w:r>
      <w:r w:rsidR="00FC65DD">
        <w:t xml:space="preserve"> is unclear whether the broiler lines</w:t>
      </w:r>
      <w:r w:rsidR="0025410D">
        <w:t xml:space="preserve"> with large ALVE numbers (such as Br-REL and Br-INRA) are truly representative of </w:t>
      </w:r>
      <w:r w:rsidR="00FC65DD">
        <w:t xml:space="preserve">commercial </w:t>
      </w:r>
      <w:r w:rsidR="0025410D">
        <w:t xml:space="preserve">broilers as they are pedigree/heritage lines now with relaxed selection, random mating and effective population sizes smaller than historical levels. </w:t>
      </w:r>
      <w:r w:rsidR="00FC65DD">
        <w:t xml:space="preserve">However, the five Western broiler lines share most of their ALVEs, suggesting limited lineage-specific effects. </w:t>
      </w:r>
      <w:r w:rsidR="005C5613">
        <w:t>A dendrogram</w:t>
      </w:r>
      <w:r w:rsidR="00404725">
        <w:t xml:space="preserve"> based on shared ALVE sites</w:t>
      </w:r>
      <w:r w:rsidR="002D4D9A">
        <w:t xml:space="preserve"> alone</w:t>
      </w:r>
      <w:r w:rsidR="00FC65DD">
        <w:t xml:space="preserve"> places these five broiler lines as the most basal branches.</w:t>
      </w:r>
    </w:p>
    <w:p w14:paraId="6C89478F" w14:textId="6BB9D15E" w:rsidR="007A044A" w:rsidRDefault="0025410D" w:rsidP="00391005">
      <w:pPr>
        <w:pStyle w:val="ListParagraph"/>
      </w:pPr>
      <w:r>
        <w:t xml:space="preserve">The ‘generalist’ group are </w:t>
      </w:r>
      <w:r w:rsidR="00FC65DD">
        <w:t>found throughout the dendrogram, many dominated by novel and/or lineage-specific ALVEs, perhaps representing the bias in the analysed datasets, and ALVE literature, towards Western breeds</w:t>
      </w:r>
      <w:r w:rsidR="002D4D9A">
        <w:t>. I</w:t>
      </w:r>
      <w:r w:rsidR="00FC65DD">
        <w:t>t is likely that the position of these lines within the dendrogram is more numerical than due to shared sites (discussed below).</w:t>
      </w:r>
    </w:p>
    <w:p w14:paraId="52DBAA4E" w14:textId="4AF8EBFB" w:rsidR="007D0A9D" w:rsidRDefault="00404725" w:rsidP="00391005">
      <w:pPr>
        <w:pStyle w:val="ListParagraph"/>
      </w:pPr>
      <w:r>
        <w:t>The dendrogram internal structure is very sequential, rather than a limited number of clear clades. Where clades do exist, such as the final WL group (WL-SPFa down to WL1) or the WPR/RIW group, this is due to the high numbers of shared ALVEs between these lines and the absence of ALVEs shared outside these clades. ALVEs such as ALVE1, ALVE3, ALVE21, ALVEB5, ALVE-NSAC1, ALVE-TYR and ALVE_ros010 were found commonly and identified in different breeds and groupings, narrowing calculated distances between lines. However, relatedness is modulated further as the large number of lineage-specific ALVEs increase</w:t>
      </w:r>
      <w:r w:rsidR="00D66135">
        <w:t>d</w:t>
      </w:r>
      <w:r>
        <w:t xml:space="preserve"> relative distance between lines.</w:t>
      </w:r>
    </w:p>
    <w:p w14:paraId="2C0B942B" w14:textId="77777777" w:rsidR="00404725" w:rsidRDefault="00404725" w:rsidP="00391005">
      <w:pPr>
        <w:pStyle w:val="ListParagraph"/>
      </w:pPr>
    </w:p>
    <w:p w14:paraId="084A3E8F" w14:textId="19748DEA" w:rsidR="00FC65DD" w:rsidRDefault="00FC65DD" w:rsidP="00FC65DD">
      <w:pPr>
        <w:pStyle w:val="Heading4"/>
      </w:pPr>
      <w:r>
        <w:t>Numerical cluster</w:t>
      </w:r>
      <w:r w:rsidR="002D4D9A">
        <w:t>ing</w:t>
      </w:r>
      <w:r>
        <w:t xml:space="preserve"> bias</w:t>
      </w:r>
    </w:p>
    <w:p w14:paraId="1FAF55E0" w14:textId="1C00BCA9" w:rsidR="002E6369" w:rsidRDefault="00F005AA" w:rsidP="00391005">
      <w:pPr>
        <w:pStyle w:val="ListParagraph"/>
      </w:pPr>
      <w:r>
        <w:t xml:space="preserve">Whilst </w:t>
      </w:r>
      <w:r w:rsidRPr="008C3429">
        <w:fldChar w:fldCharType="begin" w:fldLock="1"/>
      </w:r>
      <w:r w:rsidRPr="008C3429">
        <w:instrText xml:space="preserve"> REF _Ref480968047 \h  \* MERGEFORMAT </w:instrText>
      </w:r>
      <w:r w:rsidRPr="008C3429">
        <w:fldChar w:fldCharType="separate"/>
      </w:r>
      <w:r w:rsidR="002C549C" w:rsidRPr="00D66135">
        <w:t xml:space="preserve">Figure </w:t>
      </w:r>
      <w:r w:rsidR="002C549C">
        <w:rPr>
          <w:noProof/>
        </w:rPr>
        <w:t>7</w:t>
      </w:r>
      <w:r w:rsidR="002C549C" w:rsidRPr="00D66135">
        <w:rPr>
          <w:noProof/>
        </w:rPr>
        <w:t>.</w:t>
      </w:r>
      <w:r w:rsidR="002C549C">
        <w:rPr>
          <w:noProof/>
        </w:rPr>
        <w:t>4</w:t>
      </w:r>
      <w:r w:rsidRPr="008C3429">
        <w:fldChar w:fldCharType="end"/>
      </w:r>
      <w:r>
        <w:t xml:space="preserve"> does appear to reconstitute the predicted general relationships between the analysed lines, the number of identified ALVEs in each line does appear to be a confounding factor. For those lines with few ALVEs this is an inherent bias created by calculating relatedness from a distance matrix using presence/absence data, </w:t>
      </w:r>
      <w:r>
        <w:lastRenderedPageBreak/>
        <w:t>as lines with few ALVEs group together based on</w:t>
      </w:r>
      <w:r w:rsidR="002D4D9A">
        <w:t xml:space="preserve"> the high prevalence</w:t>
      </w:r>
      <w:r>
        <w:t xml:space="preserve"> of the ‘absence’ genotype at most sites. Modelled dendrograms invariably cluster solely based on the number of ALVEs in each line, where the lowest numbers h</w:t>
      </w:r>
      <w:r w:rsidR="002D4D9A">
        <w:t>ave the shortest</w:t>
      </w:r>
      <w:r>
        <w:t xml:space="preserve"> distance (</w:t>
      </w:r>
      <w:r w:rsidRPr="00F005AA">
        <w:fldChar w:fldCharType="begin" w:fldLock="1"/>
      </w:r>
      <w:r w:rsidRPr="00F005AA">
        <w:instrText xml:space="preserve"> REF _Ref480990015 \h  \* MERGEFORMAT </w:instrText>
      </w:r>
      <w:r w:rsidRPr="00F005AA">
        <w:fldChar w:fldCharType="separate"/>
      </w:r>
      <w:r w:rsidR="002C549C" w:rsidRPr="00D66135">
        <w:t xml:space="preserve">Figure </w:t>
      </w:r>
      <w:r w:rsidR="002C549C">
        <w:rPr>
          <w:noProof/>
        </w:rPr>
        <w:t>7</w:t>
      </w:r>
      <w:r w:rsidR="002C549C" w:rsidRPr="00D66135">
        <w:rPr>
          <w:noProof/>
        </w:rPr>
        <w:t>.</w:t>
      </w:r>
      <w:r w:rsidR="002C549C">
        <w:rPr>
          <w:noProof/>
        </w:rPr>
        <w:t>5</w:t>
      </w:r>
      <w:r w:rsidRPr="00F005AA">
        <w:fldChar w:fldCharType="end"/>
      </w:r>
      <w:r>
        <w:t>).</w:t>
      </w:r>
      <w:r w:rsidR="002D4D9A">
        <w:t xml:space="preserve"> The real data </w:t>
      </w:r>
      <w:r>
        <w:t xml:space="preserve">does not follow this pattern completely, but instead has structure </w:t>
      </w:r>
      <w:r w:rsidR="006B46CC">
        <w:t xml:space="preserve">at least partially </w:t>
      </w:r>
      <w:r>
        <w:t xml:space="preserve">based on known line and breed relatedness.  </w:t>
      </w:r>
    </w:p>
    <w:p w14:paraId="69E93CB8" w14:textId="6C8CC7B7" w:rsidR="00944871" w:rsidRPr="00D66135" w:rsidRDefault="00944871" w:rsidP="00391005">
      <w:pPr>
        <w:pStyle w:val="ListParagraph"/>
        <w:rPr>
          <w:sz w:val="2"/>
        </w:rPr>
      </w:pPr>
    </w:p>
    <w:p w14:paraId="6FD6A9E5" w14:textId="6AE383AF" w:rsidR="00944871" w:rsidRDefault="00AF61CC" w:rsidP="00D66135">
      <w:pPr>
        <w:pStyle w:val="ListParagraph"/>
        <w:jc w:val="center"/>
      </w:pPr>
      <w:r>
        <w:rPr>
          <w:noProof/>
          <w:lang w:eastAsia="en-GB"/>
        </w:rPr>
        <w:drawing>
          <wp:inline distT="0" distB="0" distL="0" distR="0" wp14:anchorId="5F0195EE" wp14:editId="4D94BB08">
            <wp:extent cx="5067300" cy="3828901"/>
            <wp:effectExtent l="0" t="0" r="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8">
                      <a:extLst>
                        <a:ext uri="{28A0092B-C50C-407E-A947-70E740481C1C}">
                          <a14:useLocalDpi xmlns:a14="http://schemas.microsoft.com/office/drawing/2010/main" val="0"/>
                        </a:ext>
                      </a:extLst>
                    </a:blip>
                    <a:srcRect l="1133" t="2210" r="6037"/>
                    <a:stretch/>
                  </pic:blipFill>
                  <pic:spPr bwMode="auto">
                    <a:xfrm>
                      <a:off x="0" y="0"/>
                      <a:ext cx="5078809" cy="3837597"/>
                    </a:xfrm>
                    <a:prstGeom prst="rect">
                      <a:avLst/>
                    </a:prstGeom>
                    <a:noFill/>
                    <a:ln>
                      <a:noFill/>
                    </a:ln>
                    <a:extLst>
                      <a:ext uri="{53640926-AAD7-44D8-BBD7-CCE9431645EC}">
                        <a14:shadowObscured xmlns:a14="http://schemas.microsoft.com/office/drawing/2010/main"/>
                      </a:ext>
                    </a:extLst>
                  </pic:spPr>
                </pic:pic>
              </a:graphicData>
            </a:graphic>
          </wp:inline>
        </w:drawing>
      </w:r>
    </w:p>
    <w:p w14:paraId="0CAEBAAB" w14:textId="29AF82A6" w:rsidR="00944871" w:rsidRDefault="00944871" w:rsidP="00944871">
      <w:pPr>
        <w:pStyle w:val="Figure"/>
      </w:pPr>
      <w:bookmarkStart w:id="625" w:name="_Ref480990015"/>
      <w:bookmarkStart w:id="626" w:name="_Toc486785475"/>
      <w:r w:rsidRPr="00D66135">
        <w:t xml:space="preserve">Figure </w:t>
      </w:r>
      <w:fldSimple w:instr=" STYLEREF 1 \s " w:fldLock="1">
        <w:r w:rsidR="002C549C">
          <w:rPr>
            <w:noProof/>
          </w:rPr>
          <w:t>7</w:t>
        </w:r>
      </w:fldSimple>
      <w:r w:rsidR="001167C6" w:rsidRPr="00D66135">
        <w:t>.</w:t>
      </w:r>
      <w:fldSimple w:instr=" SEQ Figure \* ARABIC \s 1 " w:fldLock="1">
        <w:r w:rsidR="002C549C">
          <w:rPr>
            <w:noProof/>
          </w:rPr>
          <w:t>5</w:t>
        </w:r>
      </w:fldSimple>
      <w:bookmarkEnd w:id="625"/>
      <w:r>
        <w:t xml:space="preserve"> Dendrograms constructed for lines with twelve ALVEs or fewer.</w:t>
      </w:r>
      <w:r w:rsidR="00AF61CC">
        <w:t xml:space="preserve"> Line interrelatedness is shown by the dendrogram and line ALVE number is shown by the red bars, where longer bars are more ALVEs. </w:t>
      </w:r>
      <w:r>
        <w:t>Dendrogram A was constructed using the real data and shows structure based on relatedness rather than number of discovered ALVEs. Dendrogram B was an example of one of the hundred modelled dendrograms with ra</w:t>
      </w:r>
      <w:r w:rsidR="00AF61CC">
        <w:t>ndomly assigned ALVE insertions. Its structure</w:t>
      </w:r>
      <w:r>
        <w:t xml:space="preserve"> </w:t>
      </w:r>
      <w:r w:rsidR="00AF61CC">
        <w:t>is based</w:t>
      </w:r>
      <w:r>
        <w:t xml:space="preserve"> solely on the number of ALVEs in each line</w:t>
      </w:r>
      <w:r w:rsidR="00AF61CC">
        <w:t>, with almost uniform number decrease down the dendrogram</w:t>
      </w:r>
      <w:r>
        <w:t>.</w:t>
      </w:r>
      <w:bookmarkEnd w:id="626"/>
    </w:p>
    <w:p w14:paraId="247B3B38" w14:textId="40172B45" w:rsidR="00505732" w:rsidRDefault="006B46CC" w:rsidP="00391005">
      <w:pPr>
        <w:pStyle w:val="ListParagraph"/>
      </w:pPr>
      <w:r>
        <w:t xml:space="preserve">Despite the </w:t>
      </w:r>
      <w:r w:rsidR="0017184E">
        <w:t>role of genetic structure</w:t>
      </w:r>
      <w:r>
        <w:t>, the number of identified ALVE</w:t>
      </w:r>
      <w:r w:rsidR="00E124A4">
        <w:t>s</w:t>
      </w:r>
      <w:r>
        <w:t xml:space="preserve"> </w:t>
      </w:r>
      <w:r w:rsidR="0017184E">
        <w:t xml:space="preserve">clearly </w:t>
      </w:r>
      <w:r>
        <w:t xml:space="preserve">still has an impact on some of the dendrogram nodes. This point has already been hinted at with the positioning of RJF-J and RJF-S. These lines have one and zero shared ALVEs respectively, yet due to their ALVE number are less basal than heritage broilers which </w:t>
      </w:r>
      <w:r>
        <w:lastRenderedPageBreak/>
        <w:t xml:space="preserve">contain the traditional layer insertions ALVE1 (Br-REL, Br-VLDL-L), ALVE3 (Br-INRA) and ALVE15 (Br-REL, Br-VLDL-F). </w:t>
      </w:r>
    </w:p>
    <w:p w14:paraId="65C29453" w14:textId="5B1DA5CE" w:rsidR="00944871" w:rsidRDefault="002D04E2" w:rsidP="00391005">
      <w:pPr>
        <w:pStyle w:val="ListParagraph"/>
      </w:pPr>
      <w:r>
        <w:t xml:space="preserve">Multiple </w:t>
      </w:r>
      <w:r w:rsidR="00FD4247">
        <w:t xml:space="preserve">numerical-biased </w:t>
      </w:r>
      <w:r>
        <w:t xml:space="preserve">examples </w:t>
      </w:r>
      <w:r w:rsidR="00E124A4">
        <w:t>can</w:t>
      </w:r>
      <w:r>
        <w:t xml:space="preserve"> be found within the ‘generalist’</w:t>
      </w:r>
      <w:r w:rsidR="00E124A4">
        <w:t xml:space="preserve"> birds. T</w:t>
      </w:r>
      <w:r>
        <w:t>he Chahua has only one ALVE (</w:t>
      </w:r>
      <w:r w:rsidR="002D4D9A">
        <w:t xml:space="preserve">a </w:t>
      </w:r>
      <w:r>
        <w:t xml:space="preserve">novel insertion on chromosome 18; ALVE_ros271) which is shared with no other lines, but </w:t>
      </w:r>
      <w:r w:rsidR="002D4D9A">
        <w:t xml:space="preserve">it </w:t>
      </w:r>
      <w:r>
        <w:t xml:space="preserve">groups most closely with WLs which </w:t>
      </w:r>
      <w:r w:rsidR="009357BB">
        <w:t xml:space="preserve">also </w:t>
      </w:r>
      <w:r>
        <w:t xml:space="preserve">only contain one or two ALVEs. </w:t>
      </w:r>
      <w:r w:rsidR="00E124A4">
        <w:t>T</w:t>
      </w:r>
      <w:r>
        <w:t>he Fayoumi line has six ALVEs, all of which were novel, but two were shared with the ETH-Horro ‘village’ chickens</w:t>
      </w:r>
      <w:r w:rsidR="00505732">
        <w:t xml:space="preserve">. Despite this, the Fayoumi sits in the middle of the dendrogram due to the number of ALVEs, rather than more basally. </w:t>
      </w:r>
      <w:r w:rsidR="00E124A4">
        <w:t>Similarly, the TIB-HL1</w:t>
      </w:r>
      <w:r w:rsidR="00505732">
        <w:t xml:space="preserve"> </w:t>
      </w:r>
      <w:r w:rsidR="00E124A4">
        <w:t>has four ALVEs, three of which are novel and lineage-specific. The remaining ALVE_ros276 is shared with multiple lines including the basal ETH-Horro, ETH-Jarso and RJF-C, but TIB-HL1 still groups within the BLs</w:t>
      </w:r>
      <w:r w:rsidR="002D4D9A">
        <w:t xml:space="preserve"> due to the number of insertions</w:t>
      </w:r>
      <w:r w:rsidR="00E124A4">
        <w:t xml:space="preserve">. </w:t>
      </w:r>
      <w:r w:rsidR="00FD4247">
        <w:t xml:space="preserve">Finally, the Sumatera groups with TIB-HL2 and TIB-HL3 within </w:t>
      </w:r>
      <w:r w:rsidR="009357BB">
        <w:t>the WLs, and all three lines have</w:t>
      </w:r>
      <w:r w:rsidR="00FD4247">
        <w:t xml:space="preserve"> two identified ALVEs. The Sumatera has ALVE-NSAC1 and ALVE-TYR, both of which are commonly found in </w:t>
      </w:r>
      <w:r w:rsidR="009357BB">
        <w:t xml:space="preserve">all </w:t>
      </w:r>
      <w:r w:rsidR="00FD4247">
        <w:t xml:space="preserve">groups </w:t>
      </w:r>
      <w:r w:rsidR="009357BB">
        <w:t>excluding</w:t>
      </w:r>
      <w:r w:rsidR="00FD4247">
        <w:t xml:space="preserve"> the commercial white egg layers. TIB-HL2 shares ALVE-TYR and the previously mentioned ALVE_ros276, but TIB-HL3 has only lineage-specific insertions. </w:t>
      </w:r>
    </w:p>
    <w:p w14:paraId="7FDADB79" w14:textId="3694BEC3" w:rsidR="00F005AA" w:rsidRDefault="009357BB" w:rsidP="00391005">
      <w:pPr>
        <w:pStyle w:val="ListParagraph"/>
      </w:pPr>
      <w:r>
        <w:t>Shared ALVEs appear responsible for most dendrogram groupings, but the number of ALVEs, particularly lineage-</w:t>
      </w:r>
      <w:r w:rsidR="005C5613">
        <w:t>specific ALVEs, has a notable</w:t>
      </w:r>
      <w:r>
        <w:t xml:space="preserve"> effect on the node order. </w:t>
      </w:r>
      <w:r w:rsidR="002D4D9A">
        <w:t>In the absence of shared ALVEs due to common ancestry, lines are simply arranged by the number of ALVEs, as was seen in the modelled dataset (</w:t>
      </w:r>
      <w:r w:rsidR="002D4D9A" w:rsidRPr="002D4D9A">
        <w:fldChar w:fldCharType="begin" w:fldLock="1"/>
      </w:r>
      <w:r w:rsidR="002D4D9A" w:rsidRPr="002D4D9A">
        <w:instrText xml:space="preserve"> REF _Ref480990015 \h  \* MERGEFORMAT </w:instrText>
      </w:r>
      <w:r w:rsidR="002D4D9A" w:rsidRPr="002D4D9A">
        <w:fldChar w:fldCharType="separate"/>
      </w:r>
      <w:r w:rsidR="002C549C" w:rsidRPr="00D66135">
        <w:t xml:space="preserve">Figure </w:t>
      </w:r>
      <w:r w:rsidR="002C549C">
        <w:rPr>
          <w:noProof/>
        </w:rPr>
        <w:t>7</w:t>
      </w:r>
      <w:r w:rsidR="002C549C" w:rsidRPr="00D66135">
        <w:rPr>
          <w:noProof/>
        </w:rPr>
        <w:t>.</w:t>
      </w:r>
      <w:r w:rsidR="002C549C">
        <w:rPr>
          <w:noProof/>
        </w:rPr>
        <w:t>5</w:t>
      </w:r>
      <w:r w:rsidR="002D4D9A" w:rsidRPr="002D4D9A">
        <w:fldChar w:fldCharType="end"/>
      </w:r>
      <w:r w:rsidR="00D66135">
        <w:t>B</w:t>
      </w:r>
      <w:r w:rsidR="002D4D9A">
        <w:t>).</w:t>
      </w:r>
    </w:p>
    <w:p w14:paraId="6CB1584A" w14:textId="77777777" w:rsidR="00F005AA" w:rsidRDefault="00F005AA" w:rsidP="00391005">
      <w:pPr>
        <w:pStyle w:val="ListParagraph"/>
      </w:pPr>
    </w:p>
    <w:p w14:paraId="35FCB36F" w14:textId="54B75ED3" w:rsidR="00557A9F" w:rsidRDefault="00E667A9" w:rsidP="00640FEE">
      <w:pPr>
        <w:pStyle w:val="Heading4"/>
      </w:pPr>
      <w:r>
        <w:t xml:space="preserve">The </w:t>
      </w:r>
      <w:r w:rsidR="00640FEE">
        <w:t>impact</w:t>
      </w:r>
      <w:r>
        <w:t xml:space="preserve"> of sequencing library and average coverage</w:t>
      </w:r>
      <w:r w:rsidR="00640FEE">
        <w:t xml:space="preserve"> on ALVE identification</w:t>
      </w:r>
    </w:p>
    <w:p w14:paraId="64AEE0DD" w14:textId="4F7FF322" w:rsidR="00940F89" w:rsidRDefault="008C3429" w:rsidP="00391005">
      <w:pPr>
        <w:pStyle w:val="ListParagraph"/>
      </w:pPr>
      <w:r>
        <w:t>Sequencing library type adds an additional level of complexity, as the modelling completed in chapter 6 showed that ALVEs which are rare at the population level are much more likely to be detected from individual sequencing l</w:t>
      </w:r>
      <w:r w:rsidR="00976700">
        <w:t>ibraries</w:t>
      </w:r>
      <w:r>
        <w:t xml:space="preserve"> rather than pools. Concordantly, eight of the ten lines with the most identified ALVEs were sequenced from individual sequencing libraries (</w:t>
      </w:r>
      <w:r w:rsidRPr="008C3429">
        <w:fldChar w:fldCharType="begin" w:fldLock="1"/>
      </w:r>
      <w:r w:rsidRPr="008C3429">
        <w:instrText xml:space="preserve"> REF _Ref480807905 \h  \* MERGEFORMAT </w:instrText>
      </w:r>
      <w:r w:rsidRPr="008C3429">
        <w:fldChar w:fldCharType="separate"/>
      </w:r>
      <w:r w:rsidR="002C549C" w:rsidRPr="00303F07">
        <w:t xml:space="preserve">Table </w:t>
      </w:r>
      <w:r w:rsidR="002C549C">
        <w:rPr>
          <w:noProof/>
        </w:rPr>
        <w:t>5</w:t>
      </w:r>
      <w:r w:rsidR="002C549C" w:rsidRPr="00303F07">
        <w:rPr>
          <w:noProof/>
        </w:rPr>
        <w:t>.</w:t>
      </w:r>
      <w:r w:rsidR="002C549C">
        <w:rPr>
          <w:noProof/>
        </w:rPr>
        <w:t>3</w:t>
      </w:r>
      <w:r w:rsidRPr="008C3429">
        <w:fldChar w:fldCharType="end"/>
      </w:r>
      <w:r w:rsidRPr="008C3429">
        <w:t xml:space="preserve">; </w:t>
      </w:r>
      <w:r w:rsidRPr="008C3429">
        <w:fldChar w:fldCharType="begin" w:fldLock="1"/>
      </w:r>
      <w:r w:rsidRPr="008C3429">
        <w:instrText xml:space="preserve"> REF _Ref480968047 \h  \* MERGEFORMAT </w:instrText>
      </w:r>
      <w:r w:rsidRPr="008C3429">
        <w:fldChar w:fldCharType="separate"/>
      </w:r>
      <w:r w:rsidR="002C549C" w:rsidRPr="00D66135">
        <w:t xml:space="preserve">Figure </w:t>
      </w:r>
      <w:r w:rsidR="002C549C">
        <w:rPr>
          <w:noProof/>
        </w:rPr>
        <w:t>7</w:t>
      </w:r>
      <w:r w:rsidR="002C549C" w:rsidRPr="00D66135">
        <w:rPr>
          <w:noProof/>
        </w:rPr>
        <w:t>.</w:t>
      </w:r>
      <w:r w:rsidR="002C549C">
        <w:rPr>
          <w:noProof/>
        </w:rPr>
        <w:t>4</w:t>
      </w:r>
      <w:r w:rsidRPr="008C3429">
        <w:fldChar w:fldCharType="end"/>
      </w:r>
      <w:r>
        <w:t>)</w:t>
      </w:r>
      <w:r w:rsidR="007C719E">
        <w:t>.</w:t>
      </w:r>
      <w:r w:rsidR="00940F89">
        <w:t xml:space="preserve"> </w:t>
      </w:r>
      <w:r w:rsidR="007C719E">
        <w:t xml:space="preserve">These lines were, however, predicted to have a greater number of ALVEs than any of the </w:t>
      </w:r>
      <w:r w:rsidR="00976700">
        <w:t>layer-type chickens which exhibited</w:t>
      </w:r>
      <w:r w:rsidR="007C719E">
        <w:t xml:space="preserve"> consistently lower ALVE numbers. Use of individual sequencing library datasets</w:t>
      </w:r>
      <w:r w:rsidR="00976700">
        <w:t xml:space="preserve"> with</w:t>
      </w:r>
      <w:r w:rsidR="007C719E">
        <w:t xml:space="preserve"> layer individuals, such as the J-Line (JL; 9 individuals) or Lohmann WL </w:t>
      </w:r>
      <w:r w:rsidR="007C719E">
        <w:lastRenderedPageBreak/>
        <w:t>(WL-L; 25 individuals)</w:t>
      </w:r>
      <w:r w:rsidR="00894D7C">
        <w:t>, did not produce</w:t>
      </w:r>
      <w:r w:rsidR="007C719E">
        <w:t xml:space="preserve"> an increase in ALVEs </w:t>
      </w:r>
      <w:r w:rsidR="002D4D9A">
        <w:t>relative to other leghorn line</w:t>
      </w:r>
      <w:r w:rsidR="007C719E">
        <w:t xml:space="preserve">s. </w:t>
      </w:r>
    </w:p>
    <w:p w14:paraId="396AF7D0" w14:textId="3D789CA1" w:rsidR="00C22643" w:rsidRDefault="005C5613" w:rsidP="00391005">
      <w:pPr>
        <w:pStyle w:val="ListParagraph"/>
      </w:pPr>
      <w:r>
        <w:t>When these data were</w:t>
      </w:r>
      <w:r w:rsidR="007C719E">
        <w:t xml:space="preserve"> </w:t>
      </w:r>
      <w:r>
        <w:t>analysed by the GLM, the results</w:t>
      </w:r>
      <w:r w:rsidR="007C719E">
        <w:t xml:space="preserve"> showed that line category (based on breed or ‘use’; </w:t>
      </w:r>
      <w:r w:rsidR="007C719E" w:rsidRPr="007C719E">
        <w:fldChar w:fldCharType="begin" w:fldLock="1"/>
      </w:r>
      <w:r w:rsidR="007C719E" w:rsidRPr="007C719E">
        <w:instrText xml:space="preserve"> REF _Ref480807905 \h  \* MERGEFORMAT </w:instrText>
      </w:r>
      <w:r w:rsidR="007C719E" w:rsidRPr="007C719E">
        <w:fldChar w:fldCharType="separate"/>
      </w:r>
      <w:r w:rsidR="002C549C" w:rsidRPr="00303F07">
        <w:t xml:space="preserve">Table </w:t>
      </w:r>
      <w:r w:rsidR="002C549C">
        <w:rPr>
          <w:noProof/>
        </w:rPr>
        <w:t>5</w:t>
      </w:r>
      <w:r w:rsidR="002C549C" w:rsidRPr="00303F07">
        <w:rPr>
          <w:noProof/>
        </w:rPr>
        <w:t>.</w:t>
      </w:r>
      <w:r w:rsidR="002C549C">
        <w:rPr>
          <w:noProof/>
        </w:rPr>
        <w:t>3</w:t>
      </w:r>
      <w:r w:rsidR="007C719E" w:rsidRPr="007C719E">
        <w:fldChar w:fldCharType="end"/>
      </w:r>
      <w:r w:rsidR="007C719E">
        <w:t xml:space="preserve">) </w:t>
      </w:r>
      <w:r w:rsidR="00894D7C">
        <w:t>was the only significant explanatory variable (P &lt; 0.0001), accounting</w:t>
      </w:r>
      <w:r w:rsidR="007C719E">
        <w:t xml:space="preserve"> for 90.3 % of the observed variation in identif</w:t>
      </w:r>
      <w:r w:rsidR="00894D7C">
        <w:t>ied ALVE number once the</w:t>
      </w:r>
      <w:r w:rsidR="007C719E">
        <w:t xml:space="preserve"> other </w:t>
      </w:r>
      <w:r w:rsidR="00894D7C">
        <w:t>variables were accounted for. Neither library category or average genome coverage were significant variables, although these were highly correlated</w:t>
      </w:r>
      <w:r>
        <w:t xml:space="preserve"> with</w:t>
      </w:r>
      <w:r w:rsidR="00976700">
        <w:t xml:space="preserve"> each other</w:t>
      </w:r>
      <w:r w:rsidR="00894D7C">
        <w:t xml:space="preserve">. Within the GLM </w:t>
      </w:r>
      <w:r>
        <w:t xml:space="preserve">analysis </w:t>
      </w:r>
      <w:r w:rsidR="00894D7C">
        <w:t>they cumulatively accounted for 6.1 % of the observed variation, but 97.5 % of this was common between the two variables.</w:t>
      </w:r>
      <w:r w:rsidR="00940F89">
        <w:t xml:space="preserve"> This suggests that the use of different sequencing library types has not biased the generated dendrogram.</w:t>
      </w:r>
    </w:p>
    <w:p w14:paraId="6C4A2054" w14:textId="77777777" w:rsidR="00C22643" w:rsidRDefault="00C22643" w:rsidP="00391005">
      <w:pPr>
        <w:pStyle w:val="ListParagraph"/>
      </w:pPr>
    </w:p>
    <w:p w14:paraId="528ED267" w14:textId="039B449F" w:rsidR="00E667A9" w:rsidRDefault="00E667A9" w:rsidP="00E667A9">
      <w:pPr>
        <w:pStyle w:val="Heading4"/>
      </w:pPr>
      <w:r>
        <w:t>Clustering by Principal Coordinate Analysis (PCoA)</w:t>
      </w:r>
    </w:p>
    <w:p w14:paraId="1DEFD433" w14:textId="2DB6CC43" w:rsidR="00557A9F" w:rsidRDefault="005C5613" w:rsidP="00391005">
      <w:pPr>
        <w:pStyle w:val="ListParagraph"/>
      </w:pPr>
      <w:r>
        <w:t>PCoA was conducted</w:t>
      </w:r>
      <w:r w:rsidR="00E667A9">
        <w:t xml:space="preserve"> to</w:t>
      </w:r>
      <w:r w:rsidR="00457943">
        <w:t xml:space="preserve"> provide</w:t>
      </w:r>
      <w:r w:rsidR="00E667A9">
        <w:t xml:space="preserve"> support </w:t>
      </w:r>
      <w:r w:rsidR="00457943">
        <w:t xml:space="preserve">for </w:t>
      </w:r>
      <w:r w:rsidR="00E667A9">
        <w:t>the conclusions from the hierarchical clustering presented above. This methodology takes multivariate datasets</w:t>
      </w:r>
      <w:r w:rsidR="00BB0CA4">
        <w:t xml:space="preserve"> and attempts to reduce the number of dimensions used to explain dataset variance and relatedness. However, the highly lineage specific ALVE content meant that the first thirteen eigenvalues significantly contributed to explaining the observed variance, meaning that a plot would need to have thirteen dimensions to best visualise the relatedn</w:t>
      </w:r>
      <w:r w:rsidR="00976700">
        <w:t>ess between the data. T</w:t>
      </w:r>
      <w:r w:rsidR="00BB0CA4">
        <w:t>his is impossible</w:t>
      </w:r>
      <w:r w:rsidR="00976700">
        <w:t xml:space="preserve"> on paper</w:t>
      </w:r>
      <w:r w:rsidR="00BB0CA4">
        <w:t>, so multiple plot versions were trialled using two or three of the largest eigenvalues, but none created good low-dimensional visualisation of the data.</w:t>
      </w:r>
    </w:p>
    <w:p w14:paraId="28FD754D" w14:textId="6AE7CE27" w:rsidR="00F2789B" w:rsidRDefault="005E735A" w:rsidP="00391005">
      <w:pPr>
        <w:pStyle w:val="ListParagraph"/>
      </w:pPr>
      <w:r>
        <w:t>Reduced dat</w:t>
      </w:r>
      <w:r w:rsidR="00E643AD">
        <w:t>asets which included either</w:t>
      </w:r>
      <w:r>
        <w:t xml:space="preserve"> shared ALVEs</w:t>
      </w:r>
      <w:r w:rsidR="00E643AD">
        <w:t xml:space="preserve"> across all datasets, only</w:t>
      </w:r>
      <w:r>
        <w:t xml:space="preserve"> ALVEs found in layers, or only shared ALVEs found in layers were also analysed by PCoA,</w:t>
      </w:r>
      <w:r w:rsidR="00E643AD">
        <w:t xml:space="preserve"> but these</w:t>
      </w:r>
      <w:r>
        <w:t xml:space="preserve"> had large contributions from at least eight eigenv</w:t>
      </w:r>
      <w:r w:rsidR="00976700">
        <w:t>alues. T</w:t>
      </w:r>
      <w:r>
        <w:t>his</w:t>
      </w:r>
      <w:r w:rsidR="00E643AD">
        <w:t xml:space="preserve"> made clear plotting impossible and</w:t>
      </w:r>
      <w:r>
        <w:t xml:space="preserve"> likely reflects the large variation in lineage-specific ALVE content. Further dataset reductions were not trialled as this would defeat the aim of clustering.</w:t>
      </w:r>
    </w:p>
    <w:p w14:paraId="1E89C2F2" w14:textId="77777777" w:rsidR="00D4225A" w:rsidRDefault="00D4225A" w:rsidP="00391005">
      <w:pPr>
        <w:pStyle w:val="ListParagraph"/>
      </w:pPr>
    </w:p>
    <w:p w14:paraId="70EC6834" w14:textId="6876ED90" w:rsidR="0085187F" w:rsidRPr="0085187F" w:rsidRDefault="00D4225A" w:rsidP="0085187F">
      <w:pPr>
        <w:pStyle w:val="Heading2"/>
      </w:pPr>
      <w:bookmarkStart w:id="627" w:name="_Toc485721676"/>
      <w:bookmarkStart w:id="628" w:name="_Toc486787256"/>
      <w:bookmarkStart w:id="629" w:name="_Toc486787404"/>
      <w:r>
        <w:lastRenderedPageBreak/>
        <w:t>Discussion</w:t>
      </w:r>
      <w:bookmarkEnd w:id="627"/>
      <w:bookmarkEnd w:id="628"/>
      <w:bookmarkEnd w:id="629"/>
    </w:p>
    <w:p w14:paraId="682992DA" w14:textId="2BBCC8C0" w:rsidR="00D4225A" w:rsidRDefault="00153FA8" w:rsidP="0085187F">
      <w:pPr>
        <w:pStyle w:val="Heading3"/>
      </w:pPr>
      <w:bookmarkStart w:id="630" w:name="_Ref485324130"/>
      <w:bookmarkStart w:id="631" w:name="_Toc485721677"/>
      <w:bookmarkStart w:id="632" w:name="_Toc486787257"/>
      <w:bookmarkStart w:id="633" w:name="_Toc486787405"/>
      <w:r>
        <w:t>Applying</w:t>
      </w:r>
      <w:r w:rsidR="0085187F">
        <w:t xml:space="preserve"> the ALVE identification pipeline to analyse </w:t>
      </w:r>
      <w:r>
        <w:t>multiple datasets</w:t>
      </w:r>
      <w:bookmarkEnd w:id="630"/>
      <w:bookmarkEnd w:id="631"/>
      <w:bookmarkEnd w:id="632"/>
      <w:bookmarkEnd w:id="633"/>
    </w:p>
    <w:p w14:paraId="20323714" w14:textId="1BB7F9A4" w:rsidR="0085187F" w:rsidRDefault="00310118" w:rsidP="00391005">
      <w:pPr>
        <w:pStyle w:val="ListParagraph"/>
      </w:pPr>
      <w:r>
        <w:t>The ALVE identification pip</w:t>
      </w:r>
      <w:r w:rsidR="00A96720">
        <w:t>eline was used successfully</w:t>
      </w:r>
      <w:r w:rsidR="005655E9">
        <w:t xml:space="preserve"> on a wide range of paired end W</w:t>
      </w:r>
      <w:r>
        <w:t xml:space="preserve">GS datasets. The only notable issue with </w:t>
      </w:r>
      <w:r w:rsidR="00A96720">
        <w:t>pipeline</w:t>
      </w:r>
      <w:r>
        <w:t xml:space="preserve"> performance was with the RJF-C dataset, where the pipeline detected a very large number of putative insertion sites which were </w:t>
      </w:r>
      <w:r w:rsidR="00153FA8">
        <w:t xml:space="preserve">then </w:t>
      </w:r>
      <w:r>
        <w:t xml:space="preserve">dismissed after visual inspection in IGV. This seemed to be due to the presence of other structural variation in the genome which resulted in a large proportion of incongruently mapped reads. The manual </w:t>
      </w:r>
      <w:r w:rsidR="00153FA8">
        <w:t xml:space="preserve">insertion </w:t>
      </w:r>
      <w:r>
        <w:t>site check was the most laborious step of the pipeline, particularly with the large number of detected sites in some of the an</w:t>
      </w:r>
      <w:r w:rsidR="005C5613">
        <w:t>alysed datasets when compared with</w:t>
      </w:r>
      <w:r>
        <w:t xml:space="preserve"> the Hy-Line and J-Line </w:t>
      </w:r>
      <w:r w:rsidR="00153FA8">
        <w:t xml:space="preserve">analysis </w:t>
      </w:r>
      <w:r>
        <w:t>in Chapter 6. A possible improvement to the S6_</w:t>
      </w:r>
      <w:r w:rsidRPr="00EE421F">
        <w:t>extract_putative_sites.py</w:t>
      </w:r>
      <w:r>
        <w:t xml:space="preserve"> script</w:t>
      </w:r>
      <w:r w:rsidR="00153FA8">
        <w:t xml:space="preserve"> would be to check clipped sequence homology to ALVE sequence, r</w:t>
      </w:r>
      <w:r w:rsidR="00387FD8">
        <w:t>ather than automatically including</w:t>
      </w:r>
      <w:r w:rsidR="00153FA8">
        <w:t xml:space="preserve"> any sites which have clipped reads. Short sequence</w:t>
      </w:r>
      <w:r w:rsidR="00387FD8">
        <w:t xml:space="preserve"> BLAST</w:t>
      </w:r>
      <w:r w:rsidR="00153FA8">
        <w:t xml:space="preserve"> parameters and appropriate thresholds would be required, and sites would still need to be checked manually, but this may reduce some of the noise. </w:t>
      </w:r>
    </w:p>
    <w:p w14:paraId="4B48D7A9" w14:textId="58C3AE2B" w:rsidR="00A83EE4" w:rsidRDefault="00A96720" w:rsidP="00391005">
      <w:pPr>
        <w:pStyle w:val="ListParagraph"/>
      </w:pPr>
      <w:r>
        <w:t>A</w:t>
      </w:r>
      <w:r w:rsidR="00153FA8">
        <w:t xml:space="preserve">nalysis of </w:t>
      </w:r>
      <w:r>
        <w:t xml:space="preserve">the </w:t>
      </w:r>
      <w:r w:rsidR="005655E9">
        <w:t>single end W</w:t>
      </w:r>
      <w:r w:rsidR="00153FA8">
        <w:t>GS datasets was far less successful. No sites were detected in either the Kauai or Andersson datasets, and sensitivity was much reduced in the Hy-Line pseudo single end d</w:t>
      </w:r>
      <w:r>
        <w:t>ata. R</w:t>
      </w:r>
      <w:r w:rsidR="00387FD8">
        <w:t xml:space="preserve">eduction in sensitivity was due to </w:t>
      </w:r>
      <w:r w:rsidR="009967F4">
        <w:t>lower insertion site</w:t>
      </w:r>
      <w:r w:rsidR="00387FD8">
        <w:t xml:space="preserve"> coverage when reads with only a short clipped section were lost (compared to the Hy-Line and J-L</w:t>
      </w:r>
      <w:r>
        <w:t>ine paired end analyses) as these</w:t>
      </w:r>
      <w:r w:rsidR="00387FD8">
        <w:t xml:space="preserve"> had no viral-mapped mate to retain the read </w:t>
      </w:r>
      <w:r>
        <w:t>during</w:t>
      </w:r>
      <w:r w:rsidR="00387FD8">
        <w:t xml:space="preserve"> read subtraction. This effect was compounded in the Kauai and Andersson datasets by the</w:t>
      </w:r>
      <w:r w:rsidR="009967F4">
        <w:t>ir</w:t>
      </w:r>
      <w:r w:rsidR="00387FD8">
        <w:t xml:space="preserve"> shorter read</w:t>
      </w:r>
      <w:r w:rsidR="009967F4">
        <w:t xml:space="preserve"> length</w:t>
      </w:r>
      <w:r w:rsidR="00A83EE4">
        <w:t>s</w:t>
      </w:r>
      <w:r w:rsidR="009967F4">
        <w:t xml:space="preserve">, as at least </w:t>
      </w:r>
      <w:r w:rsidR="00387FD8">
        <w:t>25 bp was needed fo</w:t>
      </w:r>
      <w:r w:rsidR="009967F4">
        <w:t>r BWA mapping. T</w:t>
      </w:r>
      <w:r w:rsidR="00387FD8">
        <w:t xml:space="preserve">he Andersson reads (35 bp) could </w:t>
      </w:r>
      <w:r w:rsidR="009967F4">
        <w:t xml:space="preserve">therefore </w:t>
      </w:r>
      <w:r w:rsidR="00387FD8">
        <w:t>not map to both the reference genome and retro</w:t>
      </w:r>
      <w:r w:rsidR="00A83EE4">
        <w:t>viral pseudochromosome, and</w:t>
      </w:r>
      <w:r w:rsidR="00387FD8">
        <w:t xml:space="preserve"> the chance of mapping was reduced for the Kauai 75 bp reads compared to the 101 bp </w:t>
      </w:r>
      <w:r w:rsidR="00A83EE4">
        <w:t>Illumina reads of</w:t>
      </w:r>
      <w:r w:rsidR="00387FD8">
        <w:t xml:space="preserve"> the pseudo single end data. Detection was further limited by the</w:t>
      </w:r>
      <w:r w:rsidR="00A83EE4">
        <w:t xml:space="preserve"> overall</w:t>
      </w:r>
      <w:r w:rsidR="00387FD8">
        <w:t xml:space="preserve"> low average coverage in both these data sets (&lt; </w:t>
      </w:r>
      <w:r w:rsidR="009967F4">
        <w:t xml:space="preserve">5X). </w:t>
      </w:r>
      <w:r w:rsidR="00A83EE4">
        <w:t xml:space="preserve">This is a common problem for the generally older single end datasets, as these were completed when sequencing </w:t>
      </w:r>
      <w:r w:rsidR="00836DD5">
        <w:t xml:space="preserve">chemistry </w:t>
      </w:r>
      <w:r w:rsidR="00A83EE4">
        <w:t>was more</w:t>
      </w:r>
      <w:r w:rsidR="00836DD5">
        <w:t xml:space="preserve"> expensive</w:t>
      </w:r>
      <w:r w:rsidR="00A83EE4">
        <w:t xml:space="preserve"> </w:t>
      </w:r>
      <w:r w:rsidR="00E8536E">
        <w:t xml:space="preserve">and </w:t>
      </w:r>
      <w:r w:rsidR="00A83EE4">
        <w:t>less productive.</w:t>
      </w:r>
    </w:p>
    <w:p w14:paraId="7BFE1907" w14:textId="1AF3A5EF" w:rsidR="0085187F" w:rsidRDefault="005655E9" w:rsidP="00391005">
      <w:pPr>
        <w:pStyle w:val="ListParagraph"/>
      </w:pPr>
      <w:r>
        <w:t>Paired end W</w:t>
      </w:r>
      <w:r w:rsidR="00A83EE4">
        <w:t xml:space="preserve">GS datasets are far more commonplace now than single end data, and it would be unwise for any researcher to commission new single end sequencing. The </w:t>
      </w:r>
      <w:r w:rsidR="00A83EE4">
        <w:lastRenderedPageBreak/>
        <w:t xml:space="preserve">single end ALVE identification pipeline is therefore useful for Illumina single end data, or perhaps very </w:t>
      </w:r>
      <w:r w:rsidR="00A96720">
        <w:t>high coverage 75 bp SOLiD reads.</w:t>
      </w:r>
    </w:p>
    <w:p w14:paraId="1C5DC7B7" w14:textId="77777777" w:rsidR="00A83EE4" w:rsidRDefault="00A83EE4" w:rsidP="00391005">
      <w:pPr>
        <w:pStyle w:val="ListParagraph"/>
      </w:pPr>
    </w:p>
    <w:p w14:paraId="4F9504EA" w14:textId="70ACD5DF" w:rsidR="0085187F" w:rsidRDefault="0085187F" w:rsidP="0085187F">
      <w:pPr>
        <w:pStyle w:val="Heading4"/>
      </w:pPr>
      <w:r>
        <w:t>Future applications: adapting to long read sequencing data</w:t>
      </w:r>
    </w:p>
    <w:p w14:paraId="19FFF088" w14:textId="26CABE77" w:rsidR="00032985" w:rsidRDefault="00387FD8" w:rsidP="00391005">
      <w:pPr>
        <w:pStyle w:val="ListParagraph"/>
      </w:pPr>
      <w:r>
        <w:t>Long</w:t>
      </w:r>
      <w:r w:rsidR="00032985">
        <w:t xml:space="preserve"> read technologies offer an exciting opportunity for the study of ALVE insertions, and structural variants more widely. Long reads facilitate unique repetitive read mapping (producing better assemblies) and may include the full ALVE sequence within a read. This would enable initial ALVE characterisation without the need for the additional sequencing</w:t>
      </w:r>
      <w:r w:rsidR="00A96720">
        <w:t>,</w:t>
      </w:r>
      <w:r w:rsidR="00032985">
        <w:t xml:space="preserve"> </w:t>
      </w:r>
      <w:r w:rsidR="00A96720">
        <w:t xml:space="preserve">as </w:t>
      </w:r>
      <w:r w:rsidR="00032985">
        <w:t xml:space="preserve">performed for the Hy-Line sites (section </w:t>
      </w:r>
      <w:r w:rsidR="00032985">
        <w:fldChar w:fldCharType="begin" w:fldLock="1"/>
      </w:r>
      <w:r w:rsidR="00032985">
        <w:instrText xml:space="preserve"> REF _Ref476745718 \r \h </w:instrText>
      </w:r>
      <w:r w:rsidR="00032985">
        <w:fldChar w:fldCharType="separate"/>
      </w:r>
      <w:r w:rsidR="002C549C">
        <w:t>6.6</w:t>
      </w:r>
      <w:r w:rsidR="00032985">
        <w:fldChar w:fldCharType="end"/>
      </w:r>
      <w:r w:rsidR="00032985">
        <w:t xml:space="preserve">).  </w:t>
      </w:r>
    </w:p>
    <w:p w14:paraId="1CE65E73" w14:textId="0269F3DA" w:rsidR="00032985" w:rsidRDefault="00032985" w:rsidP="00391005">
      <w:pPr>
        <w:pStyle w:val="ListParagraph"/>
      </w:pPr>
      <w:r>
        <w:t>Recent work has successfully used long read technology to identify retrotransposon insertions and deletions</w:t>
      </w:r>
      <w:r w:rsidR="0024621C">
        <w:t xml:space="preserve">, with the authors developing the PBHoney program to automate detection of all observed variants </w:t>
      </w:r>
      <w:r w:rsidR="0024621C">
        <w:fldChar w:fldCharType="begin" w:fldLock="1"/>
      </w:r>
      <w:r w:rsidR="0024621C">
        <w:instrText>ADDIN CSL_CITATION { "citationItems" : [ { "id" : "ITEM-1", "itemData" : { "DOI" : "10.1186/1471-2105-15-180", "ISSN" : "1471-2105", "PMID" : "24915764", "abstract" : "BACKGROUND: As resequencing projects become more prevalent across a larger number of species, accurate variant identification will further elucidate the nature of genetic diversity and become increasingly relevant in genomic studies. However, the identification of larger genomic variants via DNA sequencing is limited by both the incomplete information provided by sequencing reads and the nature of the genome itself. Long-read sequencing technologies provide high-resolution access to structural variants often inaccessible to shorter reads.\\n\\nRESULTS: We present PBHoney, software that considers both intra-read discordance and soft-clipped tails of long reads (&gt;10,000 bp) to identify structural variants. As a proof of concept, we identify four structural variants and two genomic features in a strain of Escherichia coli with PBHoney and validate them via de novo assembly. PBHoney is available for download at http://sourceforge.net/projects/pb-jelly/.\\n\\nCONCLUSIONS: Implementing two variant-identification approaches that exploit the high mappability of long reads, PBHoney is demonstrated as being effective at detecting larger structural variants using whole-genome Pacific Biosciences RS II Continuous Long Reads. Furthermore, PBHoney is able to discover two genomic features: the existence of Rac-Phage in isolate; evidence of E. coli's circular genome.", "author" : [ { "dropping-particle" : "", "family" : "English", "given" : "Adam C", "non-dropping-particle" : "", "parse-names" : false, "suffix" : "" }, { "dropping-particle" : "", "family" : "Salerno", "given" : "William J", "non-dropping-particle" : "", "parse-names" : false, "suffix" : "" }, { "dropping-particle" : "", "family" : "Reid", "given" : "Jeffrey G", "non-dropping-particle" : "", "parse-names" : false, "suffix" : "" } ], "container-title" : "BMC bioinformatics", "id" : "ITEM-1", "issued" : { "date-parts" : [ [ "2014" ] ] }, "page" : "180", "title" : "PBHoney: identifying genomic variants via long-read discordance and interrupted mapping.", "type" : "article-journal", "volume" : "15" }, "uris" : [ "http://www.mendeley.com/documents/?uuid=eee48bb1-e49f-4ff4-9099-df896deb4042" ] } ], "mendeley" : { "formattedCitation" : "(English et al. 2014)", "plainTextFormattedCitation" : "(English et al. 2014)", "previouslyFormattedCitation" : "(English et al. 2014)" }, "properties" : { "noteIndex" : 0 }, "schema" : "https://github.com/citation-style-language/schema/raw/master/csl-citation.json" }</w:instrText>
      </w:r>
      <w:r w:rsidR="0024621C">
        <w:fldChar w:fldCharType="separate"/>
      </w:r>
      <w:r w:rsidR="0024621C" w:rsidRPr="0024621C">
        <w:rPr>
          <w:noProof/>
        </w:rPr>
        <w:t>(English et al. 2014)</w:t>
      </w:r>
      <w:r w:rsidR="0024621C">
        <w:fldChar w:fldCharType="end"/>
      </w:r>
      <w:r>
        <w:t>.</w:t>
      </w:r>
      <w:r w:rsidR="0024621C">
        <w:t xml:space="preserve"> I would recommend the construction of an identification approach specific to ALVEs to reduce search effort and post-PBHoney filtering. This would follow a very similar approach to the pipeline for short read data developed in this project: </w:t>
      </w:r>
      <w:r w:rsidR="00AA4F77">
        <w:t>mapping</w:t>
      </w:r>
      <w:r w:rsidR="0024621C">
        <w:t xml:space="preserve"> reads to a pseudochromosome using a long read aligner such as BLASR </w:t>
      </w:r>
      <w:r w:rsidR="0024621C">
        <w:fldChar w:fldCharType="begin" w:fldLock="1"/>
      </w:r>
      <w:r w:rsidR="008C59C6">
        <w:instrText>ADDIN CSL_CITATION { "citationItems" : [ { "id" : "ITEM-1", "itemData" : { "DOI" : "10.1186/1471-2105-13-238", "ISBN" : "1471-2105 (Electronic)\\n1471-2105 (Linking)", "ISSN" : "1471-2105", "PMID" : "22988817", "abstract" : "BACKGROUND: Recent methods have been developed to perform high-throughput sequencing of DNA by Single Molecule Sequencing (SMS). While Next-Generation sequencing methods may produce reads up to several hundred bases long, SMS sequencing produces reads up to tens of kilobases long. Existing alignment methods are either too inefficient for high-throughput datasets, or not sensitive enough to align SMS reads, which have a higher error rate than Next-Generation sequencing.\\n\\nRESULTS: We describe the method BLASR (Basic Local Alignment with Successive Refinement) for mapping Single Molecule Sequencing (SMS) reads that are thousands of bases long, with divergence between the read and genome dominated by insertion and deletion error. The method is benchmarked using both simulated reads and reads from a bacterial sequencing project. We also present a combinatorial model of sequencing error that motivates why our approach is effective.\\n\\nCONCLUSIONS: The results indicate that it is possible to map SMS reads with high accuracy and speed. Furthermore, the inferences made on the mapability of SMS reads using our combinatorial model of sequencing error are in agreement with the mapping accuracy demonstrated on simulated reads.", "author" : [ { "dropping-particle" : "", "family" : "Chaisson", "given" : "Mark J", "non-dropping-particle" : "", "parse-names" : false, "suffix" : "" }, { "dropping-particle" : "", "family" : "Tesler", "given" : "Glenn", "non-dropping-particle" : "", "parse-names" : false, "suffix" : "" } ], "container-title" : "BMC bioinformatics", "id" : "ITEM-1", "issued" : { "date-parts" : [ [ "2012" ] ] }, "page" : "238", "title" : "Mapping single molecule sequencing reads using basic local alignment with successive refinement (BLASR): application and theory.", "type" : "article-journal", "volume" : "13" }, "uris" : [ "http://www.mendeley.com/documents/?uuid=e053eb0a-0d8a-4bfc-b050-e7cab5c40ea7" ] } ], "mendeley" : { "formattedCitation" : "(Chaisson &amp; Tesler 2012)", "plainTextFormattedCitation" : "(Chaisson &amp; Tesler 2012)", "previouslyFormattedCitation" : "(Chaisson &amp; Tesler 2012)" }, "properties" : { "noteIndex" : 0 }, "schema" : "https://github.com/citation-style-language/schema/raw/master/csl-citation.json" }</w:instrText>
      </w:r>
      <w:r w:rsidR="0024621C">
        <w:fldChar w:fldCharType="separate"/>
      </w:r>
      <w:r w:rsidR="0024621C" w:rsidRPr="0024621C">
        <w:rPr>
          <w:noProof/>
        </w:rPr>
        <w:t>(Chaisson &amp; Tesler 2012)</w:t>
      </w:r>
      <w:r w:rsidR="0024621C">
        <w:fldChar w:fldCharType="end"/>
      </w:r>
      <w:r w:rsidR="00AA4F77">
        <w:t>, alignment of</w:t>
      </w:r>
      <w:r w:rsidR="0024621C">
        <w:t xml:space="preserve"> mapped reads to the reference genome,</w:t>
      </w:r>
      <w:r w:rsidR="00AA4F77">
        <w:t xml:space="preserve"> and then filtering by t</w:t>
      </w:r>
      <w:r w:rsidR="0024621C">
        <w:t>he alignment CIGAR strings to identify clipped reads or reads with large internal insertions</w:t>
      </w:r>
      <w:r w:rsidR="00AA4F77">
        <w:t xml:space="preserve"> (</w:t>
      </w:r>
      <w:r w:rsidR="00310118">
        <w:t xml:space="preserve">likely </w:t>
      </w:r>
      <w:r w:rsidR="00AA4F77">
        <w:t>the whole ALVE sequence)</w:t>
      </w:r>
      <w:r w:rsidR="00C87BC6">
        <w:t>. Secondary alignments may need to be considered if reads containing long intact ALVEs preferentially mapped to the assembled ALVE-RJF sequence leaving the true, flanking genomic DNA as a clipped alignment.</w:t>
      </w:r>
    </w:p>
    <w:p w14:paraId="1D2F2362" w14:textId="77777777" w:rsidR="0085187F" w:rsidRDefault="0085187F" w:rsidP="00391005">
      <w:pPr>
        <w:pStyle w:val="ListParagraph"/>
      </w:pPr>
    </w:p>
    <w:p w14:paraId="6A74926B" w14:textId="32E59FD3" w:rsidR="0085187F" w:rsidRDefault="0085187F" w:rsidP="0085187F">
      <w:pPr>
        <w:pStyle w:val="Heading3"/>
      </w:pPr>
      <w:bookmarkStart w:id="634" w:name="_Toc485721678"/>
      <w:bookmarkStart w:id="635" w:name="_Toc486787258"/>
      <w:bookmarkStart w:id="636" w:name="_Toc486787406"/>
      <w:r>
        <w:t>ALVE diversity across chicken populations</w:t>
      </w:r>
      <w:bookmarkEnd w:id="634"/>
      <w:bookmarkEnd w:id="635"/>
      <w:bookmarkEnd w:id="636"/>
    </w:p>
    <w:p w14:paraId="7B7144A5" w14:textId="0DB7722A" w:rsidR="0085187F" w:rsidRDefault="008443B6" w:rsidP="00391005">
      <w:pPr>
        <w:pStyle w:val="ListParagraph"/>
      </w:pPr>
      <w:r>
        <w:t xml:space="preserve">A total of 322 different ALVEs were identified in this study. When combined with the recent targeted sequencing approach by Rutherford and colleagues (2016), this brings the total number of identified ALVEs to over 430, almost nine times as many as were known at the start of this project. This highlights the diversity of ALVEs across chickens and the large </w:t>
      </w:r>
      <w:r w:rsidR="008C59C6">
        <w:t>potential for phenotypic host effects,</w:t>
      </w:r>
      <w:r>
        <w:t xml:space="preserve"> given the high structural integrity of these young retroviral insertions. This number is likely also an underestimate, even of </w:t>
      </w:r>
      <w:r>
        <w:lastRenderedPageBreak/>
        <w:t>the lines which were analysed, due to population sampling and the use of pooled sequencing libraries. In my work, only 19.3 % of identified ALVEs wer</w:t>
      </w:r>
      <w:r w:rsidR="008C59C6">
        <w:t>e shared between multiple lines</w:t>
      </w:r>
      <w:r>
        <w:t xml:space="preserve"> </w:t>
      </w:r>
      <w:r w:rsidR="008C59C6">
        <w:t>(</w:t>
      </w:r>
      <w:r>
        <w:t>some of which</w:t>
      </w:r>
      <w:r w:rsidR="008C59C6">
        <w:t xml:space="preserve"> were experimental sister lines)</w:t>
      </w:r>
      <w:r>
        <w:t xml:space="preserve"> and 81.1 % were previously uncharacterised. </w:t>
      </w:r>
    </w:p>
    <w:p w14:paraId="3A8D200F" w14:textId="1DCDB082" w:rsidR="002354B4" w:rsidRDefault="003D2F66" w:rsidP="00391005">
      <w:pPr>
        <w:pStyle w:val="ListParagraph"/>
      </w:pPr>
      <w:r>
        <w:t>Overall, ALVEs showed no bias for the GC content of their insertion site region, but insertion hexamers were significantly more GC rich than would be e</w:t>
      </w:r>
      <w:r w:rsidR="00450E6A">
        <w:t>xpected with</w:t>
      </w:r>
      <w:r w:rsidR="00F46593">
        <w:t xml:space="preserve"> random insertion</w:t>
      </w:r>
      <w:r w:rsidR="00450E6A">
        <w:t>s</w:t>
      </w:r>
      <w:r w:rsidR="00F46593">
        <w:t>.</w:t>
      </w:r>
      <w:r w:rsidR="008C59C6">
        <w:t xml:space="preserve"> </w:t>
      </w:r>
      <w:r w:rsidR="00450E6A">
        <w:t>Interestingly, alpha- and betaretroviruses have been found to exhibit the lowest integration site preference amongst retroviruses, appearing almost random</w:t>
      </w:r>
      <w:r w:rsidR="00E643AD">
        <w:t xml:space="preserve"> </w:t>
      </w:r>
      <w:r w:rsidR="00E643AD">
        <w:fldChar w:fldCharType="begin" w:fldLock="1"/>
      </w:r>
      <w:r w:rsidR="00C759A9">
        <w:instrText>ADDIN CSL_CITATION { "citationItems" : [ { "id" : "ITEM-1", "itemData" : { "DOI" : "10.1186/s12977-015-0167-3", "ISBN" : "1742-4690", "ISSN" : "1742-4690", "PMID" : "25924943", "abstract" : "BACKGROUND: Retroviral integration favors weakly conserved palindrome sequences at the sites of viral DNA joining and generates a short (4-6 bp) duplication of host DNA flanking the provirus. We previously determined two key parameters that underlie the target DNA preference for prototype foamy virus (PFV) and human immunodeficiency virus type 1 (HIV-1) integration: flexible pyrimidine (Y)/purine (R) dinucleotide steps at the centers of the integration sites, and base contacts with specific integrase residues, such as Ala188 in PFV integrase and Ser119 in HIV-1 integrase. Here we examined the dinucleotide preference profiles of a range of retroviruses and correlated these findings with respect to length of target site duplication (TSD).\\n\\nRESULTS: Integration datasets covering six viral genera and the three lengths of TSD were accessed from the literature or generated in this work. All viruses exhibited significant enrichments of flexible YR and/or selection against rigid RY dinucleotide steps at the centers of integration sites, and the magnitude of this enrichment inversely correlated with TSD length. The DNA sequence environments of in vivo-generated HIV-1 and PFV sites were consistent with integration into nucleosomes, however, the local sequence preferences were largely independent of target DNA chromatinization. Integration sites derived from cells infected with the gammaretrovirus reticuloendotheliosis virus strain A (Rev-A), which yields a 5 bp TSD, revealed the targeting of global chromatin features most similar to those of Moloney murine leukemia virus, which yields a 4 bp duplication. In vitro assays revealed that Rev-A integrase interacts with and is catalytically stimulated by cellular bromodomain containing 4 protein.\\n\\nCONCLUSIONS: Retroviral integrases have likely evolved to bend target DNA to fit scissile phosphodiester bonds into two active sites for integration, and viruses that cut target DNA with a 6 bp stagger may not need to bend DNA as sharply as viruses that cleave with 4 bp or 5 bp staggers. For PFV and HIV-1, the selection of signature bases and central flexibility at sites of integration is largely independent of chromatin structure. Furthermore, global Rev-A integration is likely directed to chromatin features by bromodomain and extraterminal domain proteins.", "author" : [ { "dropping-particle" : "", "family" : "Serrao", "given" : "Erik", "non-dropping-particle" : "", "parse-names" : false, "suffix" : "" }, { "dropping-particle" : "", "family" : "Ballandras-Colas", "given" : "Allison", "non-dropping-particle" : "", "parse-names" : false, "suffix" : "" }, { "dropping-particle" : "", "family" : "Cherepanov", "given" : "Peter", "non-dropping-particle" : "", "parse-names" : false, "suffix" : "" }, { "dropping-particle" : "", "family" : "Maertens", "given" : "Goedele N", "non-dropping-particle" : "", "parse-names" : false, "suffix" : "" }, { "dropping-particle" : "", "family" : "Engelman", "given" : "Alan N", "non-dropping-particle" : "", "parse-names" : false, "suffix" : "" } ], "container-title" : "Retrovirology", "id" : "ITEM-1", "issued" : { "date-parts" : [ [ "2015" ] ] }, "page" : "39", "title" : "Key determinants of target DNA recognition by retroviral intasomes.", "type" : "article-journal", "volume" : "12" }, "uris" : [ "http://www.mendeley.com/documents/?uuid=594c84d0-f7e5-4faa-8c6c-6106e3fadc96" ] } ], "mendeley" : { "formattedCitation" : "(Serrao et al. 2015)", "plainTextFormattedCitation" : "(Serrao et al. 2015)", "previouslyFormattedCitation" : "(Serrao et al. 2015)" }, "properties" : { "noteIndex" : 0 }, "schema" : "https://github.com/citation-style-language/schema/raw/master/csl-citation.json" }</w:instrText>
      </w:r>
      <w:r w:rsidR="00E643AD">
        <w:fldChar w:fldCharType="separate"/>
      </w:r>
      <w:r w:rsidR="00E643AD" w:rsidRPr="00E643AD">
        <w:rPr>
          <w:noProof/>
        </w:rPr>
        <w:t>(Serrao et al. 2015)</w:t>
      </w:r>
      <w:r w:rsidR="00E643AD">
        <w:fldChar w:fldCharType="end"/>
      </w:r>
      <w:r w:rsidR="00450E6A">
        <w:t xml:space="preserve">. However, like other retroviruses, ALV site choice </w:t>
      </w:r>
      <w:r w:rsidR="008873BE">
        <w:t>is dependent on</w:t>
      </w:r>
      <w:r w:rsidR="00450E6A">
        <w:t xml:space="preserve"> the ease of access for the integrase, with insertion sequences exhibiting A-philicity, where the DNA has A-DNA-like structure rather than typical B-DNA, producing a larger minor groove in the DNA helix </w:t>
      </w:r>
      <w:r w:rsidR="00450E6A">
        <w:fldChar w:fldCharType="begin" w:fldLock="1"/>
      </w:r>
      <w:r w:rsidR="00C936BA">
        <w:instrText>ADDIN CSL_CITATION { "citationItems" : [ { "id" : "ITEM-1", "itemData" : { "DOI" : "10.1128/JVI.79.8.5211", "author" : [ { "dropping-particle" : "", "family" : "Wu", "given" : "Xiaolin", "non-dropping-particle" : "", "parse-names" : false, "suffix" : "" }, { "dropping-particle" : "", "family" : "Li", "given" : "Yuan", "non-dropping-particle" : "", "parse-names" : false, "suffix" : "" }, { "dropping-particle" : "", "family" : "Crise", "given" : "Bruce", "non-dropping-particle" : "", "parse-names" : false, "suffix" : "" }, { "dropping-particle" : "", "family" : "Burgess", "given" : "Shawn M", "non-dropping-particle" : "", "parse-names" : false, "suffix" : "" }, { "dropping-particle" : "", "family" : "Munroe", "given" : "David J", "non-dropping-particle" : "", "parse-names" : false, "suffix" : "" } ], "container-title" : "Journal of Virology", "id" : "ITEM-1", "issue" : "8", "issued" : { "date-parts" : [ [ "2005" ] ] }, "page" : "5211-5214", "title" : "Weak Palindromic Consensus Sequences Are a Common Feature Found at the Integration Target Sites of Many Retroviruses", "type" : "article-journal", "volume" : "79" }, "uris" : [ "http://www.mendeley.com/documents/?uuid=440e2013-cdb6-4955-9d2a-abf9551c43fc" ] }, { "id" : "ITEM-2", "itemData" : { "DOI" : "10.1186/s12977-015-0167-3", "ISBN" : "1742-4690", "ISSN" : "1742-4690", "PMID" : "25924943", "abstract" : "BACKGROUND: Retroviral integration favors weakly conserved palindrome sequences at the sites of viral DNA joining and generates a short (4-6 bp) duplication of host DNA flanking the provirus. We previously determined two key parameters that underlie the target DNA preference for prototype foamy virus (PFV) and human immunodeficiency virus type 1 (HIV-1) integration: flexible pyrimidine (Y)/purine (R) dinucleotide steps at the centers of the integration sites, and base contacts with specific integrase residues, such as Ala188 in PFV integrase and Ser119 in HIV-1 integrase. Here we examined the dinucleotide preference profiles of a range of retroviruses and correlated these findings with respect to length of target site duplication (TSD).\\n\\nRESULTS: Integration datasets covering six viral genera and the three lengths of TSD were accessed from the literature or generated in this work. All viruses exhibited significant enrichments of flexible YR and/or selection against rigid RY dinucleotide steps at the centers of integration sites, and the magnitude of this enrichment inversely correlated with TSD length. The DNA sequence environments of in vivo-generated HIV-1 and PFV sites were consistent with integration into nucleosomes, however, the local sequence preferences were largely independent of target DNA chromatinization. Integration sites derived from cells infected with the gammaretrovirus reticuloendotheliosis virus strain A (Rev-A), which yields a 5 bp TSD, revealed the targeting of global chromatin features most similar to those of Moloney murine leukemia virus, which yields a 4 bp duplication. In vitro assays revealed that Rev-A integrase interacts with and is catalytically stimulated by cellular bromodomain containing 4 protein.\\n\\nCONCLUSIONS: Retroviral integrases have likely evolved to bend target DNA to fit scissile phosphodiester bonds into two active sites for integration, and viruses that cut target DNA with a 6 bp stagger may not need to bend DNA as sharply as viruses that cleave with 4 bp or 5 bp staggers. For PFV and HIV-1, the selection of signature bases and central flexibility at sites of integration is largely independent of chromatin structure. Furthermore, global Rev-A integration is likely directed to chromatin features by bromodomain and extraterminal domain proteins.", "author" : [ { "dropping-particle" : "", "family" : "Serrao", "given" : "Erik", "non-dropping-particle" : "", "parse-names" : false, "suffix" : "" }, { "dropping-particle" : "", "family" : "Ballandras-Colas", "given" : "Allison", "non-dropping-particle" : "", "parse-names" : false, "suffix" : "" }, { "dropping-particle" : "", "family" : "Cherepanov", "given" : "Peter", "non-dropping-particle" : "", "parse-names" : false, "suffix" : "" }, { "dropping-particle" : "", "family" : "Maertens", "given" : "Goedele N", "non-dropping-particle" : "", "parse-names" : false, "suffix" : "" }, { "dropping-particle" : "", "family" : "Engelman", "given" : "Alan N", "non-dropping-particle" : "", "parse-names" : false, "suffix" : "" } ], "container-title" : "Retrovirology", "id" : "ITEM-2", "issued" : { "date-parts" : [ [ "2015" ] ] }, "page" : "39", "title" : "Key determinants of target DNA recognition by retroviral intasomes.", "type" : "article-journal", "volume" : "12" }, "uris" : [ "http://www.mendeley.com/documents/?uuid=594c84d0-f7e5-4faa-8c6c-6106e3fadc96" ] }, { "id" : "ITEM-3", "itemData" : { "DOI" : "10.4331/wjbc.v8.i1.32", "ISSN" : "1949-8454", "PMID" : "28289517", "abstract" : "Retroviral replication proceeds through the integration of a DNA copy of the viral RNA genome into the host cellular genome, a process that is mediated by the viral integrase (IN) protein. IN catalyzes two distinct chemical reactions: 3'-processing, whereby the viral DNA is recessed by a di-or trinucleotide at its 3'-ends, and strand transfer, in which the processed viral DNA ends are inserted into host chromosomal DNA. Although IN has been studied as a recombinant protein since the 1980s, detailed structural understanding of its catalytic functions awaited high resolution structures of functional IN-DNA complexes or intasomes, initially obtained in 2010 for the spumavirus prototype foamy virus (PFV). Since then, two additional retroviral intasome structures, from the \u03b1-retrovirus Rous sarcoma virus (RSV) and \u03b2-retrovirus mouse mammary tumor virus (MMTV), have emerged. Here, we briefly review the history of IN structural biology prior to the intasome era, and then compare the intasome structures of PFV, MMTV and RSV in detail. Whereas the PFV intasome is characterized by a tetrameric assembly of IN around the viral DNA ends, the newer structures harbor octameric IN assemblies. Although the higher order architectures of MMTV and RSV intasomes differ from that of the PFV intasome, they possess remarkably similar intasomal core structures. Thus, retroviral integration machineries have adapted evolutionarily to utilize disparate IN elements to construct convergent intasome core structures for catalytic function. 8|Issue 1| WJBC|www.wjgnet.com Grawenhoff J et al . Structural analysis of retroviral integrase and intasomes Core tip: This review examines the history of retroviral integrase structural biology and covers the currently available high-resolution structures of retroviral intasomes in detail. We in particular focus on the similarities and differences among the intasome structures of prototype foamy virus, Rous sarcoma virus and mouse mammary tumor virus. Grawenhoff J, Engelman AN. Retroviral integrase protein and intasome nucleoprotein complex structures. World J Biol Chem 2017; 8(1): 32-44 Available from:", "author" : [ { "dropping-particle" : "", "family" : "Grawenhoff", "given" : "Julia", "non-dropping-particle" : "", "parse-names" : false, "suffix" : "" }, { "dropping-particle" : "", "family" : "Engelman", "given" : "Alan N", "non-dropping-particle" : "", "parse-names" : false, "suffix" : "" } ], "container-title" : "World J Biol Chem February", "id" : "ITEM-3", "issue" : "81", "issued" : { "date-parts" : [ [ "2017" ] ] }, "page" : "32-44", "title" : "Retroviral integrase protein and intasome nucleoprotein complex structures", "type" : "article-journal", "volume" : "26" }, "uris" : [ "http://www.mendeley.com/documents/?uuid=615d8842-0a4f-4199-961d-d2721fb4c81b" ] } ], "mendeley" : { "formattedCitation" : "(Wu et al. 2005; Serrao et al. 2015; Grawenhoff &amp; Engelman 2017)", "plainTextFormattedCitation" : "(Wu et al. 2005; Serrao et al. 2015; Grawenhoff &amp; Engelman 2017)", "previouslyFormattedCitation" : "(Wu et al. 2005; Serrao et al. 2015; Grawenhoff &amp; Engelman 2017)" }, "properties" : { "noteIndex" : 0 }, "schema" : "https://github.com/citation-style-language/schema/raw/master/csl-citation.json" }</w:instrText>
      </w:r>
      <w:r w:rsidR="00450E6A">
        <w:fldChar w:fldCharType="separate"/>
      </w:r>
      <w:r w:rsidR="00450E6A" w:rsidRPr="00450E6A">
        <w:rPr>
          <w:noProof/>
        </w:rPr>
        <w:t>(Wu et al. 2005; Serrao et al. 2015; Grawenhoff &amp; Engelman 2017)</w:t>
      </w:r>
      <w:r w:rsidR="00450E6A">
        <w:fldChar w:fldCharType="end"/>
      </w:r>
      <w:r w:rsidR="00450E6A">
        <w:t xml:space="preserve">. </w:t>
      </w:r>
    </w:p>
    <w:p w14:paraId="1669366B" w14:textId="0396948F" w:rsidR="008443B6" w:rsidRDefault="00450E6A" w:rsidP="00391005">
      <w:pPr>
        <w:pStyle w:val="ListParagraph"/>
      </w:pPr>
      <w:r>
        <w:t>One observed bias for ALV</w:t>
      </w:r>
      <w:r w:rsidR="002354B4">
        <w:t xml:space="preserve"> insertion</w:t>
      </w:r>
      <w:r>
        <w:t xml:space="preserve"> is </w:t>
      </w:r>
      <w:r w:rsidR="002354B4">
        <w:t xml:space="preserve">an apparent preference for </w:t>
      </w:r>
      <w:r>
        <w:t>open</w:t>
      </w:r>
      <w:r w:rsidR="008C59C6">
        <w:t xml:space="preserve"> chromatin, particularly near regions transcribed by RNA polymerase II, such as protein-coding genes </w:t>
      </w:r>
      <w:r w:rsidR="008C59C6">
        <w:fldChar w:fldCharType="begin" w:fldLock="1"/>
      </w:r>
      <w:r>
        <w:instrText>ADDIN CSL_CITATION { "citationItems" : [ { "id" : "ITEM-1", "itemData" : { "DOI" : "10.1128/JVI.78.21.11656", "ISSN" : "0022-538X", "author" : [ { "dropping-particle" : "", "family" : "Narezkina", "given" : "Anna", "non-dropping-particle" : "", "parse-names" : false, "suffix" : "" }, { "dropping-particle" : "", "family" : "Taganov", "given" : "Konstantin D", "non-dropping-particle" : "", "parse-names" : false, "suffix" : "" }, { "dropping-particle" : "", "family" : "Litwin", "given" : "Samuel", "non-dropping-particle" : "", "parse-names" : false, "suffix" : "" }, { "dropping-particle" : "", "family" : "Stoyanova", "given" : "Radka", "non-dropping-particle" : "", "parse-names" : false, "suffix" : "" }, { "dropping-particle" : "", "family" : "Hayashi", "given" : "Junpei", "non-dropping-particle" : "", "parse-names" : false, "suffix" : "" }, { "dropping-particle" : "", "family" : "Seeger", "given" : "Christoph", "non-dropping-particle" : "", "parse-names" : false, "suffix" : "" }, { "dropping-particle" : "", "family" : "Skalka", "given" : "Marie", "non-dropping-particle" : "", "parse-names" : false, "suffix" : "" }, { "dropping-particle" : "", "family" : "Katz", "given" : "Richard a", "non-dropping-particle" : "", "parse-names" : false, "suffix" : "" }, { "dropping-particle" : "", "family" : "Skalka", "given" : "Anna Marie", "non-dropping-particle" : "", "parse-names" : false, "suffix" : "" } ], "container-title" : "Journal of Virology", "id" : "ITEM-1", "issue" : "21", "issued" : { "date-parts" : [ [ "2004" ] ] }, "page" : "11656-11663", "title" : "Genome-Wide Analyses of Avian Sarcoma Virus Integration Sites", "type" : "article-journal", "volume" : "78" }, "uris" : [ "http://www.mendeley.com/documents/?uuid=58ac53ec-e419-4752-b194-ce7780ad260f" ] }, { "id" : "ITEM-2", "itemData" : { "DOI" : "10.1186/s12977-015-0167-3", "ISBN" : "1742-4690", "ISSN" : "1742-4690", "PMID" : "25924943", "abstract" : "BACKGROUND: Retroviral integration favors weakly conserved palindrome sequences at the sites of viral DNA joining and generates a short (4-6 bp) duplication of host DNA flanking the provirus. We previously determined two key parameters that underlie the target DNA preference for prototype foamy virus (PFV) and human immunodeficiency virus type 1 (HIV-1) integration: flexible pyrimidine (Y)/purine (R) dinucleotide steps at the centers of the integration sites, and base contacts with specific integrase residues, such as Ala188 in PFV integrase and Ser119 in HIV-1 integrase. Here we examined the dinucleotide preference profiles of a range of retroviruses and correlated these findings with respect to length of target site duplication (TSD).\\n\\nRESULTS: Integration datasets covering six viral genera and the three lengths of TSD were accessed from the literature or generated in this work. All viruses exhibited significant enrichments of flexible YR and/or selection against rigid RY dinucleotide steps at the centers of integration sites, and the magnitude of this enrichment inversely correlated with TSD length. The DNA sequence environments of in vivo-generated HIV-1 and PFV sites were consistent with integration into nucleosomes, however, the local sequence preferences were largely independent of target DNA chromatinization. Integration sites derived from cells infected with the gammaretrovirus reticuloendotheliosis virus strain A (Rev-A), which yields a 5 bp TSD, revealed the targeting of global chromatin features most similar to those of Moloney murine leukemia virus, which yields a 4 bp duplication. In vitro assays revealed that Rev-A integrase interacts with and is catalytically stimulated by cellular bromodomain containing 4 protein.\\n\\nCONCLUSIONS: Retroviral integrases have likely evolved to bend target DNA to fit scissile phosphodiester bonds into two active sites for integration, and viruses that cut target DNA with a 6 bp stagger may not need to bend DNA as sharply as viruses that cleave with 4 bp or 5 bp staggers. For PFV and HIV-1, the selection of signature bases and central flexibility at sites of integration is largely independent of chromatin structure. Furthermore, global Rev-A integration is likely directed to chromatin features by bromodomain and extraterminal domain proteins.", "author" : [ { "dropping-particle" : "", "family" : "Serrao", "given" : "Erik", "non-dropping-particle" : "", "parse-names" : false, "suffix" : "" }, { "dropping-particle" : "", "family" : "Ballandras-Colas", "given" : "Allison", "non-dropping-particle" : "", "parse-names" : false, "suffix" : "" }, { "dropping-particle" : "", "family" : "Cherepanov", "given" : "Peter", "non-dropping-particle" : "", "parse-names" : false, "suffix" : "" }, { "dropping-particle" : "", "family" : "Maertens", "given" : "Goedele N", "non-dropping-particle" : "", "parse-names" : false, "suffix" : "" }, { "dropping-particle" : "", "family" : "Engelman", "given" : "Alan N", "non-dropping-particle" : "", "parse-names" : false, "suffix" : "" } ], "container-title" : "Retrovirology", "id" : "ITEM-2", "issued" : { "date-parts" : [ [ "2015" ] ] }, "page" : "39", "title" : "Key determinants of target DNA recognition by retroviral intasomes.", "type" : "article-journal", "volume" : "12" }, "uris" : [ "http://www.mendeley.com/documents/?uuid=594c84d0-f7e5-4faa-8c6c-6106e3fadc96" ] } ], "mendeley" : { "formattedCitation" : "(Narezkina et al. 2004; Serrao et al. 2015)", "plainTextFormattedCitation" : "(Narezkina et al. 2004; Serrao et al. 2015)", "previouslyFormattedCitation" : "(Narezkina et al. 2004; Serrao et al. 2015)" }, "properties" : { "noteIndex" : 0 }, "schema" : "https://github.com/citation-style-language/schema/raw/master/csl-citation.json" }</w:instrText>
      </w:r>
      <w:r w:rsidR="008C59C6">
        <w:fldChar w:fldCharType="separate"/>
      </w:r>
      <w:r w:rsidR="008C59C6" w:rsidRPr="008C59C6">
        <w:rPr>
          <w:noProof/>
        </w:rPr>
        <w:t>(Narezkina et al. 2004; Serrao et al. 2015)</w:t>
      </w:r>
      <w:r w:rsidR="008C59C6">
        <w:fldChar w:fldCharType="end"/>
      </w:r>
      <w:r w:rsidR="008C59C6">
        <w:t xml:space="preserve">. </w:t>
      </w:r>
      <w:r>
        <w:t>As gene density is positively correlated with GC content,</w:t>
      </w:r>
      <w:r w:rsidR="002B42DA">
        <w:t xml:space="preserve"> this may explain the elevated GC content of the insertion site sequences</w:t>
      </w:r>
      <w:r w:rsidR="002354B4">
        <w:t xml:space="preserve">. The data appears to support this preference, as 59.6 % of identified ALVEs </w:t>
      </w:r>
      <w:r w:rsidR="00F51BCA">
        <w:t xml:space="preserve">(192 of 322) </w:t>
      </w:r>
      <w:r w:rsidR="002354B4">
        <w:t xml:space="preserve">either overlapped with or were within 10 kb of a protein-coding gene. </w:t>
      </w:r>
      <w:r w:rsidR="00A96720">
        <w:t>O</w:t>
      </w:r>
      <w:r w:rsidR="00F51BCA">
        <w:t xml:space="preserve">nly eighty-six of these overlapped genes, </w:t>
      </w:r>
      <w:r w:rsidR="00A96720">
        <w:t xml:space="preserve">but </w:t>
      </w:r>
      <w:r w:rsidR="00F51BCA">
        <w:t>this is not unexpected, as we are observing only the insertions that were retained by the host. It is possible that many genic insertions were lethal or highly detrimental to the reproductive or commercial success of the host</w:t>
      </w:r>
      <w:r w:rsidR="00517240">
        <w:t>, resulting</w:t>
      </w:r>
      <w:r w:rsidR="00F51BCA">
        <w:t xml:space="preserve"> in this apparent deficit within genes, despite the retrovirus preference. </w:t>
      </w:r>
    </w:p>
    <w:p w14:paraId="32568FEE" w14:textId="77777777" w:rsidR="00450E6A" w:rsidRDefault="00450E6A" w:rsidP="00391005">
      <w:pPr>
        <w:pStyle w:val="ListParagraph"/>
      </w:pPr>
    </w:p>
    <w:p w14:paraId="75916DD6" w14:textId="5D4ABB7B" w:rsidR="0085187F" w:rsidRDefault="0085187F" w:rsidP="0085187F">
      <w:pPr>
        <w:pStyle w:val="Heading4"/>
      </w:pPr>
      <w:r>
        <w:t xml:space="preserve">ALVE </w:t>
      </w:r>
      <w:r w:rsidR="00900878">
        <w:t>trends between different breeds</w:t>
      </w:r>
    </w:p>
    <w:p w14:paraId="064A0301" w14:textId="2650EA4E" w:rsidR="00165089" w:rsidRDefault="002311C3" w:rsidP="00391005">
      <w:pPr>
        <w:pStyle w:val="ListParagraph"/>
      </w:pPr>
      <w:r>
        <w:t xml:space="preserve">This study has identified an increased number of ALVEs across the Western commercial breeds, but the overall pattern of white egg layers having fewer than brown egg layers, which have fewer than broilers remains true. These breeds also reconstitute good phylogenetic relationships based on their ALVE content due to the number of </w:t>
      </w:r>
      <w:r>
        <w:lastRenderedPageBreak/>
        <w:t>shared sites, with the brown egg layers appearing like a hybrid between broilers and white egg layers</w:t>
      </w:r>
      <w:r w:rsidR="00230173">
        <w:t xml:space="preserve">, reflecting their shared ancestry </w:t>
      </w:r>
      <w:r w:rsidR="00230173">
        <w:fldChar w:fldCharType="begin" w:fldLock="1"/>
      </w:r>
      <w:r w:rsidR="00230173">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rsidR="00230173">
        <w:fldChar w:fldCharType="separate"/>
      </w:r>
      <w:r w:rsidR="00230173" w:rsidRPr="00F62CD6">
        <w:rPr>
          <w:noProof/>
        </w:rPr>
        <w:t>(Muir et al. 2008)</w:t>
      </w:r>
      <w:r w:rsidR="00230173">
        <w:fldChar w:fldCharType="end"/>
      </w:r>
      <w:r>
        <w:t xml:space="preserve">. </w:t>
      </w:r>
    </w:p>
    <w:p w14:paraId="2387C60D" w14:textId="7D3ECEFD" w:rsidR="003A2766" w:rsidRPr="00165089" w:rsidRDefault="004B148E" w:rsidP="00205EED">
      <w:pPr>
        <w:pStyle w:val="ListParagraph"/>
      </w:pPr>
      <w:r>
        <w:t>T</w:t>
      </w:r>
      <w:r w:rsidR="002311C3">
        <w:t xml:space="preserve">he difference between these three groups is </w:t>
      </w:r>
      <w:r>
        <w:t xml:space="preserve">partially </w:t>
      </w:r>
      <w:r w:rsidR="002311C3">
        <w:t xml:space="preserve">due to greater selection in layers, particularly white egg layers, against the negative effects of ALVE expression on commercial traits such as egg laying success. </w:t>
      </w:r>
      <w:r w:rsidR="008873BE">
        <w:t>However, commercial white egg layers were also derived from a much</w:t>
      </w:r>
      <w:r w:rsidR="00205EED">
        <w:t xml:space="preserve"> narrower genetic background tha</w:t>
      </w:r>
      <w:r w:rsidR="00230173">
        <w:t>n brown egg layers and</w:t>
      </w:r>
      <w:r w:rsidR="008873BE">
        <w:t xml:space="preserve"> broilers, and therefore exhibit much lo</w:t>
      </w:r>
      <w:r w:rsidR="00E643AD">
        <w:t xml:space="preserve">wer levels of genetic diversity </w:t>
      </w:r>
      <w:r w:rsidR="00E643AD">
        <w:fldChar w:fldCharType="begin" w:fldLock="1"/>
      </w:r>
      <w:r w:rsidR="00E643AD">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rsidR="00E643AD">
        <w:fldChar w:fldCharType="separate"/>
      </w:r>
      <w:r w:rsidR="00E643AD" w:rsidRPr="00F62CD6">
        <w:rPr>
          <w:noProof/>
        </w:rPr>
        <w:t>(Muir et al. 2008)</w:t>
      </w:r>
      <w:r w:rsidR="00E643AD">
        <w:fldChar w:fldCharType="end"/>
      </w:r>
      <w:r w:rsidR="008873BE">
        <w:t xml:space="preserve">. </w:t>
      </w:r>
      <w:r w:rsidR="00205EED">
        <w:t>In all commercial stocks, a relatively small effective population (N</w:t>
      </w:r>
      <w:r w:rsidR="00205EED" w:rsidRPr="00205EED">
        <w:rPr>
          <w:sz w:val="20"/>
        </w:rPr>
        <w:t>e</w:t>
      </w:r>
      <w:r w:rsidR="00205EED">
        <w:t xml:space="preserve">) size and an elevated probability of inbreeding could </w:t>
      </w:r>
      <w:r w:rsidR="002311C3">
        <w:t xml:space="preserve">lead to the reduction of the number of ALVEs in a population, but it could also lead to more rapid fixation of detrimental variants in the </w:t>
      </w:r>
      <w:r w:rsidR="00165089">
        <w:t xml:space="preserve">population, retaining ALVEs </w:t>
      </w:r>
      <w:r w:rsidR="002311C3">
        <w:t xml:space="preserve">as fixed loci </w:t>
      </w:r>
      <w:r w:rsidR="002311C3">
        <w:fldChar w:fldCharType="begin" w:fldLock="1"/>
      </w:r>
      <w:r w:rsidR="00165089">
        <w:instrText>ADDIN CSL_CITATION { "citationItems" : [ { "id" : "ITEM-1", "itemData" : { "DOI" : "10.1038/nrg2526", "ISBN" : "1471-0056", "ISSN" : "1471-0056", "PMID" : "19204717", "abstract" : "The effective size of a population, Ne, determines the rate of change in the composition of a population caused by genetic drift, which is the random sampling of genetic variants in a finite population. Ne is crucial in determining the level of variability in a population, and the effectiveness of selection relative to drift. This article reviews the properties of Ne in a variety of different situations of biological interest, and the factors that influence it. In particular, the action of selection means that Ne varies across the genome, and advances in genomic techniques are giving new insights into how selection shapes Ne.", "author" : [ { "dropping-particle" : "", "family" : "Charlesworth", "given" : "Brian", "non-dropping-particle" : "", "parse-names" : false, "suffix" : "" } ], "container-title" : "Nature Reviews Genetics", "id" : "ITEM-1", "issue" : "3", "issued" : { "date-parts" : [ [ "2009" ] ] }, "page" : "195-205", "title" : "Effective population size and patterns of molecular evolution and variation", "type" : "article-journal", "volume" : "10" }, "uris" : [ "http://www.mendeley.com/documents/?uuid=d009ed97-87f5-4c83-9dcc-12f8d8e1c063" ] } ], "mendeley" : { "formattedCitation" : "(Charlesworth 2009)", "plainTextFormattedCitation" : "(Charlesworth 2009)", "previouslyFormattedCitation" : "(Charlesworth 2009)" }, "properties" : { "noteIndex" : 0 }, "schema" : "https://github.com/citation-style-language/schema/raw/master/csl-citation.json" }</w:instrText>
      </w:r>
      <w:r w:rsidR="002311C3">
        <w:fldChar w:fldCharType="separate"/>
      </w:r>
      <w:r w:rsidR="002311C3" w:rsidRPr="002311C3">
        <w:rPr>
          <w:noProof/>
        </w:rPr>
        <w:t>(Charlesworth 2009)</w:t>
      </w:r>
      <w:r w:rsidR="002311C3">
        <w:fldChar w:fldCharType="end"/>
      </w:r>
      <w:r w:rsidR="002311C3">
        <w:t xml:space="preserve">. </w:t>
      </w:r>
      <w:r>
        <w:t>Most highly inbred lines, such as the Pirbright WLs or o</w:t>
      </w:r>
      <w:r w:rsidR="00205EED">
        <w:t>ther institute-housed WLs with N</w:t>
      </w:r>
      <w:r w:rsidR="00205EED" w:rsidRPr="00205EED">
        <w:rPr>
          <w:sz w:val="20"/>
        </w:rPr>
        <w:t>e</w:t>
      </w:r>
      <w:r>
        <w:t xml:space="preserve"> as low as two, were </w:t>
      </w:r>
      <w:r w:rsidR="00230173">
        <w:t xml:space="preserve">also </w:t>
      </w:r>
      <w:r>
        <w:t xml:space="preserve">derived from </w:t>
      </w:r>
      <w:r w:rsidR="00230173">
        <w:t xml:space="preserve">just a few individuals of </w:t>
      </w:r>
      <w:r w:rsidR="00597AF7">
        <w:t xml:space="preserve">more outbred </w:t>
      </w:r>
      <w:r>
        <w:t xml:space="preserve">commercial stock following </w:t>
      </w:r>
      <w:r w:rsidR="00230173">
        <w:t xml:space="preserve">their </w:t>
      </w:r>
      <w:r>
        <w:t>initial intensive selection</w:t>
      </w:r>
      <w:r w:rsidR="00597AF7">
        <w:t>. WLs therefore share very similar, low ALVE content, but their population allele frequencies and likelihood of fixation or loss</w:t>
      </w:r>
      <w:r w:rsidR="00230173">
        <w:t xml:space="preserve"> of an insert are dependent on N</w:t>
      </w:r>
      <w:r w:rsidR="00230173" w:rsidRPr="00230173">
        <w:rPr>
          <w:sz w:val="20"/>
        </w:rPr>
        <w:t>e</w:t>
      </w:r>
      <w:r w:rsidR="00597AF7">
        <w:t xml:space="preserve"> and </w:t>
      </w:r>
      <w:r w:rsidR="00230173">
        <w:t xml:space="preserve">the </w:t>
      </w:r>
      <w:r w:rsidR="00597AF7">
        <w:t>strength of selection.</w:t>
      </w:r>
      <w:r w:rsidR="00165089">
        <w:t xml:space="preserve"> It</w:t>
      </w:r>
      <w:r w:rsidR="00205EED">
        <w:t xml:space="preserve"> is also possible that reduced N</w:t>
      </w:r>
      <w:r w:rsidR="00205EED" w:rsidRPr="00205EED">
        <w:rPr>
          <w:sz w:val="20"/>
        </w:rPr>
        <w:t>e</w:t>
      </w:r>
      <w:r w:rsidR="00165089">
        <w:t xml:space="preserve"> has effected the ALVE content of the broilers analysed for this work. These lines are no longer commercially relevant, but are retained as heritage breeds or experimental, institute lines, both of which w</w:t>
      </w:r>
      <w:r w:rsidR="00230173">
        <w:t>ill have significantly reduced N</w:t>
      </w:r>
      <w:r w:rsidR="00230173" w:rsidRPr="00230173">
        <w:rPr>
          <w:sz w:val="20"/>
        </w:rPr>
        <w:t>e</w:t>
      </w:r>
      <w:r w:rsidR="00165089">
        <w:t xml:space="preserve">. </w:t>
      </w:r>
      <w:r w:rsidR="00F62CD6">
        <w:t xml:space="preserve">Analysis of commercial broilers would be of great interest, particularly to see if dam lines (bred solely for reproductive success) also exhibit reduced ALVE content relative to the sire lines, due to the negative effects of ALVE expression on layer success </w:t>
      </w:r>
      <w:r w:rsidR="00F62CD6">
        <w:fldChar w:fldCharType="begin" w:fldLock="1"/>
      </w:r>
      <w:r w:rsidR="006706C3">
        <w:instrText>ADDIN CSL_CITATION { "citationItems" : [ { "id" : "ITEM-1", "itemData" : { "DOI" : "10.1073/pnas.0806569105", "ISBN" : "0027-8424", "ISSN" : "0027-8424", "PMID" : "18981413", "abstract" : "Breed utilization, genetic improvement, and industry consolidation are predicted to have major impacts on the genetic composition of commercial chickens. Consequently, the question arises as to whether sufficient genetic diversity remains within industry stocks to address future needs. With the chicken genome sequence and more than 2.8 million single-nucleotide polymorphisms (SNPs), it is now possible to address biodiversity using a previously unattainable metric: missing alleles. To achieve this assessment, 2551 informative SNPs were genotyped on 2580 individuals, including 1440 commercial birds. The proportion of alleles lacking in commercial populations was assessed by (1) estimating the global SNP allele frequency distribution from a hypothetical ancestral population as a reference, then determining the portion of the distribution lost, and then (2) determining the relationship between allele loss and the inbreeding coefficient. The results indicate that 50% or more of the genetic diversity in ancestral breeds is absent in commercial pure lines. The missing genetic diversity resulted from the limited number of incorporated breeds. As such, hypothetically combining stocks within a company could recover only preexisting within-breed variability, but not more rare ancestral alleles. We establish that SNP weights act as sentinels of biodiversity and provide an objective assessment of the strains that are most valuable for preserving genetic diversity. This is the first experimental analysis investigating the extant genetic diversity of virtually an entire agricultural commodity. The methods presented are the first to characterize biodiversity in terms of allelic diversity and to objectively link rate of allele loss with the inbreeding coefficient.", "author" : [ { "dropping-particle" : "", "family" : "Muir", "given" : "W. M.", "non-dropping-particle" : "", "parse-names" : false, "suffix" : "" }, { "dropping-particle" : "", "family" : "Wong", "given" : "G. K.-S.", "non-dropping-particle" : "", "parse-names" : false, "suffix" : "" }, { "dropping-particle" : "", "family" : "Zhang", "given" : "Y.", "non-dropping-particle" : "", "parse-names" : false, "suffix" : "" }, { "dropping-particle" : "", "family" : "Wang", "given" : "J.", "non-dropping-particle" : "", "parse-names" : false, "suffix" : "" }, { "dropping-particle" : "", "family" : "Groenen", "given" : "M. A. M.", "non-dropping-particle" : "", "parse-names" : false, "suffix" : "" }, { "dropping-particle" : "", "family" : "Crooijmans", "given" : "R. P. M. A.", "non-dropping-particle" : "", "parse-names" : false, "suffix" : "" }, { "dropping-particle" : "", "family" : "Megens", "given" : "H.-J.", "non-dropping-particle" : "", "parse-names" : false, "suffix" : "" }, { "dropping-particle" : "", "family" : "Zhang", "given" : "H.", "non-dropping-particle" : "", "parse-names" : false, "suffix" : "" }, { "dropping-particle" : "", "family" : "Okimoto", "given" : "R.", "non-dropping-particle" : "", "parse-names" : false, "suffix" : "" }, { "dropping-particle" : "", "family" : "Vereijken", "given" : "A.", "non-dropping-particle" : "", "parse-names" : false, "suffix" : "" }, { "dropping-particle" : "", "family" : "Jungerius", "given" : "A.", "non-dropping-particle" : "", "parse-names" : false, "suffix" : "" }, { "dropping-particle" : "", "family" : "Albers", "given" : "G. A. A.", "non-dropping-particle" : "", "parse-names" : false, "suffix" : "" }, { "dropping-particle" : "", "family" : "Lawley", "given" : "C. T.", "non-dropping-particle" : "", "parse-names" : false, "suffix" : "" }, { "dropping-particle" : "", "family" : "Delany", "given" : "M. E.", "non-dropping-particle" : "", "parse-names" : false, "suffix" : "" }, { "dropping-particle" : "", "family" : "MacEachern", "given" : "S.", "non-dropping-particle" : "", "parse-names" : false, "suffix" : "" }, { "dropping-particle" : "", "family" : "Cheng", "given" : "H. H.", "non-dropping-particle" : "", "parse-names" : false, "suffix" : "" } ], "container-title" : "Proceedings of the National Academy of Sciences", "id" : "ITEM-1", "issue" : "45", "issued" : { "date-parts" : [ [ "2008" ] ] }, "page" : "17312-17317", "title" : "Genome-wide assessment of worldwide chicken SNP genetic diversity indicates significant absence of rare alleles in commercial breeds", "type" : "article-journal", "volume" : "105" }, "uris" : [ "http://www.mendeley.com/documents/?uuid=7813b26b-3f48-4fc0-b1f6-2bdb71b6a70f" ] } ], "mendeley" : { "formattedCitation" : "(Muir et al. 2008)", "plainTextFormattedCitation" : "(Muir et al. 2008)", "previouslyFormattedCitation" : "(Muir et al. 2008)" }, "properties" : { "noteIndex" : 0 }, "schema" : "https://github.com/citation-style-language/schema/raw/master/csl-citation.json" }</w:instrText>
      </w:r>
      <w:r w:rsidR="00F62CD6">
        <w:fldChar w:fldCharType="separate"/>
      </w:r>
      <w:r w:rsidR="00F62CD6" w:rsidRPr="00F62CD6">
        <w:rPr>
          <w:noProof/>
        </w:rPr>
        <w:t>(Muir et al. 2008)</w:t>
      </w:r>
      <w:r w:rsidR="00F62CD6">
        <w:fldChar w:fldCharType="end"/>
      </w:r>
      <w:r w:rsidR="00F62CD6">
        <w:t>.</w:t>
      </w:r>
    </w:p>
    <w:p w14:paraId="0A11ADA9" w14:textId="16DCE589" w:rsidR="004B0507" w:rsidRDefault="00597AF7" w:rsidP="00391005">
      <w:pPr>
        <w:pStyle w:val="ListParagraph"/>
      </w:pPr>
      <w:r>
        <w:t>The large numbers of ALVEs within wild or RJF populations superficially suggests that there was an originally high diversity of ALVEs within the RJF ancestor birds before domestication. However, many of these ALVEs are lineage specific, likely reflecting the complex domestication of the chicken, with multiple origins</w:t>
      </w:r>
      <w:r w:rsidR="00CA3840">
        <w:t xml:space="preserve"> and backcrosses, coming </w:t>
      </w:r>
      <w:r w:rsidR="00205EED">
        <w:t>from an ancestrally very large N</w:t>
      </w:r>
      <w:r w:rsidR="00205EED" w:rsidRPr="00205EED">
        <w:rPr>
          <w:sz w:val="20"/>
        </w:rPr>
        <w:t>e</w:t>
      </w:r>
      <w:r w:rsidR="00CA3840">
        <w:t xml:space="preserve"> </w:t>
      </w:r>
      <w:r w:rsidR="00CA3840">
        <w:fldChar w:fldCharType="begin" w:fldLock="1"/>
      </w:r>
      <w:r w:rsidR="00436890">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"id" : "ITEM-2", "itemData" : { "DOI" : "10.1038/nature08832", "ISSN" : "1476-4687", "PMID" : "20220755", "abstract" : "Domestic animals are excellent models for genetic studies of phenotypic evolution. They have evolved genetic adaptations to a new environment, the farm, and have been subjected to strong human-driven selection leading to remarkable phenotypic changes in morphology, physiology and behaviour. Identifying the genetic changes underlying these developments provides new insight into general mechanisms by which genetic variation shapes phenotypic diversity. Here we describe the use of massively parallel sequencing to identify selective sweeps of favourable alleles and candidate mutations that have had a prominent role in the domestication of chickens (Gallus gallus domesticus) and their subsequent specialization into broiler (meat-producing) and layer (egg-producing) chickens. We have generated 44.5-fold coverage of the chicken genome using pools of genomic DNA representing eight different populations of domestic chickens as well as red jungle fowl (Gallus gallus), the major wild ancestor. We report more than 7,000,000 single nucleotide polymorphisms, almost 1,300 deletions and a number of putative selective sweeps. One of the most striking selective sweeps found in all domestic chickens occurred at the locus for thyroid stimulating hormone receptor (TSHR), which has a pivotal role in metabolic regulation and photoperiod control of reproduction in vertebrates. Several of the selective sweeps detected in broilers overlapped genes associated with growth, appetite and metabolic regulation. We found little evidence that selection for loss-of-function mutations had a prominent role in chicken domestication, but we detected two deletions in coding sequences that we suggest are functionally important. This study has direct application to animal breeding and enhances the importance of the domestic chicken as a model organism for biomedical research.", "author" : [ { "dropping-particle" : "", "family" : "Rubin", "given" : "Carl-Johan", "non-dropping-particle" : "", "parse-names" : false, "suffix" : "" }, { "dropping-particle" : "", "family" : "Zody", "given" : "Michael C", "non-dropping-particle" : "", "parse-names" : false, "suffix" : "" }, { "dropping-particle" : "", "family" : "Eriksson", "given" : "Jonas", "non-dropping-particle" : "", "parse-names" : false, "suffix" : "" }, { "dropping-particle" : "", "family" : "Meadows", "given" : "Jennifer R S", "non-dropping-particle" : "", "parse-names" : false, "suffix" : "" }, { "dropping-particle" : "", "family" : "Sherwood", "given" : "Ellen", "non-dropping-particle" : "", "parse-names" : false, "suffix" : "" }, { "dropping-particle" : "", "family" : "Webster", "given" : "Matthew T", "non-dropping-particle" : "", "parse-names" : false, "suffix" : "" }, { "dropping-particle" : "", "family" : "Jiang", "given" : "Lin", "non-dropping-particle" : "", "parse-names" : false, "suffix" : "" }, { "dropping-particle" : "", "family" : "Ingman", "given" : "Max", "non-dropping-particle" : "", "parse-names" : false, "suffix" : "" }, { "dropping-particle" : "", "family" : "Sharpe", "given" : "Ted", "non-dropping-particle" : "", "parse-names" : false, "suffix" : "" }, { "dropping-particle" : "", "family" : "Ka", "given" : "Sojeong", "non-dropping-particle" : "", "parse-names" : false, "suffix" : "" }, { "dropping-particle" : "", "family" : "Hallb\u00f6\u00f6k", "given" : "Finn", "non-dropping-particle" : "", "parse-names" : false, "suffix" : "" }, { "dropping-particle" : "", "family" : "Besnier", "given" : "Francois", "non-dropping-particle" : "", "parse-names" : false, "suffix" : "" }, { "dropping-particle" : "", "family" : "Carlborg", "given" : "Orjan", "non-dropping-particle" : "", "parse-names" : false, "suffix" : "" }, { "dropping-particle" : "", "family" : "Bed'hom", "given" : "Bertrand", "non-dropping-particle" : "", "parse-names" : false, "suffix" : "" }, { "dropping-particle" : "", "family" : "Tixier-Boichard", "given" : "Mich\u00e8le", "non-dropping-particle" : "", "parse-names" : false, "suffix" : "" }, { "dropping-particle" : "", "family" : "Jensen", "given" : "Per", "non-dropping-particle" : "", "parse-names" : false, "suffix" : "" }, { "dropping-particle" : "", "family" : "Siegel", "given" : "Paul", "non-dropping-particle" : "", "parse-names" : false, "suffix" : "" }, { "dropping-particle" : "", "family" : "Lindblad-Toh", "given" : "Kerstin", "non-dropping-particle" : "", "parse-names" : false, "suffix" : "" }, { "dropping-particle" : "", "family" : "Andersson", "given" : "Leif", "non-dropping-particle" : "", "parse-names" : false, "suffix" : "" } ], "container-title" : "Nature", "id" : "ITEM-2", "issue" : "7288", "issued" : { "date-parts" : [ [ "2010", "3", "25" ] ] }, "page" : "587-91", "title" : "Whole-genome resequencing reveals loci under selection during chicken domestication.", "type" : "article-journal", "volume" : "464" }, "uris" : [ "http://www.mendeley.com/documents/?uuid=915a3402-b085-4624-9e8e-685b331f995e" ] } ], "mendeley" : { "formattedCitation" : "(Ellegren 2005; Rubin et al. 2010)", "plainTextFormattedCitation" : "(Ellegren 2005; Rubin et al. 2010)", "previouslyFormattedCitation" : "(Ellegren 2005; Rubin et al. 2010)" }, "properties" : { "noteIndex" : 0 }, "schema" : "https://github.com/citation-style-language/schema/raw/master/csl-citation.json" }</w:instrText>
      </w:r>
      <w:r w:rsidR="00CA3840">
        <w:fldChar w:fldCharType="separate"/>
      </w:r>
      <w:r w:rsidR="00CA3840" w:rsidRPr="00CA3840">
        <w:rPr>
          <w:noProof/>
        </w:rPr>
        <w:t>(Ellegren 2005; Rubin et al. 2010)</w:t>
      </w:r>
      <w:r w:rsidR="00CA3840">
        <w:fldChar w:fldCharType="end"/>
      </w:r>
      <w:r>
        <w:t>.</w:t>
      </w:r>
      <w:r w:rsidR="00CA3840">
        <w:t xml:space="preserve"> This likely suggests that all domesticated breeds were derived from high, possibly very different, ALVE backgrounds. Birds were then naturally, indirectly selected for reduced ALVE content, due to the impact on productivity and the potential for infection of other birds in the flock. Parallel selection from different origins most parsimoniously explains the similar number, but highly divergent insertion sites, of non-Western breeds, such as the </w:t>
      </w:r>
      <w:r w:rsidR="00CA3840">
        <w:lastRenderedPageBreak/>
        <w:t xml:space="preserve">Fayoumi and Silkie.  </w:t>
      </w:r>
      <w:r w:rsidR="009F02D2">
        <w:t>It is possible that with additional</w:t>
      </w:r>
      <w:r w:rsidR="00CA3840">
        <w:t xml:space="preserve"> sequencing of geographically disparate RJFs and more non-Western, non-commercial breeds, that ALVEs could be used to tra</w:t>
      </w:r>
      <w:r w:rsidR="008873BE">
        <w:t>ck</w:t>
      </w:r>
      <w:r w:rsidR="009F02D2">
        <w:t xml:space="preserve"> breed origins and interrelatedness.</w:t>
      </w:r>
    </w:p>
    <w:p w14:paraId="56904357" w14:textId="1C957A1B" w:rsidR="009F02D2" w:rsidRPr="00597AF7" w:rsidRDefault="009F02D2" w:rsidP="00391005">
      <w:pPr>
        <w:pStyle w:val="ListParagraph"/>
      </w:pPr>
      <w:r>
        <w:t xml:space="preserve">This work also supports the recent research by Ulfah and colleagues (2016) which showed that the RJF reference genome bird was a result of extensive introgression with WLs, rather than truly representative of the domestic chicken ancestor. This sequence should therefore not be used as a tool for identifying changes since domestication. One such case was the recent publication of piRNA-mediated ALVE control in the germline which used the reference genome as the ancestral baseline </w:t>
      </w:r>
      <w:r>
        <w:fldChar w:fldCharType="begin" w:fldLock="1"/>
      </w:r>
      <w:r w:rsidR="009321F8">
        <w:instrText>ADDIN CSL_CITATION { "citationItems" : [ { "id" : "ITEM-1", "itemData" : { "DOI" : "10.7554/eLife.24695", "ISSN" : "2050-084X", "abstract" : "&lt;p&gt;PIWI-interacting RNAs (piRNAs) protect the germ line by targeting transposable elements (TEs) through the base-pair complementarity. We do not know how piRNAs co-evolve with TEs in chickens. Here we reported that all active TEs in the chicken germ line are targeted by piRNAs, and as TEs lose their activity, the corresponding piRNAs erode away. We observed de novo piRNA birth as host responds to a recent retroviral invasion. Avian leukosis virus (ALV) has endogenized prior to chicken domestication, remains infectious, and threatens poultry industry. Domestic fowl produce piRNAs targeting ALV from one ALV provirus that was known to render its host ALV resistant. This proviral locus does not produce piRNAs in undomesticated wild chickens. Our findings uncover rapid piRNA evolution reflecting contemporary TE activity, identify a new piRNA acquisition modality by activating a pre-existing genomic locus, and extend piRNA defense roles to include the period when endogenous retroviruses are still infectious.&lt;/p&gt;", "author" : [ { "dropping-particle" : "", "family" : "Sun", "given" : "Yu Huining", "non-dropping-particle" : "", "parse-names" : false, "suffix" : "" }, { "dropping-particle" : "", "family" : "Xie", "given" : "Li Huitong", "non-dropping-particle" : "", "parse-names" : false, "suffix" : "" }, { "dropping-particle" : "", "family" : "Zhuo", "given" : "Xiaoyu", "non-dropping-particle" : "", "parse-names" : false, "suffix" : "" }, { "dropping-particle" : "", "family" : "Chen", "given" : "Qiang", "non-dropping-particle" : "", "parse-names" : false, "suffix" : "" }, { "dropping-particle" : "", "family" : "Ghoneim", "given" : "Dalia", "non-dropping-particle" : "", "parse-names" : false, "suffix" : "" }, { "dropping-particle" : "", "family" : "Zhang", "given" : "Bin", "non-dropping-particle" : "", "parse-names" : false, "suffix" : "" }, { "dropping-particle" : "", "family" : "Jagne", "given" : "Jarra", "non-dropping-particle" : "", "parse-names" : false, "suffix" : "" }, { "dropping-particle" : "", "family" : "Yang", "given" : "Chengbo", "non-dropping-particle" : "", "parse-names" : false, "suffix" : "" }, { "dropping-particle" : "", "family" : "Li", "given" : "Xin Zhiguo", "non-dropping-particle" : "", "parse-names" : false, "suffix" : "" } ], "container-title" : "eLife", "id" : "ITEM-1", "issued" : { "date-parts" : [ [ "2017" ] ] }, "page" : "1-24", "title" : "Domestic chickens activate a piRNA defense against avian leukosis virus", "type" : "article-journal", "volume" : "6" }, "uris" : [ "http://www.mendeley.com/documents/?uuid=8893f1a4-d592-4098-bb09-86ae8cad79d3" ] } ], "mendeley" : { "formattedCitation" : "(Sun et al. 2017)", "plainTextFormattedCitation" : "(Sun et al. 2017)", "previouslyFormattedCitation" : "(Sun et al. 2017)" }, "properties" : { "noteIndex" : 0 }, "schema" : "https://github.com/citation-style-language/schema/raw/master/csl-citation.json" }</w:instrText>
      </w:r>
      <w:r>
        <w:fldChar w:fldCharType="separate"/>
      </w:r>
      <w:r w:rsidRPr="009F02D2">
        <w:rPr>
          <w:noProof/>
        </w:rPr>
        <w:t>(Sun et al. 2017)</w:t>
      </w:r>
      <w:r>
        <w:fldChar w:fldCharType="end"/>
      </w:r>
      <w:r>
        <w:t xml:space="preserve">. </w:t>
      </w:r>
    </w:p>
    <w:p w14:paraId="4772CFFD" w14:textId="77777777" w:rsidR="003A2766" w:rsidRDefault="003A2766" w:rsidP="00391005">
      <w:pPr>
        <w:pStyle w:val="ListParagraph"/>
      </w:pPr>
    </w:p>
    <w:p w14:paraId="0CF2A17C" w14:textId="65E93BD5" w:rsidR="003A2766" w:rsidRDefault="003A2766" w:rsidP="003A2766">
      <w:pPr>
        <w:pStyle w:val="Heading2"/>
      </w:pPr>
      <w:bookmarkStart w:id="637" w:name="_Toc485721679"/>
      <w:bookmarkStart w:id="638" w:name="_Toc486787259"/>
      <w:bookmarkStart w:id="639" w:name="_Toc486787407"/>
      <w:r>
        <w:t>Concluding remarks</w:t>
      </w:r>
      <w:bookmarkEnd w:id="637"/>
      <w:bookmarkEnd w:id="638"/>
      <w:bookmarkEnd w:id="639"/>
    </w:p>
    <w:p w14:paraId="09DDE1B1" w14:textId="3DAF854F" w:rsidR="003A2766" w:rsidRDefault="009B727C" w:rsidP="00391005">
      <w:pPr>
        <w:pStyle w:val="ListParagraph"/>
      </w:pPr>
      <w:r>
        <w:t xml:space="preserve">ALVE identification has generally been limited to commercial </w:t>
      </w:r>
      <w:r w:rsidR="00E50414">
        <w:t xml:space="preserve">breeds </w:t>
      </w:r>
      <w:r>
        <w:t>or experimental lines, with a large bias towards Leghorns. In this work, 322 ALVEs were identified f</w:t>
      </w:r>
      <w:r w:rsidR="005655E9">
        <w:t>rom almost one hundred chicken W</w:t>
      </w:r>
      <w:r>
        <w:t>GS datasets, including village chickens, non-Western bree</w:t>
      </w:r>
      <w:r w:rsidR="00E50414">
        <w:t>ds and wild red jungle fowl</w:t>
      </w:r>
      <w:r w:rsidR="00BF2A8C">
        <w:t>, and</w:t>
      </w:r>
      <w:r w:rsidR="00E50414">
        <w:t xml:space="preserve"> </w:t>
      </w:r>
      <w:r w:rsidR="00BF2A8C">
        <w:t>o</w:t>
      </w:r>
      <w:r>
        <w:t xml:space="preserve">ver 80 % of these were previously unknown insertions. This has enabled a better characterisation of the </w:t>
      </w:r>
      <w:r w:rsidR="00BF2A8C">
        <w:t xml:space="preserve">wide </w:t>
      </w:r>
      <w:r>
        <w:t>diversity of ALVEs across chicken pop</w:t>
      </w:r>
      <w:r w:rsidR="00E50414">
        <w:t>ulations, but it is likely</w:t>
      </w:r>
      <w:r w:rsidR="00BF2A8C">
        <w:t xml:space="preserve"> that</w:t>
      </w:r>
      <w:r w:rsidR="00E50414">
        <w:t xml:space="preserve"> this only scratches the surface. </w:t>
      </w:r>
    </w:p>
    <w:p w14:paraId="1DF3A986" w14:textId="77777777" w:rsidR="00920FC5" w:rsidRDefault="00920FC5" w:rsidP="00391005">
      <w:pPr>
        <w:pStyle w:val="ListParagraph"/>
      </w:pPr>
    </w:p>
    <w:p w14:paraId="27BB4044" w14:textId="77777777" w:rsidR="00920FC5" w:rsidRDefault="00920FC5" w:rsidP="00391005">
      <w:pPr>
        <w:pStyle w:val="ListParagraph"/>
        <w:sectPr w:rsidR="00920FC5" w:rsidSect="00504068">
          <w:pgSz w:w="11906" w:h="16838"/>
          <w:pgMar w:top="1134" w:right="1418" w:bottom="2268" w:left="2268" w:header="709" w:footer="1066" w:gutter="0"/>
          <w:cols w:space="708"/>
          <w:docGrid w:linePitch="360"/>
        </w:sectPr>
      </w:pPr>
    </w:p>
    <w:p w14:paraId="559D2839" w14:textId="6F71E545" w:rsidR="00920FC5" w:rsidRDefault="00926A4D" w:rsidP="00920FC5">
      <w:pPr>
        <w:pStyle w:val="Heading1"/>
      </w:pPr>
      <w:r>
        <w:lastRenderedPageBreak/>
        <w:t xml:space="preserve"> </w:t>
      </w:r>
      <w:bookmarkStart w:id="640" w:name="_Toc485721680"/>
      <w:bookmarkStart w:id="641" w:name="_Toc486787260"/>
      <w:bookmarkStart w:id="642" w:name="_Toc486787408"/>
      <w:r w:rsidR="00920FC5">
        <w:t>Discussion</w:t>
      </w:r>
      <w:bookmarkEnd w:id="640"/>
      <w:bookmarkEnd w:id="641"/>
      <w:bookmarkEnd w:id="642"/>
    </w:p>
    <w:p w14:paraId="15A71D52" w14:textId="45469492" w:rsidR="00E27FC3" w:rsidRDefault="008B3CBA" w:rsidP="00391005">
      <w:pPr>
        <w:pStyle w:val="ListParagraph"/>
      </w:pPr>
      <w:r>
        <w:t>This PhD project consis</w:t>
      </w:r>
      <w:r w:rsidR="00AA12CA">
        <w:t xml:space="preserve">ted of two broad aims. </w:t>
      </w:r>
      <w:r w:rsidR="00926CB3">
        <w:t xml:space="preserve">Firstly, the production of an updated annotation of the LTR retrotransposon content of the chicken genome, including a wider evolutionary study of LTR retrotransposon content across the avian lineage. </w:t>
      </w:r>
      <w:r w:rsidR="00E27FC3">
        <w:t xml:space="preserve">Secondly, the development of a bioinformatics approach for the identification of novel ALVE insertions from chicken whole genome resequencing data, focusing on characterisation of ALVEs in the Hy-Line elite layer lines. </w:t>
      </w:r>
    </w:p>
    <w:p w14:paraId="3FBE6BFF" w14:textId="3B9B8C88" w:rsidR="00E27FC3" w:rsidRPr="00931EA0" w:rsidRDefault="00E27FC3" w:rsidP="00391005">
      <w:pPr>
        <w:pStyle w:val="ListParagraph"/>
      </w:pPr>
      <w:r>
        <w:t>Chapters 3 and 4 addressed the first aim. The available methodologies for identifying LTR retrotransposons were critically assessed, and the LocaTR identification pipeline was subsequently developed. LocaTR combines multiple identification strateg</w:t>
      </w:r>
      <w:r w:rsidR="00C00542">
        <w:t>ies from existing</w:t>
      </w:r>
      <w:r>
        <w:t xml:space="preserve"> programs to enable the most comprehensive annotation of LTR retrotransposons </w:t>
      </w:r>
      <w:r w:rsidR="003D1F12">
        <w:t xml:space="preserve">currently </w:t>
      </w:r>
      <w:r w:rsidR="00931EA0">
        <w:t xml:space="preserve">available. LTR retrotransposons were identified firstly in the chicken Galgal4 assembly, almost doubling the previously annotated content. Identified elements were exclusively ERVs, and analysis of element distribution revealed the effect of selection on these elements to reduce their phenotypic impact on the host genome. ERVs were also assessed for their age, completeness and expression, which enabled the further characterisation of </w:t>
      </w:r>
      <w:r w:rsidR="00931EA0">
        <w:rPr>
          <w:i/>
        </w:rPr>
        <w:t>Ovex1</w:t>
      </w:r>
      <w:r w:rsidR="00931EA0">
        <w:t xml:space="preserve"> (a co-opted chicken gene of gammaretroviral origin), perhaps supporting a different, wider function</w:t>
      </w:r>
      <w:r w:rsidR="003D1F12">
        <w:t xml:space="preserve"> for this gene</w:t>
      </w:r>
      <w:r w:rsidR="00931EA0">
        <w:t xml:space="preserve"> than was previously hypothesised. LocaTR was then used to annotate the LTR retrotransposon content of seventy-three sauropsid genomes (including the new chicken Galgal5 assembly), enabling characterisation of lineage-specific effects and the role of genome quality in repeat annotation. This work did not support a previous hypothesis that galliform birds had a deficit of LTR retrotransposons compared to other avian groups. </w:t>
      </w:r>
    </w:p>
    <w:p w14:paraId="1FAD32E1" w14:textId="6E7EFB84" w:rsidR="00E27FC3" w:rsidRPr="00D7393C" w:rsidRDefault="00931EA0" w:rsidP="00391005">
      <w:pPr>
        <w:pStyle w:val="ListParagraph"/>
      </w:pPr>
      <w:r>
        <w:t xml:space="preserve">Chapters 6 and 7 addressed the second aim. </w:t>
      </w:r>
      <w:r w:rsidR="00D7393C">
        <w:t>A scripting pipeline was de</w:t>
      </w:r>
      <w:r w:rsidR="005655E9">
        <w:t>veloped to identify ALVEs from W</w:t>
      </w:r>
      <w:r w:rsidR="00C00542">
        <w:t xml:space="preserve">GS data using standard </w:t>
      </w:r>
      <w:r w:rsidR="00D7393C">
        <w:t>software and tools. This pipeline was initially used on resequencing data from eight Hy-Line elite layer lines, and twenty different ALVEs were identified including five novel sites. As expected, white egg layers were found to have fewer ALVEs than brown egg layers, but many white egg layer ALV</w:t>
      </w:r>
      <w:r w:rsidR="00EB39AE">
        <w:t>Es were fixed in individual lines</w:t>
      </w:r>
      <w:r w:rsidR="00D7393C">
        <w:t xml:space="preserve">. Diagnostic KASP and traditional gel-based PCR assays were developed to identify all insertions, and fifteen of the identified ALVEs were sequenced and characterised. Additionally, the fast feathered WPR line was identified </w:t>
      </w:r>
      <w:r w:rsidR="00D7393C">
        <w:lastRenderedPageBreak/>
        <w:t xml:space="preserve">as a </w:t>
      </w:r>
      <w:r w:rsidR="00D7393C">
        <w:rPr>
          <w:i/>
        </w:rPr>
        <w:t>K</w:t>
      </w:r>
      <w:r w:rsidR="00D7393C">
        <w:t xml:space="preserve"> locus revertant</w:t>
      </w:r>
      <w:r w:rsidR="003D1F12">
        <w:t>,</w:t>
      </w:r>
      <w:r w:rsidR="00D7393C">
        <w:t xml:space="preserve"> which still contained the replication competent ALVE21. The pipeline was then applied to </w:t>
      </w:r>
      <w:r w:rsidR="00AA6549">
        <w:t>almost one hundred diverse chicken datasets and over three hundred different ALVEs were identified, 81.1 % of which were novel to this study. This wider study revealed some of the ALVE diversity in non-commercial lines, and how unrepres</w:t>
      </w:r>
      <w:r w:rsidR="00470E11">
        <w:t xml:space="preserve">entative the reference genome was </w:t>
      </w:r>
      <w:r w:rsidR="00AA6549">
        <w:t>f</w:t>
      </w:r>
      <w:r w:rsidR="00470E11">
        <w:t>or</w:t>
      </w:r>
      <w:r w:rsidR="00AA6549">
        <w:t xml:space="preserve"> RJF ALVE diversity. The pipeline was critically assessed for detection sensitivity, and particularly how this changed depending on read length, read library construction and observed coverage. </w:t>
      </w:r>
    </w:p>
    <w:p w14:paraId="2D587650" w14:textId="0C903761" w:rsidR="00E27FC3" w:rsidRDefault="00AA6549" w:rsidP="00391005">
      <w:pPr>
        <w:pStyle w:val="ListParagraph"/>
      </w:pPr>
      <w:r>
        <w:t>In this final chapter, I will evaluate the relevance of my findings in the wider context, considering limitations with the methodology, the evolutionary roles for these repetitive elements in avian genomes</w:t>
      </w:r>
      <w:r w:rsidR="002E43E8">
        <w:t xml:space="preserve">, </w:t>
      </w:r>
      <w:r w:rsidR="009655A5">
        <w:t xml:space="preserve">and </w:t>
      </w:r>
      <w:r>
        <w:t>the practical consequences of this study</w:t>
      </w:r>
      <w:r w:rsidR="009655A5">
        <w:t>, including the proposals</w:t>
      </w:r>
      <w:r w:rsidR="002E43E8">
        <w:t xml:space="preserve"> for further research</w:t>
      </w:r>
      <w:r>
        <w:t xml:space="preserve">. </w:t>
      </w:r>
    </w:p>
    <w:p w14:paraId="0430DC1E" w14:textId="2233FAEF" w:rsidR="007775EC" w:rsidRDefault="007775EC" w:rsidP="00391005">
      <w:pPr>
        <w:pStyle w:val="ListParagraph"/>
      </w:pPr>
    </w:p>
    <w:p w14:paraId="3F2E6117" w14:textId="30E10B7B" w:rsidR="00E833C9" w:rsidRDefault="00E833C9" w:rsidP="00E833C9">
      <w:pPr>
        <w:pStyle w:val="Heading2"/>
      </w:pPr>
      <w:bookmarkStart w:id="643" w:name="_Toc485721681"/>
      <w:bookmarkStart w:id="644" w:name="_Toc486787261"/>
      <w:bookmarkStart w:id="645" w:name="_Toc486787409"/>
      <w:r>
        <w:t>The development of novel identification pipelines for the identification of LTR retrotransposon-derived repetitive elements</w:t>
      </w:r>
      <w:bookmarkEnd w:id="643"/>
      <w:bookmarkEnd w:id="644"/>
      <w:bookmarkEnd w:id="645"/>
    </w:p>
    <w:p w14:paraId="29405ABC" w14:textId="248AC1CD" w:rsidR="00E833C9" w:rsidRDefault="00E833C9" w:rsidP="00E833C9">
      <w:pPr>
        <w:pStyle w:val="Heading3"/>
      </w:pPr>
      <w:bookmarkStart w:id="646" w:name="_Toc485721682"/>
      <w:bookmarkStart w:id="647" w:name="_Toc486787262"/>
      <w:bookmarkStart w:id="648" w:name="_Toc486787410"/>
      <w:r>
        <w:t>LocaTR</w:t>
      </w:r>
      <w:bookmarkEnd w:id="646"/>
      <w:bookmarkEnd w:id="647"/>
      <w:bookmarkEnd w:id="648"/>
    </w:p>
    <w:p w14:paraId="7F60D880" w14:textId="70A00D3D" w:rsidR="00E833C9" w:rsidRDefault="00E833C9" w:rsidP="00391005">
      <w:pPr>
        <w:pStyle w:val="ListParagraph"/>
      </w:pPr>
      <w:r>
        <w:t xml:space="preserve">The LocaTR identification pipeline consists of three homology-based identification programs, four structure-based identification programs and twenty-three custom scripts written in BASH and Python 2.7. Multiple programs and strategies were required as individual programs have been shown to identify different subsets of LTR retrotransposons </w:t>
      </w:r>
      <w:r>
        <w:fldChar w:fldCharType="begin" w:fldLock="1"/>
      </w:r>
      <w:r>
        <w:instrText>ADDIN CSL_CITATION { "citationItems" : [ { "id" : "ITEM-1", "itemData" : { "DOI" : "10.1038/hdy.2009.165", "ISSN" : "1365-2540", "PMID" : "19935826", "abstract" : "The production of genome sequences has led to another important advance in their annotation, which is closely linked to the exact determination of their content in terms of repeats, among which are transposable elements (TEs). The evolutionary implications and the presence of coding regions in some TEs can confuse gene annotation, and also hinder the process of genome assembly, making particularly crucial to be able to annotate and classify them correctly in genome sequences. This review is intended to provide an overview as comprehensive as possible of the automated methods currently used to annotate and classify TEs in sequenced genomes. Different categories of programs exist according to their methodology and the repeat, which they can identify. I describe here the main characteristics of the programs, their main goals and the difficulties they can entail. The drawbacks of the different methods are also highlighted to help biologists who are unfamiliar with algorithmic methods to understand this methodology better. Globally, using several different programs and carrying out a cross comparison of their results has the best chance of finding reliable results as any single program. However, this makes it essential to verify the results provided by each program independently. The ideal solution would be to test all programs against the same data set to obtain a true comparison of their actual performance.", "author" : [ { "dropping-particle" : "", "family" : "Lerat", "given" : "E", "non-dropping-particle" : "", "parse-names" : false, "suffix" : "" } ], "container-title" : "Heredity", "id" : "ITEM-1", "issue" : "6", "issued" : { "date-parts" : [ [ "2010", "6" ] ] }, "note" : "In depth review of the available resources.", "page" : "520-33", "publisher" : "Nature Publishing Group", "title" : "Identifying repeats and transposable elements in sequenced genomes: how to find your way through the dense forest of programs.", "type" : "article-journal", "volume" : "104" }, "uris" : [ "http://www.mendeley.com/documents/?uuid=1c20e63b-6ed5-46e4-8caa-af696641a770" ] }, { "id" : "ITEM-2", "itemData" : { "DOI" : "10.1128/JVI.00106-10", "ISSN" : "1098-5514", "PMID" : "20686017", "abstract" : "Endogenous retroviruses (ERVs) are the proviral phase of exogenous retroviruses that become integrated into a host germ line. They can play an important role in the host genome. Bioinformatic tools have been used to detect ERVs in several vertebrates, primarily primates and rodents. Less information is available regarding ERVs in other mammalian groups, and the source of this information is basically experimental. We analyzed the genome of the cow (Bos taurus) using three different methods. A BLAST-based method detected 928 possible ERVs, LTR_STRUC detected 4,487 elements flanked by long terminal repeats (LTRs), and Retrotector detected 9,698 ERVs. The ERVs were not homogeneously distributed across chromosomes; the number of ERVs was positively correlated with chromosomal size and negatively correlated with chromosomal GC content. The bovine ERVs (BoERVs) were classified into 24 putative families, with 20 of them not previously described. One of these new families, BoERV1, was the most abundant family and appeared to be specific to ruminants. An analysis of representatives of ERV families from rodents, primates, and ruminants showed a phylogenetic relationship following their hosts' relationships. This study demonstrates the importance of using multiple methods when trying to identify new ERVs and shows that the number of bovine ERV families is not as limited as previously thought.", "author" : [ { "dropping-particle" : "", "family" : "Garcia-Etxebarria", "given" : "Koldo", "non-dropping-particle" : "", "parse-names" : false, "suffix" : "" }, { "dropping-particle" : "", "family" : "Jugo", "given" : "Bego\u00f1a Marina", "non-dropping-particle" : "", "parse-names" : false, "suffix" : "" } ], "container-title" : "Journal of virology", "id" : "ITEM-2", "issue" : "20", "issued" : { "date-parts" : [ [ "2010", "10" ] ] }, "note" : "Read", "page" : "10852-62", "title" : "Genome-wide detection and characterization of endogenous retroviruses in Bos taurus.", "type" : "article-journal", "volume" : "84" }, "uris" : [ "http://www.mendeley.com/documents/?uuid=b20b8539-fc3d-4217-9923-c7273609fb38" ] }, { "id" : "ITEM-3", "itemData" : { "DOI" : "10.1016/j.virol.2012.08.047", "ISSN" : "1096-0341", "PMID" : "23026066", "abstract" : "Endogenous retroviruses (ERVs) are proviral phases of exogenous retroviruses that have become incorporated into the host genome. Little is known about ERVs in the horse genome. By combining 3 bioinformatic approaches, we detected 1947 putative ERVs in the horse genome. These equine ERVs are not scattered randomly across the genome and are especially abundant in the X chromosome. Based on phylogenetic relationships, some of these equine ERVs were classified into 15 previously uncharacterized families of Classes I, II and III. Compared with the cow and other species, the horse genome appears to container fewer ERVs. Although this could be due to limitations of the detection process, it could also stem from characteristics of the horse genome or the effect of the domestication process.", "author" : [ { "dropping-particle" : "", "family" : "Garcia-Etxebarria", "given" : "Koldo", "non-dropping-particle" : "", "parse-names" : false, "suffix" : "" }, { "dropping-particle" : "", "family" : "Jugo", "given" : "Bego\u00f1a M", "non-dropping-particle" : "", "parse-names" : false, "suffix" : "" } ], "container-title" : "Virology", "id" : "ITEM-3", "issued" : { "date-parts" : [ [ "2012", "12", "5" ] ] }, "note" : "Great paper with lots of details about methods and proposals as to why there may be a 'deficit' of ERVs in the horse compared to the cow.\nGood read.", "page" : "59-67", "title" : "Detection and characterization of endogenous retroviruses in the horse genome by in silico analysis.", "type" : "article-journal", "volume" : "434" }, "uris" : [ "http://www.mendeley.com/documents/?uuid=bdcb91f5-00e8-4969-865f-e30ea1609537" ] } ], "mendeley" : { "formattedCitation" : "(Lerat 2010; Garcia-Etxebarria &amp; Jugo 2010; Garcia-Etxebarria &amp; Jugo 2012)", "plainTextFormattedCitation" : "(Lerat 2010; Garcia-Etxebarria &amp; Jugo 2010; Garcia-Etxebarria &amp; Jugo 2012)", "previouslyFormattedCitation" : "(Lerat 2010; Garcia-Etxebarria &amp; Jugo 2010; Garcia-Etxebarria &amp; Jugo 2012)" }, "properties" : { "noteIndex" : 0 }, "schema" : "https://github.com/citation-style-language/schema/raw/master/csl-citation.json" }</w:instrText>
      </w:r>
      <w:r>
        <w:fldChar w:fldCharType="separate"/>
      </w:r>
      <w:r w:rsidRPr="00C9061A">
        <w:rPr>
          <w:noProof/>
        </w:rPr>
        <w:t>(Lerat 2010; Garcia-Etxebarria &amp; Jugo 2010; Garcia-Etxebarria &amp; Jugo 2012)</w:t>
      </w:r>
      <w:r>
        <w:fldChar w:fldCharType="end"/>
      </w:r>
      <w:r>
        <w:t>. The use of so many identification programs covering both homology and structure-based strategies, had not been completed before this project. In addition, some of the programs were difficult to run, either due to limited documentation and support, or more systematic issues with memory allocation. LocaTR mitigates these issues through the accessory scripts</w:t>
      </w:r>
      <w:r w:rsidR="00EB39AE">
        <w:t xml:space="preserve">. All scripts are on the CD accompanying this thesis (Appendix 1) and </w:t>
      </w:r>
      <w:r w:rsidR="009A1DE8">
        <w:t xml:space="preserve">on </w:t>
      </w:r>
      <w:r w:rsidR="00EB39AE">
        <w:t>GitHub (</w:t>
      </w:r>
      <w:r w:rsidR="00EB39AE" w:rsidRPr="0093068F">
        <w:t>https://github.com/andrewstephenmason/LocaTR</w:t>
      </w:r>
      <w:r w:rsidR="00EB39AE">
        <w:t>)</w:t>
      </w:r>
      <w:r>
        <w:t xml:space="preserve">. </w:t>
      </w:r>
    </w:p>
    <w:p w14:paraId="415E9F96" w14:textId="1E0DB010" w:rsidR="00E833C9" w:rsidRDefault="00E833C9" w:rsidP="00391005">
      <w:pPr>
        <w:pStyle w:val="ListParagraph"/>
      </w:pPr>
      <w:r>
        <w:t>LocaTR ac</w:t>
      </w:r>
      <w:r w:rsidR="009A1DE8">
        <w:t>cessory scripts use common Linux</w:t>
      </w:r>
      <w:r>
        <w:t xml:space="preserve">-hosted software (particularly for a bioinformatics group) such as BLAST, EMBOSS and HMMER, but are largely self-contained to avoid complications with accessory programs and dependencies. LocaTR can control for variation in input files (such as long or variable sequence header names) </w:t>
      </w:r>
      <w:r>
        <w:lastRenderedPageBreak/>
        <w:t xml:space="preserve">and is highly adaptable, as additional identification software, reference sequences or validation profiles can be added at the user’s discretion, and the individual parameters for identification software can still be set by the user. This makes the pipeline applicable for LTR retrotransposon identification of any assembled genome, with full characterisation of a one to two gigabase genome in approximately ten days. </w:t>
      </w:r>
    </w:p>
    <w:p w14:paraId="661D0559" w14:textId="77777777" w:rsidR="00E833C9" w:rsidRDefault="00E833C9" w:rsidP="00391005">
      <w:pPr>
        <w:pStyle w:val="ListParagraph"/>
      </w:pPr>
      <w:r>
        <w:t xml:space="preserve">Analysis with LocaTR has increased the annotated LTR retrotransposon content of all genomes studied within this project. However, the incorrect identification of non-LTR retrotransposons, such as CR1, has remained a concern due to two main issues. Firstly, LTR retrotransposons are highly diverse elements and although the main groups share an archetypal structure, the lengths of individual features (such as the LTRs) can vary across three orders of magnitude </w:t>
      </w:r>
      <w:r>
        <w:fldChar w:fldCharType="begin" w:fldLock="1"/>
      </w:r>
      <w:r>
        <w:instrText>ADDIN CSL_CITATION { "citationItems" : [ { "id" : "ITEM-1", "itemData" : { "DOI" : "10.1371/journal.pone.0005179", "ISSN" : "1932-6203", "PMID" : "19365549", "abstract" : "BACKGROUND: Retroviral LTRs, paired or single, influence the transcription of both retroviral and non-retroviral genomic sequences. Vertebrate genomes contain many thousand endogenous retroviruses (ERVs) and their LTRs. Single LTRs are difficult to detect from genomic sequences without recourse to repetitiveness or presence in a proviral structure. Understanding of LTR structure increases understanding of LTR function, and of functional genomics. Here we develop models of orthoretroviral LTRs useful for detection in genomes and for structural analysis.\n\nPRINCIPAL FINDINGS: Although mutated, ERV LTRs are more numerous and diverse than exogenous retroviral (XRV) LTRs. Hidden Markov models (HMMs), and alignments based on them, were created for HML- (human MMTV-like), general-beta-, gamma- and lentiretroviruslike LTRs, plus a general-vertebrate LTR model. Training sets were XRV LTRs and RepBase LTR consensuses. The HML HMM was most sensitive and detected 87% of the HML LTRs in human chromosome 19 at 96% specificity. By combining all HMMs with a low cutoff, for screening, 71% of all LTRs found by RepeatMasker in chromosome 19 were found. HMM consensus sequences had a conserved modular LTR structure. Target site duplications (TG-CA), TATA (occasionally absent), an AATAAA box and a T-rich region were prominent features. Most of the conservation was located in, or adjacent to, R and U5, with evidence for stem loops. Several of the long HML LTRs contained long ORFs inserted after the second A rich module. HMM consensus alignment allowed comparison of functional features like transcriptional start sites (sense and antisense) between XRVs and ERVs.\n\nCONCLUSION: The modular conserved and redundant orthoretroviral LTR structure with three A-rich regions is reminiscent of structurally relaxed Giardia promoters. The five HMMs provided a novel broad range, repeat-independent, ab initio LTR detection, with prospects for greater generalisation, and insight into LTR structure, which may aid development of LTR-targeted pharmaceuticals.", "author" : [ { "dropping-particle" : "", "family" : "Benachenhou", "given" : "Farid", "non-dropping-particle" : "", "parse-names" : false, "suffix" : "" }, { "dropping-particle" : "", "family" : "Jern", "given" : "Patric", "non-dropping-particle" : "", "parse-names" : false, "suffix" : "" }, { "dropping-particle" : "", "family" : "Oja", "given" : "Merja", "non-dropping-particle" : "", "parse-names" : false, "suffix" : "" }, { "dropping-particle" : "", "family" : "Sperber", "given" : "G\u00f6ran", "non-dropping-particle" : "", "parse-names" : false, "suffix" : "" }, { "dropping-particle" : "", "family" : "Blikstad", "given" : "Vidar", "non-dropping-particle" : "", "parse-names" : false, "suffix" : "" }, { "dropping-particle" : "", "family" : "Somervuo", "given" : "Panu", "non-dropping-particle" : "", "parse-names" : false, "suffix" : "" }, { "dropping-particle" : "", "family" : "Kaski", "given" : "Samuel", "non-dropping-particle" : "", "parse-names" : false, "suffix" : "" }, { "dropping-particle" : "", "family" : "Blomberg", "given" : "Jonas", "non-dropping-particle" : "", "parse-names" : false, "suffix" : "" } ], "container-title" : "PloS one", "id" : "ITEM-1", "issue" : "4", "issued" : { "date-parts" : [ [ "2009", "1", "13" ] ] }, "page" : "e5179", "publisher" : "Public Library of Science", "title" : "Evolutionary conservation of orthoretroviral long terminal repeats (LTRs) and ab initio detection of single LTRs in genomic data.", "type" : "article-journal", "volume" : "4" }, "uris" : [ "http://www.mendeley.com/documents/?uuid=e5d47268-f5f4-40ca-8662-07792fcd7ba2" ] }, { "id" : "ITEM-2", "itemData" : { "DOI" : "10.1093/nar/gkq1061", "ISSN" : "1362-4962", "PMID" : "21036865", "abstract" : "This article introduces the second release of the Gypsy Database of Mobile Genetic Elements (GyDB 2.0): a research project devoted to the evolutionary dynamics of viruses and transposable elements based on their phylogenetic classification (per lineage and protein domain). The Gypsy Database (GyDB) is a long-term project that is continuously progressing, and that owing to the high molecular diversity of mobile elements requires to be completed in several stages. GyDB 2.0 has been powered with a wiki to allow other researchers participate in the project. The current database stage and scope are long terminal repeats (LTR) retroelements and relatives. GyDB 2.0 is an update based on the analysis of Ty3/Gypsy, Retroviridae, Ty1/Copia and Bel/Pao LTR retroelements and the Caulimoviridae pararetroviruses of plants. Among other features, in terms of the aforementioned topics, this update adds: (i) a variety of descriptions and reviews distributed in multiple web pages; (ii) protein-based phylogenies, where phylogenetic levels are assigned to distinct classified elements; (iii) a collection of multiple alignments, lineage-specific hidden Markov models and consensus sequences, called GyDB collection; (iv) updated RefSeq databases and BLAST and HMM servers to facilitate sequence characterization of new LTR retroelement and caulimovirus queries; and (v) a bibliographic server. GyDB 2.0 is available at http://gydb.org.", "author" : [ { "dropping-particle" : "", "family" : "Llorens", "given" : "Carlos", "non-dropping-particle" : "", "parse-names" : false, "suffix" : "" }, { "dropping-particle" : "", "family" : "Futami", "given" : "Ricardo", "non-dropping-particle" : "", "parse-names" : false, "suffix" : "" }, { "dropping-particle" : "", "family" : "Covelli", "given" : "Laura", "non-dropping-particle" : "", "parse-names" : false, "suffix" : "" }, { "dropping-particle" : "", "family" : "Dom\u00ednguez-Escrib\u00e1", "given" : "Laura", "non-dropping-particle" : "", "parse-names" : false, "suffix" : "" }, { "dropping-particle" : "", "family" : "Viu", "given" : "Jose M", "non-dropping-particle" : "", "parse-names" : false, "suffix" : "" }, { "dropping-particle" : "", "family" : "Tamarit", "given" : "Daniel", "non-dropping-particle" : "", "parse-names" : false, "suffix" : "" }, { "dropping-particle" : "", "family" : "Aguilar-Rodr\u00edguez", "given" : "Jose", "non-dropping-particle" : "", "parse-names" : false, "suffix" : "" }, { "dropping-particle" : "", "family" : "Vicente-Ripolles", "given" : "Miguel", "non-dropping-particle" : "", "parse-names" : false, "suffix" : "" }, { "dropping-particle" : "", "family" : "Fuster", "given" : "Gonzalo", "non-dropping-particle" : "", "parse-names" : false, "suffix" : "" }, { "dropping-particle" : "", "family" : "Bernet", "given" : "Guillermo P", "non-dropping-particle" : "", "parse-names" : false, "suffix" : "" }, { "dropping-particle" : "", "family" : "Maumus", "given" : "Florian", "non-dropping-particle" : "", "parse-names" : false, "suffix" : "" }, { "dropping-particle" : "", "family" : "Munoz-Pomer", "given" : "Alfonso", "non-dropping-particle" : "", "parse-names" : false, "suffix" : "" }, { "dropping-particle" : "", "family" : "Sempere", "given" : "Jose M", "non-dropping-particle" : "", "parse-names" : false, "suffix" : "" }, { "dropping-particle" : "", "family" : "Latorre", "given" : "Amparo", "non-dropping-particle" : "", "parse-names" : false, "suffix" : "" }, { "dropping-particle" : "", "family" : "Moya", "given" : "Andres", "non-dropping-particle" : "", "parse-names" : false, "suffix" : "" } ], "container-title" : "Nucleic acids research", "id" : "ITEM-2", "issue" : "Database issue", "issued" : { "date-parts" : [ [ "2011", "1" ] ] }, "page" : "D70-4", "title" : "The Gypsy Database (GyDB) of mobile genetic elements: release 2.0.", "type" : "article-journal", "volume" : "39" }, "uris" : [ "http://www.mendeley.com/documents/?uuid=2201aeec-e22e-4c31-9b3c-c918eda40ebe" ] } ], "mendeley" : { "formattedCitation" : "(Benachenhou, Jern, et al. 2009; Llorens et al. 2011)", "plainTextFormattedCitation" : "(Benachenhou, Jern, et al. 2009; Llorens et al. 2011)", "previouslyFormattedCitation" : "(Benachenhou, Jern, et al. 2009; Llorens et al. 2011)" }, "properties" : { "noteIndex" : 0 }, "schema" : "https://github.com/citation-style-language/schema/raw/master/csl-citation.json" }</w:instrText>
      </w:r>
      <w:r>
        <w:fldChar w:fldCharType="separate"/>
      </w:r>
      <w:r w:rsidRPr="00382EE2">
        <w:rPr>
          <w:noProof/>
        </w:rPr>
        <w:t>(Benachenhou, Jern, et al. 2009; Llorens et al. 2011)</w:t>
      </w:r>
      <w:r>
        <w:fldChar w:fldCharType="end"/>
      </w:r>
      <w:r>
        <w:t xml:space="preserve">. Consequently, parameters for structure-based programs must be kept unconstrained, leading to the inclusion of non-LTR retrotransposons within blocks of repetitive sequence which superficially represent LTRs. Secondly, high homology between the </w:t>
      </w:r>
      <w:r>
        <w:rPr>
          <w:i/>
        </w:rPr>
        <w:t>polymerase</w:t>
      </w:r>
      <w:r>
        <w:t xml:space="preserve"> domains of retrotransposons leads to detection of these regions during the BLAST protocols of LocaTR. Future work needs to address the careful validation of putative elements to guarantee their correct annotation, particularly when the pipeline is applied to more diverse species with different non-LTR retrotransposon complements. This should include better handling of fragmented sequences identified in the BLAST protocols by expanding alignments to the neighbouring regions, and including non-LTR retrotransposon domain pHMMs in the validation scripts, to test for more significant domain matches than are observed with LTR retrotransposon pHMMs. </w:t>
      </w:r>
    </w:p>
    <w:p w14:paraId="02630898" w14:textId="54DCA527" w:rsidR="00E833C9" w:rsidRDefault="00E833C9" w:rsidP="00391005">
      <w:pPr>
        <w:pStyle w:val="ListParagraph"/>
      </w:pPr>
      <w:r>
        <w:t xml:space="preserve">The major limitation to the success of LocaTR is genome contiguity. This does not significantly influence the initial homology-based identification, but fewer intact elements are identified in less contiguous genomes. This has a multiplying effect, as fewer intact elements result in a smaller contribution from the secondary BLAST protocol, where lineage-specific divergent and degraded sequences are detected. This is a consequence of repetitive genomic regions being most difficult to assemble, and should improve as genome assemblies are updated with long read sequencing and high resolution optic mapping, as was discussed on page </w:t>
      </w:r>
      <w:r w:rsidR="005B09FF">
        <w:fldChar w:fldCharType="begin" w:fldLock="1"/>
      </w:r>
      <w:r w:rsidR="005B09FF">
        <w:instrText xml:space="preserve"> PAGEREF  _Ref485044795 \h </w:instrText>
      </w:r>
      <w:r w:rsidR="005B09FF">
        <w:fldChar w:fldCharType="separate"/>
      </w:r>
      <w:r w:rsidR="00C26134">
        <w:rPr>
          <w:noProof/>
        </w:rPr>
        <w:t>5</w:t>
      </w:r>
      <w:r w:rsidR="005B09FF">
        <w:fldChar w:fldCharType="end"/>
      </w:r>
      <w:r>
        <w:t xml:space="preserve">. Researchers should therefore be careful when comparing repeat content between species unless both genomes are </w:t>
      </w:r>
      <w:r w:rsidR="00EB39AE">
        <w:t>highly contiguous</w:t>
      </w:r>
      <w:r>
        <w:t xml:space="preserve">. Concordantly, future work could identify LTR retrotransposon patterns among the bird </w:t>
      </w:r>
      <w:r>
        <w:lastRenderedPageBreak/>
        <w:t>genomes, including the previously hypothesised deficit in the Galliformes which was not supported by this work.</w:t>
      </w:r>
    </w:p>
    <w:p w14:paraId="6E191C5C" w14:textId="78DAAF65" w:rsidR="00E833C9" w:rsidRDefault="00E833C9" w:rsidP="00391005">
      <w:pPr>
        <w:pStyle w:val="ListParagraph"/>
      </w:pPr>
      <w:r>
        <w:t>Additional improvements to LocaTR are required to improve its efficiency and scalability. This should include investigating cloud computing methods to parallelise iden</w:t>
      </w:r>
      <w:r w:rsidR="007B58C5">
        <w:t>tification with RetroTector and LTR_STRUC (as these require desktop architecture),</w:t>
      </w:r>
      <w:r>
        <w:t xml:space="preserve"> and the standardisation of intermediary files to match existing file formats such as BED6.</w:t>
      </w:r>
    </w:p>
    <w:p w14:paraId="1FBC4DA3" w14:textId="1AD06FDE" w:rsidR="00E833C9" w:rsidRDefault="00E833C9" w:rsidP="00391005">
      <w:pPr>
        <w:pStyle w:val="ListParagraph"/>
      </w:pPr>
    </w:p>
    <w:p w14:paraId="496065A6" w14:textId="5DC71185" w:rsidR="00E833C9" w:rsidRDefault="00E833C9" w:rsidP="00E833C9">
      <w:pPr>
        <w:pStyle w:val="Heading3"/>
      </w:pPr>
      <w:bookmarkStart w:id="649" w:name="_Toc485721683"/>
      <w:bookmarkStart w:id="650" w:name="_Toc486787263"/>
      <w:bookmarkStart w:id="651" w:name="_Toc486787411"/>
      <w:r>
        <w:t>ALVE identification pipeline</w:t>
      </w:r>
      <w:bookmarkEnd w:id="649"/>
      <w:bookmarkEnd w:id="650"/>
      <w:bookmarkEnd w:id="651"/>
    </w:p>
    <w:p w14:paraId="71443A30" w14:textId="5AFEA221" w:rsidR="00E833C9" w:rsidRDefault="00CD0028" w:rsidP="00391005">
      <w:pPr>
        <w:pStyle w:val="ListParagraph"/>
      </w:pPr>
      <w:r>
        <w:t xml:space="preserve">The ALVE identification pipeline was originally designed for </w:t>
      </w:r>
      <w:r w:rsidR="00C22246">
        <w:t xml:space="preserve">the </w:t>
      </w:r>
      <w:r>
        <w:t xml:space="preserve">analysis of paired end sequencing data and consists of seven scripts written in BASH and Python 2.7. </w:t>
      </w:r>
      <w:r w:rsidR="00C22246">
        <w:t xml:space="preserve">The pipeline uses standard bioinformatic tools for the processing, alignment and manipulation of NGS data, avoiding reliance on </w:t>
      </w:r>
      <w:r w:rsidR="0054290D">
        <w:t xml:space="preserve">complex </w:t>
      </w:r>
      <w:r w:rsidR="00C22246">
        <w:t xml:space="preserve">accessory software packages. The pipeline’s application was </w:t>
      </w:r>
      <w:r>
        <w:t xml:space="preserve">extended with alternative scripts for the analysis of single end sequencing data, and an accessory script to convert SOLiD ‘colorspace’ FASTQ files into standard ‘basespace’ FASTQ format. </w:t>
      </w:r>
      <w:r w:rsidR="00C22246">
        <w:t>The ALVE identification pipeline is therefore applica</w:t>
      </w:r>
      <w:r w:rsidR="005655E9">
        <w:t>ble to most publicly available W</w:t>
      </w:r>
      <w:r w:rsidR="00C22246">
        <w:t>GS datasets, although additional scripts would be required for the analysis of long read sequencing data</w:t>
      </w:r>
      <w:r w:rsidR="0054290D">
        <w:t xml:space="preserve"> (discussed on page </w:t>
      </w:r>
      <w:r w:rsidR="005B09FF">
        <w:fldChar w:fldCharType="begin" w:fldLock="1"/>
      </w:r>
      <w:r w:rsidR="005B09FF">
        <w:instrText xml:space="preserve"> PAGEREF  _Ref485324130 \h </w:instrText>
      </w:r>
      <w:r w:rsidR="005B09FF">
        <w:fldChar w:fldCharType="separate"/>
      </w:r>
      <w:r w:rsidR="00C26134">
        <w:rPr>
          <w:noProof/>
        </w:rPr>
        <w:t>5</w:t>
      </w:r>
      <w:r w:rsidR="005B09FF">
        <w:fldChar w:fldCharType="end"/>
      </w:r>
      <w:r w:rsidR="0054290D">
        <w:t>)</w:t>
      </w:r>
      <w:r w:rsidR="00C22246">
        <w:t>. The pipeline is also highly versatile as users select the type of inserts to be detected by providing the appropriate reference sequences. This makes the pipeline applicable to any species, and any viral insertion. Depending on the size of the FASTQ files, identification of ALVE insertions was completed in one to three days.</w:t>
      </w:r>
      <w:r w:rsidR="00EB39AE">
        <w:t xml:space="preserve"> All script files are on the CD accompanying this thesis (Appendix 1) and in a GitHub repository (</w:t>
      </w:r>
      <w:r w:rsidR="00EB39AE" w:rsidRPr="0093068F">
        <w:t>https://github.com/andrewstephenmason/ALVE_ID_pipeline</w:t>
      </w:r>
      <w:r w:rsidR="00EB39AE">
        <w:t>).</w:t>
      </w:r>
      <w:r w:rsidR="00C22246">
        <w:t xml:space="preserve">  </w:t>
      </w:r>
    </w:p>
    <w:p w14:paraId="1842F9EB" w14:textId="74034D56" w:rsidR="006E2F73" w:rsidRDefault="003353B4" w:rsidP="00391005">
      <w:pPr>
        <w:pStyle w:val="ListParagraph"/>
      </w:pPr>
      <w:r>
        <w:t>The major limiting factor for the success of the</w:t>
      </w:r>
      <w:r w:rsidR="0054290D">
        <w:t xml:space="preserve"> ALVE identification pipeline is</w:t>
      </w:r>
      <w:r>
        <w:t xml:space="preserve"> total coverage. Soft-clipped reads at the insertion site are required to give the exact insertion co-ordinates, as well as validate the insertion by providing ALVE-homologous sequence. In datasets with limited coverage, there are few soft-clipped reads to support the insertion site, and in single end datasets reads must contain significant matches to both the in</w:t>
      </w:r>
      <w:r w:rsidR="00307B6C">
        <w:t>sert and reference genome</w:t>
      </w:r>
      <w:r>
        <w:t xml:space="preserve">. </w:t>
      </w:r>
      <w:r w:rsidR="00307B6C">
        <w:t xml:space="preserve">This issue is compounded by short sequencing reads (no ALVEs </w:t>
      </w:r>
      <w:r w:rsidR="00307B6C">
        <w:lastRenderedPageBreak/>
        <w:t>were detected with read lengths shorte</w:t>
      </w:r>
      <w:r w:rsidR="007B58C5">
        <w:t>r than 100 bp during this project</w:t>
      </w:r>
      <w:r w:rsidR="00307B6C">
        <w:t>) and the use of pooled sequencing libraries, where inserts may be at a low frequency within the sample popu</w:t>
      </w:r>
      <w:r w:rsidR="009A1DE8">
        <w:t>lation or the insert alleles may become</w:t>
      </w:r>
      <w:r w:rsidR="00307B6C">
        <w:t xml:space="preserve"> underrepresented after PCR amplification. </w:t>
      </w:r>
      <w:r w:rsidR="00C7687D">
        <w:t>More recent sequencing projects which use paired end reads of at least 100 bp, generate at least 20x coverage, and use individual sequencing libraries, avoid issues with insufficient coverage. Consequently, targeted ALVE sequencing to generate higher coverage of genome-insert boundaries should only be used to complement existing dataset</w:t>
      </w:r>
      <w:r w:rsidR="00D76863">
        <w:t>s or to conduct ALVE diversity studies in a more cost effective manner if whole genome sequencing is not required. However, as the cost of individual chicken genome sequencing to 30x coverage has fallen to approximately £300 (and will continue to fall), it is worth c</w:t>
      </w:r>
      <w:r w:rsidR="0054290D">
        <w:t xml:space="preserve">ompleting whole genome </w:t>
      </w:r>
      <w:r w:rsidR="00D76863">
        <w:t>sequencing rather than generating datasets with limited wider research applications.</w:t>
      </w:r>
      <w:r w:rsidR="006E2F73">
        <w:t xml:space="preserve"> Careful consideration is required to select an appropriate number of individuals for sequencing based on the desired confidence for detecting insertions of a given frequency, and the size </w:t>
      </w:r>
      <w:r w:rsidR="007B58C5">
        <w:t>of the flock. Individual sequencing libraries are best, as v</w:t>
      </w:r>
      <w:r w:rsidR="006E2F73">
        <w:t xml:space="preserve">ariation in PCR amplification in </w:t>
      </w:r>
      <w:r w:rsidR="0054290D">
        <w:t xml:space="preserve">pooled sequencing libraries reduces detection confidence and can </w:t>
      </w:r>
      <w:r w:rsidR="006E2F73">
        <w:t>reduce sensitivity</w:t>
      </w:r>
      <w:r w:rsidR="00740D54">
        <w:t xml:space="preserve"> (sections </w:t>
      </w:r>
      <w:r w:rsidR="00740D54">
        <w:fldChar w:fldCharType="begin" w:fldLock="1"/>
      </w:r>
      <w:r w:rsidR="00740D54">
        <w:instrText xml:space="preserve"> REF _Ref479618008 \r \h </w:instrText>
      </w:r>
      <w:r w:rsidR="00740D54">
        <w:fldChar w:fldCharType="separate"/>
      </w:r>
      <w:r w:rsidR="002C549C">
        <w:t>6.4.3</w:t>
      </w:r>
      <w:r w:rsidR="00740D54">
        <w:fldChar w:fldCharType="end"/>
      </w:r>
      <w:r w:rsidR="00740D54">
        <w:t xml:space="preserve"> and </w:t>
      </w:r>
      <w:r w:rsidR="00740D54">
        <w:fldChar w:fldCharType="begin" w:fldLock="1"/>
      </w:r>
      <w:r w:rsidR="00740D54">
        <w:instrText xml:space="preserve"> REF _Ref480792034 \r \h </w:instrText>
      </w:r>
      <w:r w:rsidR="00740D54">
        <w:fldChar w:fldCharType="separate"/>
      </w:r>
      <w:r w:rsidR="002C549C">
        <w:t>7.3.2</w:t>
      </w:r>
      <w:r w:rsidR="00740D54">
        <w:fldChar w:fldCharType="end"/>
      </w:r>
      <w:r w:rsidR="00740D54">
        <w:t>)</w:t>
      </w:r>
      <w:r w:rsidR="006E2F73">
        <w:t xml:space="preserve">. </w:t>
      </w:r>
    </w:p>
    <w:p w14:paraId="0215C9DC" w14:textId="7DA004C6" w:rsidR="00E833C9" w:rsidRDefault="006E2F73" w:rsidP="00391005">
      <w:pPr>
        <w:pStyle w:val="ListParagraph"/>
      </w:pPr>
      <w:r>
        <w:t xml:space="preserve">Another limitation is the difficulty in identifying insertions in poorly assembled regions. This certainly hindered the identification of ALVE6 in any sequencing data analysed in this PhD project. Future improvements to the reference genome should eventually mitigate these issues, but this is worth remembering if the pipeline is applied to viruses which preferentially integrate at the telomeres or centromeres. </w:t>
      </w:r>
      <w:r w:rsidR="00507315">
        <w:t>Interestingly, this</w:t>
      </w:r>
      <w:r>
        <w:t xml:space="preserve"> thesis has shown that the chicken reference genome is particularly under-representative of ALVE </w:t>
      </w:r>
      <w:r w:rsidR="0097043D">
        <w:t>diversity among chickens and wild RJF, corroborating recent analysis by Ulfah and colleagues (2016). However, this has</w:t>
      </w:r>
      <w:r w:rsidR="00507315">
        <w:t xml:space="preserve"> actually</w:t>
      </w:r>
      <w:r w:rsidR="0097043D">
        <w:t xml:space="preserve"> facilitated </w:t>
      </w:r>
      <w:r w:rsidR="00507315">
        <w:t xml:space="preserve">the </w:t>
      </w:r>
      <w:r w:rsidR="0097043D">
        <w:t>identification of novel ALVE insertions during this project, as the reference genome</w:t>
      </w:r>
      <w:r w:rsidR="00507315">
        <w:t xml:space="preserve"> </w:t>
      </w:r>
      <w:r w:rsidR="0097043D">
        <w:t xml:space="preserve">provided an almost ALVE-free background, particularly as the only fully assembled reference genome ALVE (ALVE-RJF) has not been identified in any other chicken </w:t>
      </w:r>
      <w:r w:rsidR="0097043D">
        <w:fldChar w:fldCharType="begin" w:fldLock="1"/>
      </w:r>
      <w:r w:rsidR="008C3B9B">
        <w:instrText>ADDIN CSL_CITATION { "citationItems" : [ { "id" : "ITEM-1", "itemData" : { "author" : [ { "dropping-particle" : "", "family" : "Benkel", "given" : "Bernhard", "non-dropping-particle" : "", "parse-names" : false, "suffix" : "" }, { "dropping-particle" : "", "family" : "Rutherford", "given" : "Katherine", "non-dropping-particle" : "", "parse-names" : false, "suffix" : "" } ], "container-title" : "Poultry science", "id" : "ITEM-1", "issued" : { "date-parts" : [ [ "2014" ] ] }, "page" : "2988-2990", "title" : "Endogenous avian leukosis viral loci in the Red Jungle Fowl genome assembly", "type" : "article-journal", "volume" : "93" }, "uris" : [ "http://www.mendeley.com/documents/?uuid=61d84058-49bc-42c3-b4ea-8b2d85ae87fb" ] } ], "mendeley" : { "formattedCitation" : "(Benkel &amp; Rutherford 2014)", "plainTextFormattedCitation" : "(Benkel &amp; Rutherford 2014)", "previouslyFormattedCitation" : "(Benkel &amp; Rutherford 2014)" }, "properties" : { "noteIndex" : 0 }, "schema" : "https://github.com/citation-style-language/schema/raw/master/csl-citation.json" }</w:instrText>
      </w:r>
      <w:r w:rsidR="0097043D">
        <w:fldChar w:fldCharType="separate"/>
      </w:r>
      <w:r w:rsidR="0097043D" w:rsidRPr="00256A6C">
        <w:rPr>
          <w:noProof/>
        </w:rPr>
        <w:t>(Benkel &amp; Rutherford 2014)</w:t>
      </w:r>
      <w:r w:rsidR="0097043D">
        <w:fldChar w:fldCharType="end"/>
      </w:r>
      <w:r w:rsidR="0097043D">
        <w:t xml:space="preserve">. </w:t>
      </w:r>
      <w:r w:rsidR="00507315">
        <w:t>Known alpharetroviral sites were filtered out during the identification pipeline, but each line was manually checked for the presence of ALVE-RJF to ensure mapped reads were not filtered out incorrectly. This is an important consideration if the pipeline is applied to more ancient</w:t>
      </w:r>
      <w:r w:rsidR="007B58C5">
        <w:t xml:space="preserve"> and numerous</w:t>
      </w:r>
      <w:r w:rsidR="00507315">
        <w:t xml:space="preserve"> insertions, such as EAVs, as there will </w:t>
      </w:r>
      <w:r w:rsidR="0054290D">
        <w:t xml:space="preserve">be </w:t>
      </w:r>
      <w:r w:rsidR="00507315">
        <w:t xml:space="preserve">assembled EAVs which are shared with some lines, but absent in others. It may aid novel </w:t>
      </w:r>
      <w:r w:rsidR="00507315">
        <w:lastRenderedPageBreak/>
        <w:t>insertion detection if assembled insertions are masked after their identification (</w:t>
      </w:r>
      <w:r w:rsidR="00507315">
        <w:rPr>
          <w:i/>
        </w:rPr>
        <w:t>e.g.</w:t>
      </w:r>
      <w:r w:rsidR="00507315">
        <w:t xml:space="preserve"> converted to ambiguous bases</w:t>
      </w:r>
      <w:r w:rsidR="00EE2DDA">
        <w:t>, Ns</w:t>
      </w:r>
      <w:r w:rsidR="00507315">
        <w:t>), and each detected site treated individually.</w:t>
      </w:r>
    </w:p>
    <w:p w14:paraId="35B13E6D" w14:textId="3B93D7B5" w:rsidR="00507315" w:rsidRPr="00507315" w:rsidRDefault="00507315" w:rsidP="00391005">
      <w:pPr>
        <w:pStyle w:val="ListParagraph"/>
      </w:pPr>
      <w:r>
        <w:t>The most laborious part of the pipeline is the manual validation of putative integration sites using a genome viewer such as IGV. Whilst this was straightforward with the low numbers of ALVEs detected in the commercial layers, it was more time consuming with the non-commercial and RJF datasets. Future work could develop the filtering of putative sites, perhaps even id</w:t>
      </w:r>
      <w:r w:rsidR="0054290D">
        <w:t>entifying soft-clipped reads,</w:t>
      </w:r>
      <w:r>
        <w:t xml:space="preserve"> checking these against the given reference sequences, and extracting the</w:t>
      </w:r>
      <w:r w:rsidR="0016044E">
        <w:t xml:space="preserve"> insertion site and hexamer for comparison against </w:t>
      </w:r>
      <w:r>
        <w:t xml:space="preserve">a database </w:t>
      </w:r>
      <w:r w:rsidR="0054290D">
        <w:t>of previously identified ALVEs.</w:t>
      </w:r>
      <w:r w:rsidR="0016044E">
        <w:t xml:space="preserve"> Such changes would likely limit manual checking rather than replacing it entirely, to ensure putative sites are not filtered out incorrectly.</w:t>
      </w:r>
    </w:p>
    <w:p w14:paraId="0BC97059" w14:textId="7E7A90F5" w:rsidR="00E833C9" w:rsidRDefault="00E833C9" w:rsidP="00391005">
      <w:pPr>
        <w:pStyle w:val="ListParagraph"/>
      </w:pPr>
    </w:p>
    <w:p w14:paraId="3F180243" w14:textId="54A5AD02" w:rsidR="00092BA2" w:rsidRDefault="00092BA2" w:rsidP="00092BA2">
      <w:pPr>
        <w:pStyle w:val="Heading2"/>
      </w:pPr>
      <w:bookmarkStart w:id="652" w:name="_Toc485721684"/>
      <w:bookmarkStart w:id="653" w:name="_Toc486787264"/>
      <w:bookmarkStart w:id="654" w:name="_Toc486787412"/>
      <w:r>
        <w:t>Evolutionary roles for LTR retrotransposon-derived sequences in avian genomes</w:t>
      </w:r>
      <w:bookmarkEnd w:id="652"/>
      <w:bookmarkEnd w:id="653"/>
      <w:bookmarkEnd w:id="654"/>
    </w:p>
    <w:p w14:paraId="085432CB" w14:textId="0F798AC7" w:rsidR="00E833C9" w:rsidRDefault="00092BA2" w:rsidP="00092BA2">
      <w:pPr>
        <w:pStyle w:val="Heading3"/>
      </w:pPr>
      <w:bookmarkStart w:id="655" w:name="_Toc485721685"/>
      <w:bookmarkStart w:id="656" w:name="_Toc486787265"/>
      <w:bookmarkStart w:id="657" w:name="_Toc486787413"/>
      <w:r>
        <w:t>Repetitive elements in avian genome evolution</w:t>
      </w:r>
      <w:bookmarkEnd w:id="655"/>
      <w:bookmarkEnd w:id="656"/>
      <w:bookmarkEnd w:id="657"/>
    </w:p>
    <w:p w14:paraId="0EDF0DB1" w14:textId="77777777" w:rsidR="0048495E" w:rsidRDefault="00092BA2" w:rsidP="00391005">
      <w:pPr>
        <w:pStyle w:val="ListParagraph"/>
      </w:pPr>
      <w:r>
        <w:t xml:space="preserve">This project has increased the annotated LTR retrotransposon content of all analysed genomes. Despite this, avian genomes remain repeat sparse. Whilst the avian karyotype likely closely resembles that of the amniote ancestor </w:t>
      </w:r>
      <w:r>
        <w:fldChar w:fldCharType="begin" w:fldLock="1"/>
      </w:r>
      <w:r>
        <w:instrText>ADDIN CSL_CITATION { "citationItems" : [ { "id" : "ITEM-1", "itemData" : { "DOI" : "10.1016/j.tree.2005.01.015", "ISSN" : "0169-5347", "PMID" : "16701366", "abstract" : "Our knowledge of avian genomics has increased rapidly over the past few years, culminating in the recent publication of a draft sequence of the chicken genome, a milestone event in avian genetics and evolutionary biology. Comparative analysis reveals a compact avian genome structure containing a similar number of genes as found in mammals but with shorter intergenic DNA sequences and fewer repeats. Recombination is at a higher rate than in mammals, particularly for microchromosomes. These also differ from macrochromosomes in their GC and gene content, and their substitution rate. The avian genome has remained unusually stable during evolution and contrasts sharply with the frequent chromosomal rearrangements seen in the rodent lineage. Detailed analyses of polymorphism levels in chickens, including a genome-wide screening in three chicken breeds yielding a set of 2.8 million SNP markers, reveal unexpectedly high levels of genetic diversity. As a notable exception, the female-specific W chromosome is very low in diversity, a probable consequence of the effect of selection on non-recombining chromosomes. The chicken genome promises to be a useful resource for ecological and evolutionary studies of other bird species.", "author" : [ { "dropping-particle" : "", "family" : "Ellegren", "given" : "Hans", "non-dropping-particle" : "", "parse-names" : false, "suffix" : "" } ], "container-title" : "Trends in ecology &amp; evolution", "id" : "ITEM-1", "issue" : "4", "issued" : { "date-parts" : [ [ "2005", "4" ] ] }, "note" : "Chicken genome is compact; containing a similar gene number to mammals but with fewer repeats and shorter intergenic distances. Recombination rates are also higher.\n\n\nPrevailing repeat in chicken is CR1 (a LINE) - estimated 200,000 copies, significantly less (even when scaled) than L1, the most common mammalian LINE (1,000,000 copies). Many of these elements are severely trunctaed at the 5' end (and the 5' end is that which is crucial for retrotransposition) so this suggests that the rate of spread could be lower than the relatively 'un-constrained' mammalian genomes. \nMicrosatellites are sparse, appears that there are few retrotransposons etc. \n\n\n2n =78\nch1-10 are macrochromosomes (although 6-10 are sometimes described as intermediate chromosomes). Microchromosomes have higher GC content and z higher density of CpG islands, genes and repeats - there is a positive correlation between chromosome size and both intron length and intergenic distance. Microchromosome recombination rates are elevated in relation to macrochromosomes. This is not unexpected as obligate crossing over is required during meiosis.\nKs is significantly higher on micro.\n\n\nAvian genomes appear to show large synteny blocks, even between distantly related species. This suggests high genome stability - also suggested by low duplication rates (both gene and segmental). Proposed reconstructions of the ancestral amniote genome would also suggest the avian genome has not changed hugely. Many non-coding regions appear to be under some selective constraint.\n\n\nObserved nucleotide diversity is 5x10-3 per base. (6 or 7 times higher than in humans). Most of this diversity existed before domestication and has been retained due to domestication having multiple origins.", "page" : "180-6", "title" : "The avian genome uncovered.", "type" : "article-journal", "volume" : "20" }, "uris" : [ "http://www.mendeley.com/documents/?uuid=5ecfb337-b16a-4de4-b3d6-73adfd95d2e1" ] }, { "id" : "ITEM-2", "itemData" : { "DOI" : "10.1016/j.tree.2009.12.004", "ISSN" : "0169-5347", "PMID" : "20363047", "abstract" : "Evolution at the molecular level is manifested in a variety of types of change in DNA sequences, including changes in the structure and organisation of chromosomes. However, in birds chromosomal evolution occurs at an unusually slow rate and recent whole-genome comparisons have shown that many chromosomes have remained more or less intact during avian evolution. Here I discuss progress in the development of genetic maps of natural bird populations, which has revealed that the evolutionary stasis of chromosomes often extends to conservation of gene order. The evolutionary stability of bird chromosomes, which might relate to a low frequency of transposable elements, will facilitate the transfer of genomic information from model to non-model organisms and might have a connection to the rarity of postzygotic incompatibilities observed in birds.", "author" : [ { "dropping-particle" : "", "family" : "Ellegren", "given" : "Hans", "non-dropping-particle" : "", "parse-names" : false, "suffix" : "" } ], "container-title" : "Trends in ecology &amp; evolution", "id" : "ITEM-2", "issue" : "5", "issued" : { "date-parts" : [ [ "2010", "5" ] ] }, "note" : "Bird chromosomal evolution occurs at an unusually slow rate.\nKaryotype is very conserved. Usually found to be between 2n=76 and 2n=80 for most species. When karyotype is less than this (the Accipitridae have 2n = 50 - 68) it is due to the fusion of ancestral microchromosomes. Whne a microchromosome fuses to an existing macrochromosome you can still tell the microchromosome signature by GC content and gene/repeat density.\nW is mostly non recombining. Z and W began to differentiate by suppressed recombination of an autosomal pair about 150MYA. Such events have occurred in many clades of the reptiles (including birds and mammals) such as the Z&amp;amp;W in birds are different to the Z&amp;amp;W in lizards and the X&amp;amp;Y in mammals.\nStill unknown whether there is sex-linked female determinant gene, or if (like in Drosophila) it is due to Z dosage. \nLow rate of chromosomal rearrangement may slow down the rate of speciation in birds. As there are more species of birds than mammals, diversifiication must have been due to species radiation - more allopatric blocks than sympatric.", "page" : "283-91", "publisher" : "Elsevier Ltd", "title" : "Evolutionary stasis: the stable chromosomes of birds.", "type" : "article-journal", "volume" : "25" }, "uris" : [ "http://www.mendeley.com/documents/?uuid=ff8d93b6-547a-4b4b-9521-3a531b769dc5" ] } ], "mendeley" : { "formattedCitation" : "(Ellegren 2005; Ellegren 2010)", "plainTextFormattedCitation" : "(Ellegren 2005; Ellegren 2010)", "previouslyFormattedCitation" : "(Ellegren 2005; Ellegren 2010)" }, "properties" : { "noteIndex" : 0 }, "schema" : "https://github.com/citation-style-language/schema/raw/master/csl-citation.json" }</w:instrText>
      </w:r>
      <w:r>
        <w:fldChar w:fldCharType="separate"/>
      </w:r>
      <w:r w:rsidRPr="00B05B9F">
        <w:rPr>
          <w:noProof/>
        </w:rPr>
        <w:t>(Ellegren 2005; Ellegren 2010)</w:t>
      </w:r>
      <w:r>
        <w:fldChar w:fldCharType="end"/>
      </w:r>
      <w:r>
        <w:t xml:space="preserve">, it is interesting that birds exhibit only a subset of the transposable elements present in that ancestor. Within the LTR retrotransposons, this has included the loss of both DIRS and Gypsy elements, with only ERVs represented in the lineage. However, this is a wider phenomenon, as birds contain only one of the autonomous non-LTR retrotransposon groups (CR1) which have been observed across other amniotes </w:t>
      </w:r>
      <w:r>
        <w:fldChar w:fldCharType="begin" w:fldLock="1"/>
      </w:r>
      <w:r>
        <w:instrText>ADDIN CSL_CITATION { "citationItems" : [ { "id" : "ITEM-1", "itemData" : { "DOI" : "10.1111/nyas.13295", "ISBN" : "0077-8923", "ISSN" : "00778923", "author" : [ { "dropping-particle" : "", "family" : "Kapusta", "given" : "Aur\u00e9lie", "non-dropping-particle" : "", "parse-names" : false, "suffix" : "" }, { "dropping-particle" : "", "family" : "Suh", "given" : "Alexander", "non-dropping-particle" : "", "parse-names" : false, "suffix" : "" } ], "container-title" : "Annals of the New York Academy of Sciences", "id" : "ITEM-1", "issued" : { "date-parts" : [ [ "2017" ] ] }, "page" : "164-185", "title" : "Evolution of bird genomes-a transposon's-eye view", "type" : "article-journal", "volume" : "1389" }, "uris" : [ "http://www.mendeley.com/documents/?uuid=d0418c78-accb-41f0-9ecc-c4f757790c0f" ] } ], "mendeley" : { "formattedCitation" : "(Kapusta &amp; Suh 2017)", "plainTextFormattedCitation" : "(Kapusta &amp; Suh 2017)", "previouslyFormattedCitation" : "(Kapusta &amp; Suh 2017)" }, "properties" : { "noteIndex" : 0 }, "schema" : "https://github.com/citation-style-language/schema/raw/master/csl-citation.json" }</w:instrText>
      </w:r>
      <w:r>
        <w:fldChar w:fldCharType="separate"/>
      </w:r>
      <w:r w:rsidRPr="00B05B9F">
        <w:rPr>
          <w:noProof/>
        </w:rPr>
        <w:t>(Kapusta &amp; Suh 2017)</w:t>
      </w:r>
      <w:r>
        <w:fldChar w:fldCharType="end"/>
      </w:r>
      <w:r>
        <w:t xml:space="preserve">. </w:t>
      </w:r>
    </w:p>
    <w:p w14:paraId="159F9061" w14:textId="3BC3178A" w:rsidR="00092BA2" w:rsidRDefault="00092BA2" w:rsidP="00391005">
      <w:pPr>
        <w:pStyle w:val="ListParagraph"/>
      </w:pPr>
      <w:r>
        <w:t xml:space="preserve">Bayesian inference of extinct dinosaur genome sizes has suggested that genome contraction in the avian lineage began approximately 230 million years ago, following the divergence from the crocodilian lineage </w:t>
      </w:r>
      <w:r>
        <w:fldChar w:fldCharType="begin" w:fldLock="1"/>
      </w:r>
      <w:r>
        <w:instrText>ADDIN CSL_CITATION { "citationItems" : [ { "id" : "ITEM-1", "itemData" : { "DOI" : "10.1038/nature05621", "ISBN" : "0028-0836", "ISSN" : "0028-0836", "PMID" : "17344851", "abstract" : "Avian genomes are small and streamlined compared with those of other amniotes by virtue of having fewer repetitive elements and less non-coding DNA. This condition has been suggested to represent a key adaptation for flight in birds, by reducing the metabolic costs associated with having large genome and cell sizes. However, the evolution of genome architecture in birds, or any other lineage, is difficult to study because genomic information is often absent for long-extinct relatives. Here we use a novel bayesian comparative method to show that bone-cell size correlates well with genome size in extant vertebrates, and hence use this relationship to estimate the genome sizes of 31 species of extinct dinosaur, including several species of extinct birds. Our results indicate that the small genomes typically associated with avian flight evolved in the saurischian dinosaur lineage between 230 and 250 million years ago, long before this lineage gave rise to the first birds. By comparison, ornithischian dinosaurs are inferred to have had much larger genomes, which were probably typical for ancestral Dinosauria. Using comparative genomic data, we estimate that genome-wide interspersed mobile elements, a class of repetitive DNA, comprised 5-12% of the total genome size in the saurischian dinosaur lineage, but was 7-19% of total genome size in ornithischian dinosaurs, suggesting that repetitive elements became less active in the saurischian lineage. These genomic characteristics should be added to the list of attributes previously considered avian but now thought to have arisen in non-avian dinosaurs, such as feathers, pulmonary innovations, and parental care and nesting.", "author" : [ { "dropping-particle" : "", "family" : "Organ", "given" : "Chris L.", "non-dropping-particle" : "", "parse-names" : false, "suffix" : "" }, { "dropping-particle" : "", "family" : "Shedlock", "given" : "Andrew M.", "non-dropping-particle" : "", "parse-names" : false, "suffix" : "" }, { "dropping-particle" : "", "family" : "Meade", "given" : "Andrew", "non-dropping-particle" : "", "parse-names" : false, "suffix" : "" }, { "dropping-particle" : "", "family" : "Pagel", "given" : "Mark", "non-dropping-particle" : "", "parse-names" : false, "suffix" : "" }, { "dropping-particle" : "V.", "family" : "Edwards", "given" : "Scott", "non-dropping-particle" : "", "parse-names" : false, "suffix" : "" } ], "container-title" : "Nature", "id" : "ITEM-1", "issue" : "7132", "issued" : { "date-parts" : [ [ "2007" ] ] }, "page" : "180-184", "title" : "Origin of avian genome size and structure in non-avian dinosaurs", "type" : "article-journal", "volume" : "446" }, "uris" : [ "http://www.mendeley.com/documents/?uuid=cf82342e-5f21-4d2e-98e0-b98cc38b68d0" ] } ], "mendeley" : { "formattedCitation" : "(Organ et al. 2007)", "plainTextFormattedCitation" : "(Organ et al. 2007)", "previouslyFormattedCitation" : "(Organ et al. 2007)" }, "properties" : { "noteIndex" : 0 }, "schema" : "https://github.com/citation-style-language/schema/raw/master/csl-citation.json" }</w:instrText>
      </w:r>
      <w:r>
        <w:fldChar w:fldCharType="separate"/>
      </w:r>
      <w:r w:rsidRPr="00B05B9F">
        <w:rPr>
          <w:noProof/>
        </w:rPr>
        <w:t>(Organ et al. 2007)</w:t>
      </w:r>
      <w:r>
        <w:fldChar w:fldCharType="end"/>
      </w:r>
      <w:r>
        <w:t>. As flight evolved much later, it is likely that initial genome contraction was due to the physiological pr</w:t>
      </w:r>
      <w:r w:rsidR="007B58C5">
        <w:t xml:space="preserve">essures of endothermy, with similar reductions </w:t>
      </w:r>
      <w:r>
        <w:t xml:space="preserve">avoided in mammalian genomes due to the evolution of enucleated erythrocytes </w:t>
      </w:r>
      <w:r>
        <w:fldChar w:fldCharType="begin" w:fldLock="1"/>
      </w:r>
      <w:r>
        <w:instrText>ADDIN CSL_CITATION { "citationItems" : [ { "id" : "ITEM-1", "itemData" : { "DOI" : "10.1038/377391a0", "ISBN" : "0028-0836 (Print)\\r0028-0836 (Linking)", "ISSN" : "0028-0836", "PMID" : "7566113", "abstract" : "N/a.", "author" : [ { "dropping-particle" : "", "family" : "Hughes", "given" : "Austin L.", "non-dropping-particle" : "", "parse-names" : false, "suffix" : "" }, { "dropping-particle" : "", "family" : "Hughes", "given" : "Marlanne K.", "non-dropping-particle" : "", "parse-names" : false, "suffix" : "" } ], "container-title" : "Nature", "id" : "ITEM-1", "issue" : "5", "issued" : { "date-parts" : [ [ "1995" ] ] }, "page" : "391", "title" : "Small genomes for better flyers", "type" : "article", "volume" : "377" }, "uris" : [ "http://www.mendeley.com/documents/?uuid=752a7a37-1b12-4ee6-9c72-2b2e7f6f4a6a" ] }, { "id" : "ITEM-2", "itemData" : { "DOI" : "10.1086/342079", "ISBN" : "0003-0147", "ISSN" : "0003-0147", "PMID" : "18707506", "abstract" : "It has been proposed that intron and genome sizes in birds are reduced in comparison with mammals because of the metabolic demands of flight. To test this hypothesis, we examined the sizes of 14 introns in a nonflying relative of birds, the American alligator (Alligator mississippiensis), and in 19 flighted and flightless birds in 12 taxonomic orders. Our results indicate that a substantial fraction (66%) of the reduction in intron size as well as in genome size had already occurred in nonflying archosaurs. Using phylogenetically independent contrasts, we found that the proposed inverse correlation of genome size and basal metabolic rate (BMR) is significant among amniotes and archosaurs, whereas intron and genome size variation within birds showed no significant correlation with BMR. We show statistically that the distribution of genome sizes in birds and mammals is underdispersed compared with the Brownian motion model and consistent with strong stabilizing selection; that genome size differences between vertebrate clades are overdispersed and punctuational; and that evolution of BMR and avian intron size is consistent with Brownian motion. These results suggest that the contrast between genome size/BMR and intron size/BMR correlations may be a consequence of different intensities of selection for these traits and that we should not expect changes in intron size to be significantly associated with metabolically costly behaviors such as flight.", "author" : [ { "dropping-particle" : "", "family" : "Waltari", "given" : "Eric", "non-dropping-particle" : "", "parse-names" : false, "suffix" : "" }, { "dropping-particle" : "V", "family" : "Edwards", "given" : "Scott", "non-dropping-particle" : "", "parse-names" : false, "suffix" : "" } ], "container-title" : "The American Naturalist", "id" : "ITEM-2", "issue" : "5", "issued" : { "date-parts" : [ [ "2002" ] ] }, "page" : "539-552", "title" : "Evolutionary dynamics of intron size, genome size, and physiological correlates in archosaurs.", "type" : "article-journal", "volume" : "160" }, "uris" : [ "http://www.mendeley.com/documents/?uuid=5ed21cec-0479-4a2c-b64a-1f30fd4d430e" ] }, { "id" : "ITEM-3", "itemData" : { "DOI" : "10.1093/aob/mci010", "ISBN" : "0305-7364 (Print) 0305-7364 (Linking)", "ISSN" : "03057364", "PMID" : "15596464", "abstract" : "BACKGROUND: Nuclear genome size varies 300 000-fold, whereas transcriptome size varies merely 17-fold. In the largest genomes nearly all DNA is non-genic secondary DNA, mostly intergenic but also within introns. There is now compelling evidence that secondary DNA is functional, i.e. positively selected by organismal selection, not the purely neutral or 'selfish' outcome of mutation pressure. The skeletal DNA theory argued that nuclear volumes are genetically determined primarily by nuclear DNA amounts, modulated somewhat by genes affecting the degree of DNA packing or unfolding; the huge spread of nuclear genome sizes is the necessary consequence of the origin of the nuclear envelope and the nucleation of its assembly by DNA, plus the adaptively significant 300 000-fold range of cell volumes and selection for balanced growth by optimizing karyoplasmic volume ratios (essentially invariant with cell volume in growing/multiplying cells). This simple explanation of the C-value paradox is refined here in the light of new insights into the nature of heterochromatin and the nuclear lamina, the genetic control of cell volume, and large-scale eukaryote phylogeny, placing special emphasis on protist test cases of the basic principles of nuclear genome size evolution.\\n\\nGENOME MINIATURIZATION: and Expansion Intracellular parasites (e.g. Plasmodium, microsporidia) dwarfed their genomes by gene loss and eliminating virtually all secondary DNA. The primary driving forces for genome reduction are metabolic and spatial economy and cell multiplication speed. Most extreme nuclear shrinkage yielded genomes as tiny as 0.38 Mb (making the nuclear genome size range effectively 1.8 million-fold!) in some minute enslaved nuclei (nucleomorphs) of cryptomonads and chlorarachneans, chimaeric cells that also retain a separate normal large nucleus. The latter shows typical correlation between genome size and cell volume, but nucleomorphs do not despite co-existing in the same cell for &gt;500 My. Thus mutation pressure does not inexorably increase genome size; selection can eliminate essentially all non-coding DNA if need be. Nucleomorphs and microsporidia even reduced gene size. Expansion of secondary DNA in the main nucleus, and in large-celled eukaryotes generally, must be positively selected for function. Ciliate nuclear dimorphism provides a key test that refutes the selfish DNA and strongly supports the skeletal DNA/karyoplasmic ratio interpretation of genome size evolution.\\n\\\u2026", "author" : [ { "dropping-particle" : "", "family" : "Cavalier-Smith", "given" : "Thomas", "non-dropping-particle" : "", "parse-names" : false, "suffix" : "" } ], "container-title" : "Annals of Botany", "id" : "ITEM-3", "issue" : "1", "issued" : { "date-parts" : [ [ "2005" ] ] }, "page" : "147-175", "title" : "Economy, speed and size matter: Evolutionary forces driving nuclear genome miniaturization and expansion", "type" : "article-journal", "volume" : "95" }, "uris" : [ "http://www.mendeley.com/documents/?uuid=5b9feca7-448f-4bcf-976e-785b847d50f2" ] }, { "id" : "ITEM-4", "itemData" : { "DOI" : "10.1038/nature05621", "ISBN" : "0028-0836", "ISSN" : "0028-0836", "PMID" : "17344851", "abstract" : "Avian genomes are small and streamlined compared with those of other amniotes by virtue of having fewer repetitive elements and less non-coding DNA. This condition has been suggested to represent a key adaptation for flight in birds, by reducing the metabolic costs associated with having large genome and cell sizes. However, the evolution of genome architecture in birds, or any other lineage, is difficult to study because genomic information is often absent for long-extinct relatives. Here we use a novel bayesian comparative method to show that bone-cell size correlates well with genome size in extant vertebrates, and hence use this relationship to estimate the genome sizes of 31 species of extinct dinosaur, including several species of extinct birds. Our results indicate that the small genomes typically associated with avian flight evolved in the saurischian dinosaur lineage between 230 and 250 million years ago, long before this lineage gave rise to the first birds. By comparison, ornithischian dinosaurs are inferred to have had much larger genomes, which were probably typical for ancestral Dinosauria. Using comparative genomic data, we estimate that genome-wide interspersed mobile elements, a class of repetitive DNA, comprised 5-12% of the total genome size in the saurischian dinosaur lineage, but was 7-19% of total genome size in ornithischian dinosaurs, suggesting that repetitive elements became less active in the saurischian lineage. These genomic characteristics should be added to the list of attributes previously considered avian but now thought to have arisen in non-avian dinosaurs, such as feathers, pulmonary innovations, and parental care and nesting.", "author" : [ { "dropping-particle" : "", "family" : "Organ", "given" : "Chris L.", "non-dropping-particle" : "", "parse-names" : false, "suffix" : "" }, { "dropping-particle" : "", "family" : "Shedlock", "given" : "Andrew M.", "non-dropping-particle" : "", "parse-names" : false, "suffix" : "" }, { "dropping-particle" : "", "family" : "Meade", "given" : "Andrew", "non-dropping-particle" : "", "parse-names" : false, "suffix" : "" }, { "dropping-particle" : "", "family" : "Pagel", "given" : "Mark", "non-dropping-particle" : "", "parse-names" : false, "suffix" : "" }, { "dropping-particle" : "V.", "family" : "Edwards", "given" : "Scott", "non-dropping-particle" : "", "parse-names" : false, "suffix" : "" } ], "container-title" : "Nature", "id" : "ITEM-4", "issue" : "7132", "issued" : { "date-parts" : [ [ "2007" ] ] }, "page" : "180-184", "title" : "Origin of avian genome size and structure in non-avian dinosaurs", "type" : "article-journal", "volume" : "446" }, "uris" : [ "http://www.mendeley.com/documents/?uuid=cf82342e-5f21-4d2e-98e0-b98cc38b68d0" ] } ], "mendeley" : { "formattedCitation" : "(Hughes &amp; Hughes 1995; Waltari &amp; Edwards 2002; Cavalier-Smith 2005; Organ et al. 2007)", "plainTextFormattedCitation" : "(Hughes &amp; Hughes 1995; Waltari &amp; Edwards 2002; Cavalier-Smith 2005; Organ et al. 2007)", "previouslyFormattedCitation" : "(Hughes &amp; Hughes 1995; Waltari &amp; Edwards 2002; Cavalier-Smith 2005; Organ et al. 2007)" }, "properties" : { "noteIndex" : 0 }, "schema" : "https://github.com/citation-style-language/schema/raw/master/csl-citation.json" }</w:instrText>
      </w:r>
      <w:r>
        <w:fldChar w:fldCharType="separate"/>
      </w:r>
      <w:r w:rsidRPr="00B05B9F">
        <w:rPr>
          <w:noProof/>
        </w:rPr>
        <w:t>(Hughes &amp; Hughes 1995; Waltari &amp; Edwards 2002; Cavalier-Smith 2005; Organ et al. 2007)</w:t>
      </w:r>
      <w:r>
        <w:fldChar w:fldCharType="end"/>
      </w:r>
      <w:r w:rsidR="0048495E">
        <w:t>. Even in avian</w:t>
      </w:r>
      <w:r>
        <w:t xml:space="preserve"> groups where flight has been lost, </w:t>
      </w:r>
      <w:r>
        <w:lastRenderedPageBreak/>
        <w:t xml:space="preserve">relaxation of the constraint on genome size has not necessarily had a consequential increase in repetitive content </w:t>
      </w:r>
      <w:r>
        <w:fldChar w:fldCharType="begin" w:fldLock="1"/>
      </w:r>
      <w:r>
        <w:instrText>ADDIN CSL_CITATION { "citationItems" : [ { "id" : "ITEM-1", "itemData" : { "DOI" : "10.1080/10635150390218385", "ISBN" : "1063-5157", "ISSN" : "1063-5157", "PMID" : "12857645", "abstract" : "Recent research on phylogenetic relationships at the molecular level has attributed the present circumglobal distributions of four groups of vertebrate animals to the Mesozoic fractionation of Gondwana (or Gondwanaland), the southern part of the ancient supercontinent Pangaea that existed from the mid-Triassic to the early Cretaceous, about 220 to 110 million years ago (MYA). These conclusions, based primarily on the analysis of mitochondrial DNA (mtDNA), are important because in all four cases a much later evolution and dispersal had previously been recognized", "author" : [ { "dropping-particle" : "", "family" : "Briggs", "given" : "John C.", "non-dropping-particle" : "", "parse-names" : false, "suffix" : "" } ], "container-title" : "Systematic Biology", "id" : "ITEM-1", "issue" : "4", "issued" : { "date-parts" : [ [ "2003" ] ] }, "page" : "548-553", "title" : "Fishes and Birds: Gondwana Life Rafts Reconsidered", "type" : "article-journal", "volume" : "52" }, "uris" : [ "http://www.mendeley.com/documents/?uuid=67a77319-deac-4779-8f63-27cff1f5dfea" ] }, { "id" : "ITEM-2", "itemData" : { "DOI" : "10.1093/sysbio/syp079", "ISBN" : "1076-836X (Electronic)\\r1063-5157 (Linking)", "ISSN" : "10635157", "PMID" : "20525622", "abstract" : "Ratites are large, flightless birds and include the ostrich, rheas, kiwi, emu, and cassowaries, along with extinct members, such as moa and elephant birds. Previous phylogenetic analyses of complete mitochondrial genome sequences have reinforced the traditional belief that ratites are monophyletic and tinamous are their sister group. However, in these studies ratite monophyly was enforced in the analyses that modeled rate heterogeneity among variable sites. Relaxing this topological constraint results in strong support for the tinamous (which fly) nesting within ratites. Furthermore, upon reducing base compositional bias and partitioning models of sequence evolution among protein codon positions and RNA structures, the tinamou-moa clade grouped with kiwi, emu, and cassowaries to the exclusion of the successively more divergent rheas and ostrich. These relationships are consistent with recent results from a large nuclear data set, whereas our strongly supported finding of a tinamou-moa grouping further resolves palaeognath phylogeny. We infer flight to have been lost among ratites multiple times in temporally close association with the Cretaceous-Tertiary extinction event. This circumvents requirements for transient microcontinents and island chains to explain discordance between ratite phylogeny and patterns of continental breakup. Ostriches may have dispersed to Africa from Eurasia, putting in question the status of ratites as an iconic Gondwanan relict taxon.", "author" : [ { "dropping-particle" : "", "family" : "Phillips", "given" : "Matthew J.", "non-dropping-particle" : "", "parse-names" : false, "suffix" : "" }, { "dropping-particle" : "", "family" : "Gibb", "given" : "Gillian C.", "non-dropping-particle" : "", "parse-names" : false, "suffix" : "" }, { "dropping-particle" : "", "family" : "Crimp", "given" : "Elizabeth A.", "non-dropping-particle" : "", "parse-names" : false, "suffix" : "" }, { "dropping-particle" : "", "family" : "Penny", "given" : "David", "non-dropping-particle" : "", "parse-names" : false, "suffix" : "" } ], "container-title" : "Systematic Biology", "id" : "ITEM-2", "issue" : "1", "issued" : { "date-parts" : [ [ "2010" ] ] }, "page" : "90-107", "title" : "Tinamous and moa flock together: Mitochondrial genome sequence analysis reveals independent losses of flight among ratites", "type" : "article-journal", "volume" : "59" }, "uris" : [ "http://www.mendeley.com/documents/?uuid=ade730c5-5dc7-4877-bba3-ebce60a02847" ] }, { "id" : "ITEM-3", "itemData" : { "DOI" : "10.1073/pnas.1616702114", "ISSN" : "0027-8424", "PMID" : "28179571", "author" : [ { "dropping-particle" : "", "family" : "Kapusta", "given" : "Aur\u00e9lie", "non-dropping-particle" : "", "parse-names" : false, "suffix" : "" }, { "dropping-particle" : "", "family" : "Suh", "given" : "Alexander", "non-dropping-particle" : "", "parse-names" : false, "suffix" : "" }, { "dropping-particle" : "", "family" : "Feschotte", "given" : "C\u00e9dric", "non-dropping-particle" : "", "parse-names" : false, "suffix" : "" } ], "container-title" : "Proceedings of the National Academy of Sciences", "id" : "ITEM-3", "issued" : { "date-parts" : [ [ "2017" ] ] }, "page" : "E1460-1469", "title" : "Dynamics of genome size evolution in birds and mammals", "type" : "article-journal" }, "uris" : [ "http://www.mendeley.com/documents/?uuid=0d8cb8d5-4cd2-4f3d-b87a-9a8db5909c28" ] } ], "mendeley" : { "formattedCitation" : "(Briggs 2003; Phillips et al. 2010; Kapusta et al. 2017)", "plainTextFormattedCitation" : "(Briggs 2003; Phillips et al. 2010; Kapusta et al. 2017)", "previouslyFormattedCitation" : "(Briggs 2003; Phillips et al. 2010; Kapusta et al. 2017)" }, "properties" : { "noteIndex" : 0 }, "schema" : "https://github.com/citation-style-language/schema/raw/master/csl-citation.json" }</w:instrText>
      </w:r>
      <w:r>
        <w:fldChar w:fldCharType="separate"/>
      </w:r>
      <w:r w:rsidRPr="000A20E9">
        <w:rPr>
          <w:noProof/>
        </w:rPr>
        <w:t>(Briggs 2003; Phillips et al. 2010; Kapusta et al. 2017)</w:t>
      </w:r>
      <w:r>
        <w:fldChar w:fldCharType="end"/>
      </w:r>
      <w:r>
        <w:t xml:space="preserve">. </w:t>
      </w:r>
    </w:p>
    <w:p w14:paraId="2572A571" w14:textId="713ED907" w:rsidR="00092BA2" w:rsidRDefault="00092BA2" w:rsidP="00391005">
      <w:pPr>
        <w:pStyle w:val="ListParagraph"/>
      </w:pPr>
      <w:r>
        <w:t xml:space="preserve">The paucity of all repeat classes in Paleognathae birds </w:t>
      </w:r>
      <w:r>
        <w:fldChar w:fldCharType="begin" w:fldLock="1"/>
      </w:r>
      <w:r>
        <w:instrText>ADDIN CSL_CITATION { "citationItems" : [ { "id" : "ITEM-1", "itemData" : { "DOI" : "10.1111/nyas.13295", "ISBN" : "0077-8923", "ISSN" : "00778923", "author" : [ { "dropping-particle" : "", "family" : "Kapusta", "given" : "Aur\u00e9lie", "non-dropping-particle" : "", "parse-names" : false, "suffix" : "" }, { "dropping-particle" : "", "family" : "Suh", "given" : "Alexander", "non-dropping-particle" : "", "parse-names" : false, "suffix" : "" } ], "container-title" : "Annals of the New York Academy of Sciences", "id" : "ITEM-1", "issued" : { "date-parts" : [ [ "2017" ] ] }, "page" : "164-185", "title" : "Evolution of bird genomes-a transposon's-eye view", "type" : "article-journal", "volume" : "1389" }, "uris" : [ "http://www.mendeley.com/documents/?uuid=d0418c78-accb-41f0-9ecc-c4f757790c0f" ] } ], "mendeley" : { "formattedCitation" : "(Kapusta &amp; Suh 2017)", "plainTextFormattedCitation" : "(Kapusta &amp; Suh 2017)", "previouslyFormattedCitation" : "(Kapusta &amp; Suh 2017)" }, "properties" : { "noteIndex" : 0 }, "schema" : "https://github.com/citation-style-language/schema/raw/master/csl-citation.json" }</w:instrText>
      </w:r>
      <w:r>
        <w:fldChar w:fldCharType="separate"/>
      </w:r>
      <w:r w:rsidRPr="000A20E9">
        <w:rPr>
          <w:noProof/>
        </w:rPr>
        <w:t>(Kapusta &amp; Suh 2017)</w:t>
      </w:r>
      <w:r>
        <w:fldChar w:fldCharType="end"/>
      </w:r>
      <w:r>
        <w:t xml:space="preserve">, including LTR retrotransposons (Chapter 4), </w:t>
      </w:r>
      <w:r w:rsidR="00407F97">
        <w:t>may support</w:t>
      </w:r>
      <w:r>
        <w:t xml:space="preserve"> the significant depletion of repetitive elements </w:t>
      </w:r>
      <w:r w:rsidR="00407F97">
        <w:t xml:space="preserve">during the </w:t>
      </w:r>
      <w:r>
        <w:t>genome con</w:t>
      </w:r>
      <w:r w:rsidR="00407F97">
        <w:t xml:space="preserve">traction of the avian ancestor, </w:t>
      </w:r>
      <w:r>
        <w:t>corroborat</w:t>
      </w:r>
      <w:r w:rsidR="00407F97">
        <w:t>ing</w:t>
      </w:r>
      <w:r>
        <w:t xml:space="preserve"> the modelling of Organ and colleagues (2007). This likely suggests a limited role for repetitive elements in the diversification of birds within the Archosauriformes, even though these elements remained active in the genome. However, Neognathae birds exhibit higher relative repeat content despite continued constraint on genome size, supporting a secondary, more recent, evolutionary role for transposable elements. Large differences in repetitive content have been shown to increase speciation rates due to hybrid sterility, whilst additionally facilitating divergence by providing novel promoters, splice variants and entire coding regions </w:t>
      </w:r>
      <w:r>
        <w:fldChar w:fldCharType="begin" w:fldLock="1"/>
      </w:r>
      <w:r>
        <w:instrText>ADDIN CSL_CITATION { "citationItems" : [ { "id" : "ITEM-1", "itemData" : { "ISBN" : "0016-6731", "ISSN" : "00166731", "PMID" : "6329903", "abstract" : "A simple methematical model describes the invasion of panmictic, sexually reproducing populations by a newly introduced transposon. The model places important constraints on the properties that transposons must have to successfully invade a population and describes the kinetics with which such an invasion will occur. Invasibility conditions serve as a basis for new, detailed scenarios whereby transposon-mediated depression in fitness produces reproductive isolation of populations. These scenarios, in turn, lead to several speculations concerning the role of transposons in evolution.", "author" : [ { "dropping-particle" : "", "family" : "Ginzburg", "given" : "L. R.", "non-dropping-particle" : "", "parse-names" : false, "suffix" : "" }, { "dropping-particle" : "", "family" : "Bingham", "given" : "P. M.", "non-dropping-particle" : "", "parse-names" : false, "suffix" : "" }, { "dropping-particle" : "", "family" : "Yoo", "given" : "S.", "non-dropping-particle" : "", "parse-names" : false, "suffix" : "" } ], "container-title" : "Genetics", "id" : "ITEM-1", "issue" : "2", "issued" : { "date-parts" : [ [ "1984" ] ] }, "page" : "331-341", "title" : "On the theory of speciation induced by transposable elements", "type" : "article-journal", "volume" : "107" }, "uris" : [ "http://www.mendeley.com/documents/?uuid=b2fbe1a7-8a96-4a23-81ad-8b9d24e80614" ] }, { "id" : "ITEM-2", "itemData" : { "DOI" : "10.1186/1471-2164-8-422", "ISBN" : "1471-2164 (Electronic) 1471-2164 (Linking)", "ISSN" : "1471-2164", "PMID" : "18021408", "abstract" : "BACKGROUND: Several genome duplications have occurred in the evolutionary history of teleost fish. In returning to a stable diploid state, the polyploid genome reorganized, and large portions are lost, while the fish lines evolved to numerous species. Large scale transposon movement has been postulated to play an important role in the genome reorganization process. We analyzed the DNA sequence of several large loci in Salmo salar and other species for the presence of DNA transposon families. RESULTS: We have identified bursts of activity of 14 families of DNA transposons (12 Tc1-like and 2 piggyBac-like families, including 11 novel ones) in genome sequences of Salmo salar. Several of these families have similar sequences in a number of closely and distantly related fish, lamprey, and frog species as well as in the parasite Schistosoma japonicum. Analysis of sequence similarities between copies within the families of these bursts demonstrates several waves of transposition activities coinciding with salmonid species divergence. Tc1-like families show a master gene-like copying process, illustrated by extensive but short burst of copying activity, while the piggyBac-like families show a more random copying pattern. Recent families may include copies with an open reading frame for an active transposase enzyme. CONCLUSION: We have identified defined bursts of transposon activity that make use of master-slave and random mechanisms. The bursts occur well after hypothesized polyploidy events and coincide with speciation events. Parasite-mediated lateral transfer of transposons are implicated.", "author" : [ { "dropping-particle" : "", "family" : "Boer", "given" : "Johan G", "non-dropping-particle" : "de", "parse-names" : false, "suffix" : "" }, { "dropping-particle" : "", "family" : "Yazawa", "given" : "Ryosuke", "non-dropping-particle" : "", "parse-names" : false, "suffix" : "" }, { "dropping-particle" : "", "family" : "Davidson", "given" : "William S", "non-dropping-particle" : "", "parse-names" : false, "suffix" : "" }, { "dropping-particle" : "", "family" : "Koop", "given" : "Ben F", "non-dropping-particle" : "", "parse-names" : false, "suffix" : "" } ], "container-title" : "BMC Genomics", "id" : "ITEM-2", "issue" : "1", "issued" : { "date-parts" : [ [ "2007" ] ] }, "page" : "422", "title" : "Bursts and horizontal evolution of DNA transposons in the speciation of pseudotetraploid salmonids", "type" : "article-journal", "volume" : "8" }, "uris" : [ "http://www.mendeley.com/documents/?uuid=ab8c2800-55cf-4e13-a486-7f4de640df71" ] }, { "id" : "ITEM-3", "itemData" : { "DOI" : "10.1146/annurev.genet.42.110807.091501", "ISSN" : "0066-4197", "PMID" : "18694346", "abstract" : "For millions of years, retroviral infections have challenged vertebrates, occasionally leading to germline integration and inheritance as ERVs, genetic parasites whose remnants today constitute some 7% to 8% of the human genome. Although they have had significant evolutionary side effects, it is useful to view ERVs as fossil representatives of retroviruses extant at the time of their insertion into the germline and not as direct players in the evolutionary process itself. Expression of particular ERVs is associated with several positive physiological functions as well as certain diseases, although their roles in human disease as etiological agents, possible contributing factors, or disease markers-well demonstrated in animal models-remain to be established. Here we discuss ERV contributions to host genome structure and function, including their ability to mediate recombination, and physiological effects on the host transcriptome resulting from their integration, expression, and other events.", "author" : [ { "dropping-particle" : "", "family" : "Jern", "given" : "Patric", "non-dropping-particle" : "", "parse-names" : false, "suffix" : "" }, { "dropping-particle" : "", "family" : "Coffin", "given" : "John M", "non-dropping-particle" : "", "parse-names" : false, "suffix" : "" } ], "container-title" : "Annual review of genetics", "id" : "ITEM-3", "issued" : { "date-parts" : [ [ "2008", "1" ] ] }, "note" : "Good review of effects of ERVs on the host genome, although the focus is mainly on HERV. Lengthy, good diagrams, good background", "page" : "709-32", "title" : "Effects of retroviruses on host genome function", "type" : "article-journal", "volume" : "42" }, "uris" : [ "http://www.mendeley.com/documents/?uuid=40f0f091-d289-430e-af0e-832771f17683" ] }, { "id" : "ITEM-4",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"ITEM-4",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"mendeley" : { "formattedCitation" : "(Ginzburg et al. 1984; de Boer et al. 2007; Jern &amp; Coffin 2008; Stoye 2012)", "plainTextFormattedCitation" : "(Ginzburg et al. 1984; de Boer et al. 2007; Jern &amp; Coffin 2008; Stoye 2012)", "previouslyFormattedCitation" : "(Ginzburg et al. 1984; de Boer et al. 2007; Jern &amp; Coffin 2008; Stoye 2012)" }, "properties" : { "noteIndex" : 0 }, "schema" : "https://github.com/citation-style-language/schema/raw/master/csl-citation.json" }</w:instrText>
      </w:r>
      <w:r>
        <w:fldChar w:fldCharType="separate"/>
      </w:r>
      <w:r w:rsidRPr="005B0B81">
        <w:rPr>
          <w:noProof/>
        </w:rPr>
        <w:t>(Ginzburg et al. 1984; de Boer et al. 2007; Jern &amp; Coffin 2008; Stoye 2012)</w:t>
      </w:r>
      <w:r>
        <w:fldChar w:fldCharType="end"/>
      </w:r>
      <w:r>
        <w:t xml:space="preserve">. This project has generated much more complete LTR retrotransposon annotations for many avian species, so could be analysed further to examine whether periods of elevated </w:t>
      </w:r>
      <w:r w:rsidR="007750D4">
        <w:t xml:space="preserve">LTR </w:t>
      </w:r>
      <w:r>
        <w:t xml:space="preserve">retrotransposon activity match known speciation events, such as the rapid diversification of Neoaves at the K/T boundary. This would involve the characterisation of the age and genera of the identified LTR retrotransposons, likely following the methodology of the existing avian repeat study of Kapusta and colleagues (2016). This work would also aid the understanding of lineage-specific LTR retrotransposon content and group dynamics, and the role of exogenous retroviruses in stimulating lineage-specific expansions.  </w:t>
      </w:r>
    </w:p>
    <w:p w14:paraId="671B93EF" w14:textId="53CD23E5" w:rsidR="00092BA2" w:rsidRDefault="00092BA2" w:rsidP="00391005">
      <w:pPr>
        <w:pStyle w:val="ListParagraph"/>
      </w:pPr>
      <w:r>
        <w:t>In addition to characterising the genera and ages of LTR retrotransposons across the avian lineage, further work should describe the distribution of these elements compared to the work presented in this thesis with the chicken. In chicken, LTR retrotransposon distribution is non-random, and represents the effects of selection to mitigate th</w:t>
      </w:r>
      <w:r w:rsidR="0048495E">
        <w:t xml:space="preserve">e impact of </w:t>
      </w:r>
      <w:r>
        <w:t>integrations. Consequently, LTR retrotransposon density is greater on the gene sparse macrochromosomes, and distribution on these chromosomes is skewed away from coding regions</w:t>
      </w:r>
      <w:r w:rsidR="00997A9B">
        <w:t xml:space="preserve"> (sections </w:t>
      </w:r>
      <w:r w:rsidR="0048495E">
        <w:fldChar w:fldCharType="begin" w:fldLock="1"/>
      </w:r>
      <w:r w:rsidR="0048495E">
        <w:instrText xml:space="preserve"> REF _Ref486610088 \r \h </w:instrText>
      </w:r>
      <w:r w:rsidR="0048495E">
        <w:fldChar w:fldCharType="separate"/>
      </w:r>
      <w:r w:rsidR="002C549C">
        <w:t>3.6</w:t>
      </w:r>
      <w:r w:rsidR="0048495E">
        <w:fldChar w:fldCharType="end"/>
      </w:r>
      <w:r w:rsidR="00997A9B">
        <w:t xml:space="preserve"> and</w:t>
      </w:r>
      <w:r w:rsidR="0048495E">
        <w:t xml:space="preserve"> </w:t>
      </w:r>
      <w:r w:rsidR="0048495E">
        <w:fldChar w:fldCharType="begin" w:fldLock="1"/>
      </w:r>
      <w:r w:rsidR="0048495E">
        <w:instrText xml:space="preserve"> REF _Ref486610104 \r \h </w:instrText>
      </w:r>
      <w:r w:rsidR="0048495E">
        <w:fldChar w:fldCharType="separate"/>
      </w:r>
      <w:r w:rsidR="002C549C">
        <w:t>4.4</w:t>
      </w:r>
      <w:r w:rsidR="0048495E">
        <w:fldChar w:fldCharType="end"/>
      </w:r>
      <w:r w:rsidR="00997A9B">
        <w:t>)</w:t>
      </w:r>
      <w:r>
        <w:t xml:space="preserve">. Whilst many of the analysed avian genomes lack comprehensive gene annotations, it would be of great interest to characterise their LTR retrotransposon distribution, particularly the presence of intact element clusters and whether any of these share synteny between closely related species. The presence of </w:t>
      </w:r>
      <w:r>
        <w:lastRenderedPageBreak/>
        <w:t>large genomic regions which differ between otherwise syntenic chromosomes may have contributed to hybrid sterility and speciation</w:t>
      </w:r>
      <w:r w:rsidR="002D6464">
        <w:t xml:space="preserve"> </w:t>
      </w:r>
      <w:r w:rsidR="003B2CB2">
        <w:fldChar w:fldCharType="begin" w:fldLock="1"/>
      </w:r>
      <w:r w:rsidR="00982E75">
        <w:instrText>ADDIN CSL_CITATION { "citationItems" : [ { "id" : "ITEM-1", "itemData" : { "ISBN" : "0016-6731", "ISSN" : "00166731", "PMID" : "6329903", "abstract" : "A simple methematical model describes the invasion of panmictic, sexually reproducing populations by a newly introduced transposon. The model places important constraints on the properties that transposons must have to successfully invade a population and describes the kinetics with which such an invasion will occur. Invasibility conditions serve as a basis for new, detailed scenarios whereby transposon-mediated depression in fitness produces reproductive isolation of populations. These scenarios, in turn, lead to several speculations concerning the role of transposons in evolution.", "author" : [ { "dropping-particle" : "", "family" : "Ginzburg", "given" : "L. R.", "non-dropping-particle" : "", "parse-names" : false, "suffix" : "" }, { "dropping-particle" : "", "family" : "Bingham", "given" : "P. M.", "non-dropping-particle" : "", "parse-names" : false, "suffix" : "" }, { "dropping-particle" : "", "family" : "Yoo", "given" : "S.", "non-dropping-particle" : "", "parse-names" : false, "suffix" : "" } ], "container-title" : "Genetics", "id" : "ITEM-1", "issue" : "2", "issued" : { "date-parts" : [ [ "1984" ] ] }, "page" : "331-341", "title" : "On the theory of speciation induced by transposable elements", "type" : "article-journal", "volume" : "107" }, "uris" : [ "http://www.mendeley.com/documents/?uuid=b2fbe1a7-8a96-4a23-81ad-8b9d24e80614" ] }, { "id" : "ITEM-2", "itemData" : { "DOI" : "10.1023/a:1003957323876", "ISBN" : "0016-6707 (Print)", "ISSN" : "0016-6707", "PMID" : "10952206", "abstract" : "Transposable elements (TEs) are sequences capable of multiplying in their host's genome. They survive by increasing copy numbers due to transpositions, and natural selection washes them out because hosts with heavier loads of TEs have lower fitness. The available phylogenetic evidence supports the view that TEs have existed in living organisms for hundreds of millions of years. A fundamental question facing the field is how can an equilibrium be attained between transposition and selection which allows these parasitic genetic elements to persist for such a long time period? To answer this question, it is necessary to understand how the rate of TE transposition is controlled and to describe the mechanisms with which natural selection opposes TE accumulation. Perhaps the best models for such a study are copia and gypsy retrotransposons in Drosophila. Their average rate of transposition in nature is between 10(-5) - 10(-4) transpositions per copy per generation. Unlike nature, transposition rates vary widely, from zero to 10(-2), between laboratory lines. This variability in transposition rate is controlled by host genes. It is probable that in nature TE site heterogeneity is caused by frequent transpositions in rare flies with permissive alleles, and no transpositions happen in the rest of flies. The average rate of TE transposition in nature may thus depend on the frequency of permissive alleles, which is a function of the rate of mutation from restrictive to permissive alleles, the mechanism and the strength of selection opposing TE multiplication, and population size. Thus, evolution of the frequency of permissive alleles of genes controlling transposition must be accounted for to understand evolution of TE copy numbers.", "author" : [ { "dropping-particle" : "V.", "family" : "Nuzhdin", "given" : "Sergey", "non-dropping-particle" : "", "parse-names" : false, "suffix" : "" } ], "container-title" : "Genetica", "id" : "ITEM-2", "issue" : "1-3", "issued" : { "date-parts" : [ [ "1999" ] ] }, "page" : "129-137", "title" : "Sure facts, speculations, and open questions about the evolution of transposable element copy number", "type" : "article-journal", "volume" : "107" }, "uris" : [ "http://www.mendeley.com/documents/?uuid=b63490bc-1228-45ae-b484-e8bccd23f366" ] } ], "mendeley" : { "formattedCitation" : "(Ginzburg et al. 1984; Nuzhdin 1999)", "plainTextFormattedCitation" : "(Ginzburg et al. 1984; Nuzhdin 1999)", "previouslyFormattedCitation" : "(Ginzburg et al. 1984; Nuzhdin 1999)" }, "properties" : { "noteIndex" : 0 }, "schema" : "https://github.com/citation-style-language/schema/raw/master/csl-citation.json" }</w:instrText>
      </w:r>
      <w:r w:rsidR="003B2CB2">
        <w:fldChar w:fldCharType="separate"/>
      </w:r>
      <w:r w:rsidR="003B2CB2" w:rsidRPr="003B2CB2">
        <w:rPr>
          <w:noProof/>
        </w:rPr>
        <w:t>(Ginzburg et al. 1984; Nuzhdin 1999)</w:t>
      </w:r>
      <w:r w:rsidR="003B2CB2">
        <w:fldChar w:fldCharType="end"/>
      </w:r>
      <w:r>
        <w:t xml:space="preserve">. </w:t>
      </w:r>
    </w:p>
    <w:p w14:paraId="70AE5D10" w14:textId="131CA527" w:rsidR="00092BA2" w:rsidRDefault="00092BA2" w:rsidP="00391005">
      <w:pPr>
        <w:pStyle w:val="ListParagraph"/>
      </w:pPr>
    </w:p>
    <w:p w14:paraId="4CF8966B" w14:textId="12CA2A95" w:rsidR="00092BA2" w:rsidRDefault="00092BA2" w:rsidP="00092BA2">
      <w:pPr>
        <w:pStyle w:val="Heading3"/>
      </w:pPr>
      <w:bookmarkStart w:id="658" w:name="_Toc485721686"/>
      <w:bookmarkStart w:id="659" w:name="_Toc486787266"/>
      <w:bookmarkStart w:id="660" w:name="_Toc486787414"/>
      <w:r>
        <w:t>Co-opted LTR retrotransposon-derived sequences in chicken</w:t>
      </w:r>
      <w:bookmarkEnd w:id="658"/>
      <w:bookmarkEnd w:id="659"/>
      <w:bookmarkEnd w:id="660"/>
    </w:p>
    <w:p w14:paraId="1A462F67" w14:textId="6EB7D203" w:rsidR="00092BA2" w:rsidRDefault="00092BA2" w:rsidP="00092BA2">
      <w:pPr>
        <w:pStyle w:val="Heading4"/>
      </w:pPr>
      <w:r>
        <w:t>Protein coding genes of LTR retrotransposon origin</w:t>
      </w:r>
    </w:p>
    <w:p w14:paraId="119540C3" w14:textId="01EB9EEB" w:rsidR="00092BA2" w:rsidRDefault="00092BA2" w:rsidP="00391005">
      <w:pPr>
        <w:pStyle w:val="ListParagraph"/>
      </w:pPr>
      <w:r>
        <w:t>Protein coding genes co-opted from LTR retrotransposon-derived sequences are rare occurrences, although more transient roles in antiviral immunity have been identified in multiple species, including chicken</w:t>
      </w:r>
      <w:r w:rsidR="0097043D">
        <w:t xml:space="preserve"> (see below)</w:t>
      </w:r>
      <w:r>
        <w:t xml:space="preserve"> </w:t>
      </w:r>
      <w:r>
        <w:fldChar w:fldCharType="begin" w:fldLock="1"/>
      </w:r>
      <w:r>
        <w:instrText>ADDIN CSL_CITATION { "citationItems" : [ { "id" : "ITEM-1", "itemData" : { "ISSN" : "0005-2086", "PMID" : "6098248", "abstract" : "Two experiments were conducted to determine the influence of endogenous viral (ev) gene expression on the response of chicken to day-old inoculation with two laboratory and two field strains of avian leukosis virus (ALV). The ev2- and ev3-negative semi-congenic chickens had much higher mortality from a unique non-neoplastic syndrome (NNS) than ev2- and ev3-positive semi-congenic chickens after inoculation with ALV strain RAV-1. The three other ALV strains induced little NNS. All four strains of ALV induced higher incidences of neutralizing antibody and lower incidences of viremia in ev2- and ev3-negative chickens than ev2- and ev3-positive chickens. The semi-congenic ev2- and ev3-negative chickens were only slightly less likely to shed ALV in the cloaca. Chickens of line 0, an unrelated line lacking ev genes, had a much higher rate of antibody production and lower rate of viremia and shedding than the semi-congenic chickens. Surprisingly, line 0 failed to get NNS after RAV-1 inoculation. There were major differences among strains of ALV in induction of antibody response, viremia, and shedding in the cloaca. The two field strains of ALV tended to be less immunogenic than the laboratory strains. We conclude that both the genetics of the host, including variation in ev gene expression, and the strain of ALV can influence the probability of ALV shedding and congenital transmission after horizontal infection.", "author" : [ { "dropping-particle" : "", "family" : "Crittenden", "given" : "L B", "non-dropping-particle" : "", "parse-names" : false, "suffix" : "" }, { "dropping-particle" : "", "family" : "Smith", "given" : "E J", "non-dropping-particle" : "", "parse-names" : false, "suffix" : "" }, { "dropping-particle" : "", "family" : "Fadly", "given" : "a M", "non-dropping-particle" : "", "parse-names" : false, "suffix" : "" } ], "container-title" : "Avian diseases", "id" : "ITEM-1", "issue" : "4", "issued" : { "date-parts" : [ [ "1984" ] ] }, "note" : "Ev genes are homologous to exogenous ALV. Ev genes have a range of expression levels from ev2 which codes for a full virion, ev3 which codes for gag antigens only to ev15 and ev16 which are solo LTRs with no expression. \nPresence of ev genes gives a reported lower frequency and delay in immune response due to established immune tolerance. This varies in ev gene present (tolerance less likely to build against ev2 when it is detrimental whereas ev3 has no risk). This means that in general ev gene birds (where there is expression) will repel viruses with shared antigens at a much slower rate than those lacking ev genes \u2013 reduced antibody response etc. \nTherefore chickens without ev genes are less likely to infect horizontally and may have a selective advantage in ALV infected flocks.", "page" : "1037-56", "title" : "Influence of endogenous viral (ev) gene expression and strain of exogenous avian leukosis virus (ALV) on mortality and ALV infection and shedding in chickens.", "type" : "article-journal", "volume" : "28" }, "uris" : [ "http://www.mendeley.com/documents/?uuid=4b7682b3-08c8-4d07-8a26-74df70fddfff" ] }, { "id" : "ITEM-2", "itemData" : { "DOI" : "10.3382/ps.0701673", "ISSN" : "0032-5791", "abstract" : "Endogenous virus (EV) locus ev6 encodes only virus envelope glycoprotein. The influence of ev6 on the immune response to contact infection with hatchmates infected with avian leukosis virus (ALV) was compared in replicate hatches. The ALV Subgroup E-resistant, rapid-feathering (RF) female chickens produced by slow-feathering (SF) and RF dams with and without ev6 were exposed at hatch to hatchmates infected with ALV Subgroup A (Strain RPL-40). The RPL-40 viremia, shedding, and virus neutralizing antibodies were measured among pullets from two hatches at 22 wk of age. Although significant (P&lt;.05) differences between hatches in the immune response to contact infection were noted among ev6+ pullets, significantly fewer ev6+ pullets seroconverted than their ev6- hatchmates. At 22 wk of age, significantly more lymphomas were also found among ev6+ pullets than among ev6- hatchmates. In flocks wherein both parents and progeny were homozygous resistant to Subgroup E virus, there was no detrimental maternal effect on RF progeny from SF dams that carried ev21. These results also confirm that selection for genetic cellular resistance to Subgroup E ALV infection eliminates congenital transmission of EV21.", "author" : [ { "dropping-particle" : "", "family" : "Smith", "given" : "E J", "non-dropping-particle" : "", "parse-names" : false, "suffix" : "" }, { "dropping-particle" : "", "family" : "Fadly", "given" : "A M", "non-dropping-particle" : "", "parse-names" : false, "suffix" : "" }, { "dropping-particle" : "", "family" : "Levin", "given" : "I", "non-dropping-particle" : "", "parse-names" : false, "suffix" : "" }, { "dropping-particle" : "", "family" : "Crittenden", "given" : "L B", "non-dropping-particle" : "", "parse-names" : false, "suffix" : "" } ], "container-title" : "Poultry Science", "id" : "ITEM-2", "issue" : "8", "issued" : { "date-parts" : [ [ "1991", "8", "1" ] ] }, "note" : "Ev6 only expresses env glycoprotein and down modulates ev21 \u2013 alternative breeding strategy to eradicating ev21 when it is closely linked with the useful sexing phenotype. \nEv3, ev6 and ev9 all express only env glycoprotein, and all at high levels \u2013 dominant genes that inhibit EV amplification. \nNot accessible online from Ed Uni - Journals available at the Vet School Library", "page" : "1673-1678", "title" : "The Influence of ev6 on the Immune Response to Avian Leukosis Virus Infection in Rapid-Feathering Progeny of Slow- and Rapid-Feathering Dams", "type" : "article-journal", "volume" : "70" }, "uris" : [ "http://www.mendeley.com/documents/?uuid=a70fc5db-e166-43f2-83f4-6b8568b78519" ] }, { "id" : "ITEM-3", "itemData" : { "DOI" : "10.1128/JVI.78.19.10525", "author" : [ { "dropping-particle" : "", "family" : "Sacco", "given" : "MA", "non-dropping-particle" : "", "parse-names" : false, "suffix" : "" }, { "dropping-particle" : "", "family" : "Howes", "given" : "Ken", "non-dropping-particle" : "", "parse-names" : false, "suffix" : "" }, { "dropping-particle" : "", "family" : "Smith", "given" : "LP", "non-dropping-particle" : "", "parse-names" : false, "suffix" : "" }, { "dropping-particle" : "", "family" : "Nair", "given" : "VK", "non-dropping-particle" : "", "parse-names" : false, "suffix" : "" } ], "container-title" : "Journal of virology", "id" : "ITEM-3", "issue" : "19", "issued" : { "date-parts" : [ [ "2004" ] ] }, "note" : "ALV-J first identified in the UK in 1988. Rapidly became a worldwide issue.\n\n\nEAV-HP is present in 10-15 copies in the genome. And copies are still segregating - this makes sense as the pol genes in many (and the env in one) are still functional so they are able to move and expand their range in the genome. \n\n\nWith ALV A-D, infection of posthatch chicks leads to transient viremia which is subsequently cleared by an antibody response. Conversely, ALV-J infection does not clear leading to persistent viremia and fail to produce an antibody response, this is an issue for immunological tolerance.", "page" : "10525-10535", "title" : "Assessing the roles of endogenous retrovirus EAV-HP in avian leukosis virus subgroup J emergence and tolerance", "type" : "article-journal", "volume" : "78" }, "uris" : [ "http://www.mendeley.com/documents/?uuid=eba75a95-4c38-4009-bdef-500dc2d715b4" ] }, { "id" : "ITEM-4",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"ITEM-4", "issue" : "11", "issued" : { "date-parts" : [ [ "2012", "11" ] ] }, "page" : "627-36", "publisher" : "Elsevier Ltd", "title" : "Paleovirology and virally derived immunity.", "type" : "article-journal", "volume" : "27" }, "uris" : [ "http://www.mendeley.com/documents/?uuid=bb0d0386-3d7c-43e0-917d-1954dabb96df" ] }, { "id" : "ITEM-5", "itemData" : { "DOI" : "10.1038/nrmicro2783", "ISSN" : "1740-1534", "PMID" : "22565131", "abstract" : "Retroviral replication involves the formation of a DNA provirus integrated into the host genome. Through this process, retroviruses can colonize the germ line to form endogenous retroviruses (ERVs). ERV inheritance can have multiple adverse consequences for the host, some resembling those resulting from exogenous retrovirus infection but others arising by mechanisms unique to ERVs. Inherited retroviruses can also confer benefits on the host. To meet the different threats posed by endogenous and exogenous retroviruses, various host defences have arisen during evolution, acting at various stages on the retrovirus life cycle. In this Review, I describe our current understanding of the distribution and architecture of ERVs, the consequences of their acquisition for the host and the emerging details of the intimate evolutionary relationship between virus and vertebrate host.", "author" : [ { "dropping-particle" : "", "family" : "Stoye", "given" : "Jonathan P", "non-dropping-particle" : "", "parse-names" : false, "suffix" : "" } ], "container-title" : "Nature reviews. Microbiology", "id" : "ITEM-5", "issue" : "6", "issued" : { "date-parts" : [ [ "2012", "6" ] ] }, "note" : "Another good review, does not really advance things much further than Jern &amp;amp; Coffin review (2008), but it is shorter with good margin explanations of key terms.", "page" : "395-406", "publisher" : "Nature Publishing Group", "title" : "Studies of endogenous retroviruses reveal a continuing evolutionary saga.", "type" : "article-journal", "volume" : "10" }, "uris" : [ "http://www.mendeley.com/documents/?uuid=90502c3d-1fe5-48ac-930b-891e3bf1a064" ] }, { "id" : "ITEM-6", "itemData" : { "author" : [ { "dropping-particle" : "", "family" : "Hurst", "given" : "Tara", "non-dropping-particle" : "", "parse-names" : false, "suffix" : "" }, { "dropping-particle" : "", "family" : "Magiorkinis", "given" : "Gikkas", "non-dropping-particle" : "", "parse-names" : false, "suffix" : "" } ], "container-title" : "Journal of General Virology", "id" : "ITEM-6", "issued" : { "date-parts" : [ [ "2014" ] ] }, "title" : "Activation of the innate immune response by endogenous retroviruses", "type" : "article-journal" }, "uris" : [ "http://www.mendeley.com/documents/?uuid=d616f70e-c699-4274-885b-b02c707d3842" ] } ], "mendeley" : { "formattedCitation" : "(Crittenden et al. 1984; Smith et al. 1991; Sacco et al. 2004; Aswad &amp; Katzourakis 2012; Stoye 2012; Hurst &amp; Magiorkinis 2014)", "plainTextFormattedCitation" : "(Crittenden et al. 1984; Smith et al. 1991; Sacco et al. 2004; Aswad &amp; Katzourakis 2012; Stoye 2012; Hurst &amp; Magiorkinis 2014)", "previouslyFormattedCitation" : "(Crittenden et al. 1984; Smith et al. 1991; Sacco et al. 2004; Aswad &amp; Katzourakis 2012; Stoye 2012; Hurst &amp; Magiorkinis 2014)" }, "properties" : { "noteIndex" : 0 }, "schema" : "https://github.com/citation-style-language/schema/raw/master/csl-citation.json" }</w:instrText>
      </w:r>
      <w:r>
        <w:fldChar w:fldCharType="separate"/>
      </w:r>
      <w:r w:rsidRPr="00AA139F">
        <w:rPr>
          <w:noProof/>
        </w:rPr>
        <w:t>(Crittenden et al. 1984; Smith et al. 1991; Sacco et al. 2004; Aswad &amp; Katzourakis 2012; Stoye 2012; Hurst &amp; Magiorkinis 2014)</w:t>
      </w:r>
      <w:r>
        <w:fldChar w:fldCharType="end"/>
      </w:r>
      <w:r>
        <w:t xml:space="preserve">. In this study, the chicken co-opted gammaretroviral </w:t>
      </w:r>
      <w:r>
        <w:rPr>
          <w:i/>
        </w:rPr>
        <w:t>envelope</w:t>
      </w:r>
      <w:r>
        <w:t xml:space="preserve"> gene, </w:t>
      </w:r>
      <w:r>
        <w:rPr>
          <w:i/>
        </w:rPr>
        <w:t>Ovex1</w:t>
      </w:r>
      <w:r>
        <w:t xml:space="preserve">, was shown to have a wide distribution in the Sauropsida, and to exhibit expression beyond </w:t>
      </w:r>
      <w:r w:rsidR="0097043D">
        <w:t>the ovaries, contrary to its initial</w:t>
      </w:r>
      <w:r>
        <w:t xml:space="preserve"> </w:t>
      </w:r>
      <w:r w:rsidR="0097043D">
        <w:t>characterisation</w:t>
      </w:r>
      <w:r>
        <w:t xml:space="preserve"> </w:t>
      </w:r>
      <w:r>
        <w:fldChar w:fldCharType="begin" w:fldLock="1"/>
      </w:r>
      <w:r>
        <w:instrText>ADDIN CSL_CITATION { "citationItems" : [ { "id" : "ITEM-1",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"ITEM-1", "issued" : { "date-parts" : [ [ "2009", "1" ] ] }, "page" : "59", "title" : "OVEX1, a novel chicken endogenous retrovirus with sex-specific and left-right asymmetrical expression in gonads.", "type" : "article-journal", "volume" : "6" }, "uris" : [ "http://www.mendeley.com/documents/?uuid=3d9a038e-2cd6-43ab-9514-6e34db462e92" ] } ], "mendeley" : { "formattedCitation" : "(Carr\u00e9-Eus\u00e8be et al. 2009)", "plainTextFormattedCitation" : "(Carr\u00e9-Eus\u00e8be et al. 2009)", "previouslyFormattedCitation" : "(Carr\u00e9-Eus\u00e8be et al. 2009)" }, "properties" : { "noteIndex" : 0 }, "schema" : "https://github.com/citation-style-language/schema/raw/master/csl-citation.json" }</w:instrText>
      </w:r>
      <w:r>
        <w:fldChar w:fldCharType="separate"/>
      </w:r>
      <w:r w:rsidRPr="00AA139F">
        <w:rPr>
          <w:noProof/>
        </w:rPr>
        <w:t>(Carré-Eusèbe et al. 2009)</w:t>
      </w:r>
      <w:r>
        <w:fldChar w:fldCharType="end"/>
      </w:r>
      <w:r w:rsidR="0048495E">
        <w:t xml:space="preserve">. This may support a much </w:t>
      </w:r>
      <w:r>
        <w:t xml:space="preserve">more general function for </w:t>
      </w:r>
      <w:r>
        <w:rPr>
          <w:i/>
        </w:rPr>
        <w:t>Ovex1</w:t>
      </w:r>
      <w:r>
        <w:t>, perhaps as a competitive inhibitor against exogenous gammaretrovirus infectio</w:t>
      </w:r>
      <w:r w:rsidR="0048495E">
        <w:t>n, however this requires further</w:t>
      </w:r>
      <w:r>
        <w:t xml:space="preserve"> functional characterisation. </w:t>
      </w:r>
    </w:p>
    <w:p w14:paraId="25E2311D" w14:textId="70D42A28" w:rsidR="00092BA2" w:rsidRDefault="00092BA2" w:rsidP="00391005">
      <w:pPr>
        <w:pStyle w:val="ListParagraph"/>
      </w:pPr>
      <w:r>
        <w:rPr>
          <w:i/>
        </w:rPr>
        <w:t>Ovex1</w:t>
      </w:r>
      <w:r>
        <w:t xml:space="preserve"> expression was ubiquitous, but was far greater in the ovaries than in other identified tissues. It is therefore possible that minimal levels of Ovex1 protein was produced outside the ovaries, therefore limiting its range of effects.  Furthermore, whilst </w:t>
      </w:r>
      <w:r>
        <w:rPr>
          <w:i/>
        </w:rPr>
        <w:t>in silico</w:t>
      </w:r>
      <w:r>
        <w:t xml:space="preserve"> domain identification was carried out in this project, isolation and identification of the Ovex1 protein would provide evidence as to its functionality, as fully functional retroviral envelope proteins form homotrimers. </w:t>
      </w:r>
      <w:r>
        <w:rPr>
          <w:i/>
        </w:rPr>
        <w:t xml:space="preserve">Ovex1 </w:t>
      </w:r>
      <w:r>
        <w:t xml:space="preserve">knockouts would also identify whether </w:t>
      </w:r>
      <w:r w:rsidRPr="00611DBF">
        <w:t>Ovex1</w:t>
      </w:r>
      <w:r>
        <w:t xml:space="preserve"> is an essential protein, particularly whether it is required in ovary development as was originally hypothesised </w:t>
      </w:r>
      <w:r>
        <w:fldChar w:fldCharType="begin" w:fldLock="1"/>
      </w:r>
      <w:r>
        <w:instrText>ADDIN CSL_CITATION { "citationItems" : [ { "id" : "ITEM-1", "itemData" : { "DOI" : "10.1186/1742-4690-6-59", "ISSN" : "1742-4690", "PMID" : "19534790", "abstract" : "BACKGROUND: In chickens, as in most birds, female gonad morphogenesis is asymmetrical. Gonads appear first rather similarly, but only the left one undergoes full differentiation and gives rise to a functional ovary. The right gonad, in which the cortex does not develop, remains restricted to the medulla and finally regresses. Opportunity was taken of this left-right asymmetry to perform a suppression subtractive hybridization screening to select for transcripts preferentially expressed in the developing left ovary as compared to the right one, and thus identify genes that are potentially involved in the process of ovarian differentiation.\n\nRESULTS: One of these transcripts, named Ovex1 according to its expression profile, corresponds to an endogenous retrovirus that has not been previously characterized. It is transcribed as full-length and singly spliced mRNAs and contains three uninterrupted open reading frames coding potentially for proteins with homology to Gag and Pro-Pol retroviral polyproteins and a third protein showing only a weak similarity with Env glycoproteins. Ovex1 is severely degenerated; it is devoid of typical long terminal repeats and displays some evidence of recombination. An orthologous Ovex1 locus was identified in the genome of zebra finch, a member of a different bird order, and similar sequences were detected in turkey, guinea fowl, and duck DNA. The relationship between these sequences follows the bird phylogeny, suggesting vertical transmission of the endogenous retrovirus for more than 100 million years. Ovex1 is transcribed in chicken gonads with a sex-dependent and left-right asymmetrical pattern. It is first expressed in the cortex of the left indifferent gonads of both sexes. Expression is transient in the left testis and absent in the right one. In developing ovaries, Ovex1 transcription increases sharply in the left cortex and is weakly detected in the medulla. After folliculogenesis, Ovex1-expressing cells constitute the follicular granulosa cell layer. Ovex1 expression highlights a striking desquamation process that leads to profound cortical remodeling associated with follicle morphogenesis.\n\nCONCLUSION: Evidence for a selection pressure at the protein level suggests that this endogenous retrovirus, expressed in the ovarian supporting cell lineage, might play an active role in bird ovarian physiology.", "author" : [ { "dropping-particle" : "", "family" : "Carr\u00e9-Eus\u00e8be", "given" : "Dani\u00e8le", "non-dropping-particle" : "", "parse-names" : false, "suffix" : "" }, { "dropping-particle" : "", "family" : "Coudouel", "given" : "No\u00eblline", "non-dropping-particle" : "", "parse-names" : false, "suffix" : "" }, { "dropping-particle" : "", "family" : "Magre", "given" : "Solange", "non-dropping-particle" : "", "parse-names" : false, "suffix" : "" } ], "container-title" : "Retrovirology", "id" : "ITEM-1", "issued" : { "date-parts" : [ [ "2009", "1" ] ] }, "page" : "59", "title" : "OVEX1, a novel chicken endogenous retrovirus with sex-specific and left-right asymmetrical expression in gonads.", "type" : "article-journal", "volume" : "6" }, "uris" : [ "http://www.mendeley.com/documents/?uuid=3d9a038e-2cd6-43ab-9514-6e34db462e92" ] } ], "mendeley" : { "formattedCitation" : "(Carr\u00e9-Eus\u00e8be et al. 2009)", "plainTextFormattedCitation" : "(Carr\u00e9-Eus\u00e8be et al. 2009)", "previouslyFormattedCitation" : "(Carr\u00e9-Eus\u00e8be et al. 2009)" }, "properties" : { "noteIndex" : 0 }, "schema" : "https://github.com/citation-style-language/schema/raw/master/csl-citation.json" }</w:instrText>
      </w:r>
      <w:r>
        <w:fldChar w:fldCharType="separate"/>
      </w:r>
      <w:r w:rsidRPr="00AA139F">
        <w:rPr>
          <w:noProof/>
        </w:rPr>
        <w:t>(Carré-Eusèbe et al. 2009)</w:t>
      </w:r>
      <w:r>
        <w:fldChar w:fldCharType="end"/>
      </w:r>
      <w:r>
        <w:t xml:space="preserve">, or whether </w:t>
      </w:r>
      <w:r>
        <w:rPr>
          <w:i/>
        </w:rPr>
        <w:t xml:space="preserve">Ovex1 </w:t>
      </w:r>
      <w:r>
        <w:t xml:space="preserve">mutants are more susceptible to current exogenous gammaretrovirus infection, such as CSV. As </w:t>
      </w:r>
      <w:r>
        <w:rPr>
          <w:i/>
        </w:rPr>
        <w:t>Ovex1</w:t>
      </w:r>
      <w:r>
        <w:t xml:space="preserve"> homologues are present throughout the sauropsids, it would be of great interest to fully understand the evolutionary impact of this co-opted ERV. </w:t>
      </w:r>
    </w:p>
    <w:p w14:paraId="7182E8D1" w14:textId="0FF75A00" w:rsidR="00092BA2" w:rsidRDefault="0097043D" w:rsidP="00391005">
      <w:pPr>
        <w:pStyle w:val="ListParagraph"/>
      </w:pPr>
      <w:r>
        <w:t>It is possible that other chicken genes have incorporated LTR retrotransposon</w:t>
      </w:r>
      <w:r w:rsidR="0048495E">
        <w:t>-derived sequences as</w:t>
      </w:r>
      <w:r>
        <w:t xml:space="preserve"> exons or promoters, particularly as overlaps with protein-coding ge</w:t>
      </w:r>
      <w:r w:rsidR="0048495E">
        <w:t xml:space="preserve">nes were observed in the </w:t>
      </w:r>
      <w:r>
        <w:t>Galgal4</w:t>
      </w:r>
      <w:r w:rsidR="0048495E">
        <w:t xml:space="preserve"> analysis. Further work should confirm and</w:t>
      </w:r>
      <w:r>
        <w:t xml:space="preserve"> characterise overlaps with annotated exons, and iden</w:t>
      </w:r>
      <w:r w:rsidR="0048495E">
        <w:t xml:space="preserve">tify their contribution, if any, to </w:t>
      </w:r>
      <w:r>
        <w:t xml:space="preserve">gene function. </w:t>
      </w:r>
    </w:p>
    <w:p w14:paraId="462A9E79" w14:textId="5EE01995" w:rsidR="00092BA2" w:rsidRDefault="0026381C" w:rsidP="00092BA2">
      <w:pPr>
        <w:pStyle w:val="Heading4"/>
      </w:pPr>
      <w:r>
        <w:lastRenderedPageBreak/>
        <w:t>Long non-coding RNA genes</w:t>
      </w:r>
      <w:r w:rsidR="00092BA2">
        <w:t xml:space="preserve"> of LTR retrotransposon origin</w:t>
      </w:r>
    </w:p>
    <w:p w14:paraId="6C0E6E3B" w14:textId="738A9E11" w:rsidR="00092BA2" w:rsidRDefault="00092BA2" w:rsidP="00391005">
      <w:pPr>
        <w:pStyle w:val="ListParagraph"/>
      </w:pPr>
      <w:r>
        <w:t xml:space="preserve">Recent improvements to the chicken genome annotation has enabled the identification of over 20,000 </w:t>
      </w:r>
      <w:r w:rsidR="0026381C">
        <w:t>long non-coding RNA</w:t>
      </w:r>
      <w:r>
        <w:t xml:space="preserve"> </w:t>
      </w:r>
      <w:r w:rsidR="0026381C">
        <w:t xml:space="preserve">(lncRNA) </w:t>
      </w:r>
      <w:r>
        <w:t xml:space="preserve">genes </w:t>
      </w:r>
      <w:r>
        <w:fldChar w:fldCharType="begin" w:fldLock="1"/>
      </w:r>
      <w:r>
        <w:instrText>ADDIN CSL_CITATION { "citationItems" : [ { "id" : "ITEM-1", "itemData" : { "DOI" : "10.1186/s12864-017-3691-9", "ISSN" : "1471-2164", "author" : [ { "dropping-particle" : "", "family" : "Kuo", "given" : "RI", "non-dropping-particle" : "", "parse-names" : false, "suffix" : "" }, { "dropping-particle" : "", "family" : "Tseng", "given" : "E", "non-dropping-particle" : "", "parse-names" : false, "suffix" : "" }, { "dropping-particle" : "", "family" : "Eory", "given" : "L", "non-dropping-particle" : "", "parse-names" : false, "suffix" : "" }, { "dropping-particle" : "", "family" : "Paton", "given" : "IR", "non-dropping-particle" : "", "parse-names" : false, "suffix" : "" }, { "dropping-particle" : "", "family" : "Archibald", "given" : "AL", "non-dropping-particle" : "", "parse-names" : false, "suffix" : "" }, { "dropping-particle" : "", "family" : "Burt", "given" : "DW", "non-dropping-particle" : "", "parse-names" : false, "suffix" : "" } ], "container-title" : "BMC Genomics", "id" : "ITEM-1", "issue" : "323", "issued" : { "date-parts" : [ [ "2017" ] ] }, "page" : "1-19", "publisher" : "BMC Genomics", "title" : "Normalized long-read RNA sequencing in chicken reveals transcriptome complexity similar to human", "type" : "article-journal", "volume" : "18" }, "uris" : [ "http://www.mendeley.com/documents/?uuid=1948590f-a9d1-4ea9-bc2a-52a9154df6c4" ] } ], "mendeley" : { "formattedCitation" : "(Kuo et al. 2017)", "plainTextFormattedCitation" : "(Kuo et al. 2017)", "previouslyFormattedCitation" : "(Kuo et al. 2017)" }, "properties" : { "noteIndex" : 0 }, "schema" : "https://github.com/citation-style-language/schema/raw/master/csl-citation.json" }</w:instrText>
      </w:r>
      <w:r>
        <w:fldChar w:fldCharType="separate"/>
      </w:r>
      <w:r w:rsidRPr="00053B5C">
        <w:rPr>
          <w:noProof/>
        </w:rPr>
        <w:t>(Kuo et al. 2017)</w:t>
      </w:r>
      <w:r>
        <w:fldChar w:fldCharType="end"/>
      </w:r>
      <w:r>
        <w:t xml:space="preserve">. As a group, lncRNAs are not necessarily functional, but merely evidence that a genomic locus is expressed, even if in a tissue-specific or temporally-specific manner. However, those that have been well characterised have a wide range of functions, from subcellular organisation and epigenetic remodelling, to regulating transcription and facilitating alternative splicing, and are often species-specific </w:t>
      </w:r>
      <w:r>
        <w:fldChar w:fldCharType="begin" w:fldLock="1"/>
      </w:r>
      <w:r>
        <w:instrText>ADDIN CSL_CITATION { "citationItems" : [ { "id" : "ITEM-1", "itemData" : { "DOI" : "10.1038/nrg2521", "ISBN" : "1471-0064 (Electronic)\\n1471-0056 (Linking)", "ISSN" : "1471-0056", "PMID" : "19188922", "abstract" : "In mammals and other eukaryotes most of the genome is transcribed in a developmentally regulated manner to produce large numbers of long non-coding RNAs (ncRNAs). Here we review the rapidly advancing field of long ncRNAs, describing their conservation, their organization in the genome and their roles in gene regulation. We also consider the medical implications, and the emerging recognition that any transcript, regardless of coding potential, can have an intrinsic function as an RNA.", "author" : [ { "dropping-particle" : "", "family" : "Mercer", "given" : "Tim R.", "non-dropping-particle" : "", "parse-names" : false, "suffix" : "" }, { "dropping-particle" : "", "family" : "Dinger", "given" : "Marcel E.", "non-dropping-particle" : "", "parse-names" : false, "suffix" : "" }, { "dropping-particle" : "", "family" : "Mattick", "given" : "John S.", "non-dropping-particle" : "", "parse-names" : false, "suffix" : "" } ], "container-title" : "Nature Reviews Genetics", "id" : "ITEM-1", "issue" : "3", "issued" : { "date-parts" : [ [ "2009" ] ] }, "page" : "155-159", "title" : "Long non-coding RNAs: insights into functions", "type" : "article-journal", "volume" : "10" }, "uris" : [ "http://www.mendeley.com/documents/?uuid=fe65bc4c-4cc8-4f2b-91bd-c509824acead" ] }, { "id" : "ITEM-2", "itemData" : { "DOI" : "10.1038/nmeth0511-379", "ISBN" : "1548-7091", "ISSN" : "1548-7091", "PMID" : "21527927", "abstract" : "Transcripts are easy to find: sorting out what they do is a challenge.", "author" : [ { "dropping-particle" : "", "family" : "Baker", "given" : "Monya", "non-dropping-particle" : "", "parse-names" : false, "suffix" : "" } ], "container-title" : "Nature Methods", "id" : "ITEM-2", "issue" : "5", "issued" : { "date-parts" : [ [ "2011" ] ] }, "page" : "379-383", "publisher" : "Nature Publishing Group", "title" : "Long noncoding RNAs: the search for function", "type" : "article-journal", "volume" : "8" }, "uris" : [ "http://www.mendeley.com/documents/?uuid=c021a41e-7675-4afb-b6b0-e2bc6e573cdb" ] }, { "id" : "ITEM-3", "itemData" : { "DOI" : "10.1007/s00439-011-1008-7", "ISBN" : "1432-1203 (Electronic)\\r0340-6717 (Linking)", "ISSN" : "03406717", "PMID" : "21626138", "abstract" : "X chromosome inactivation (XCI) is a process in mammals that ensures equal transcript levels between males and females by genetic inactivation of one of the two X chromosomes in females. Central to XCI is the long non-coding RNA Xist, which is highly and specifically expressed from the inactive X chromosome. Xist covers the X chromosome in cis and triggers genetic silencing, but its working mechanism remains elusive. Here, we review current knowledge about Xist regulation, structure, function and conservation and speculate on possible mechanisms by which its action is restricted in cis. We also discuss dosage compensation mechanisms other than XCI and how knowledge from invertebrate species may help to provide a better understanding of the mechanisms of mammalian XCI.", "author" : [ { "dropping-particle" : "", "family" : "Pontier", "given" : "Daphne B.", "non-dropping-particle" : "", "parse-names" : false, "suffix" : "" }, { "dropping-particle" : "", "family" : "Gribnau", "given" : "Joost", "non-dropping-particle" : "", "parse-names" : false, "suffix" : "" } ], "container-title" : "Human Genetics", "id" : "ITEM-3", "issue" : "2", "issued" : { "date-parts" : [ [ "2011" ] ] }, "page" : "223-236", "title" : "Xist regulation and function eXplored", "type" : "article-journal", "volume" : "130" }, "uris" : [ "http://www.mendeley.com/documents/?uuid=bb97fa01-71e1-4ef0-af7c-e6d3435ad3df" ] }, { "id" : "ITEM-4", "itemData" : { "DOI" : "10.1016/j.molcel.2011.08.018", "ISBN" : "1097-4164 (Electronic)\\n1097-2765 (Linking)", "ISSN" : "10972765", "PMID" : "21925379", "abstract" : "Long noncoding RNAs (lncRNAs) are an important class of pervasive genes involved in a variety of biological functions. Here we discuss the emerging archetypes of molecular functions that lncRNAs execute-as signals, decoys, guides, and scaffolds. For each archetype, examples from several disparate biological contexts illustrate the commonality of the molecular mechanisms, and these mechanistic views provide useful explanations and predictions of biological outcomes. These archetypes of lncRNA function may be a useful framework to consider how lncRNAs acquire properties as biological signal transducers and hint at their possible origins in evolution. As new lncRNAs are being discovered at a rapid pace, the molecular mechanisms of lncRNAs are likely to be enriched and diversified. \u00a9 2011 Elsevier Inc.", "author" : [ { "dropping-particle" : "", "family" : "Wang", "given" : "Kevin C.", "non-dropping-particle" : "", "parse-names" : false, "suffix" : "" }, { "dropping-particle" : "", "family" : "Chang", "given" : "Howard Y.", "non-dropping-particle" : "", "parse-names" : false, "suffix" : "" } ], "container-title" : "Molecular Cell", "id" : "ITEM-4", "issue" : "6", "issued" : { "date-parts" : [ [ "2011" ] ] }, "page" : "904-914", "publisher" : "Elsevier Inc.", "title" : "Molecular Mechanisms of Long Noncoding RNAs", "type" : "article-journal", "volume" : "43" }, "uris" : [ "http://www.mendeley.com/documents/?uuid=1c082d7b-a0ad-4863-b377-f8c226fa64e7" ] } ], "mendeley" : { "formattedCitation" : "(Mercer et al. 2009; Baker 2011; Pontier &amp; Gribnau 2011; Wang &amp; Chang 2011)", "plainTextFormattedCitation" : "(Mercer et al. 2009; Baker 2011; Pontier &amp; Gribnau 2011; Wang &amp; Chang 2011)", "previouslyFormattedCitation" : "(Mercer et al. 2009; Baker 2011; Pontier &amp; Gribnau 2011; Wang &amp; Chang 2011)" }, "properties" : { "noteIndex" : 0 }, "schema" : "https://github.com/citation-style-language/schema/raw/master/csl-citation.json" }</w:instrText>
      </w:r>
      <w:r>
        <w:fldChar w:fldCharType="separate"/>
      </w:r>
      <w:r w:rsidRPr="00065040">
        <w:rPr>
          <w:noProof/>
        </w:rPr>
        <w:t>(Mercer et al. 2009; Baker 2011; Pontier &amp; Gribnau 2011; Wang &amp; Chang 2011)</w:t>
      </w:r>
      <w:r>
        <w:fldChar w:fldCharType="end"/>
      </w:r>
      <w:r>
        <w:t xml:space="preserve">. </w:t>
      </w:r>
    </w:p>
    <w:p w14:paraId="0054661F" w14:textId="10325A6F" w:rsidR="00092BA2" w:rsidRDefault="00092BA2" w:rsidP="00391005">
      <w:pPr>
        <w:pStyle w:val="ListParagraph"/>
      </w:pPr>
      <w:r>
        <w:t xml:space="preserve">As many mammalian lncRNAs are known to be of transposable element origin </w:t>
      </w:r>
      <w:r>
        <w:fldChar w:fldCharType="begin" w:fldLock="1"/>
      </w:r>
      <w:r>
        <w:instrText>ADDIN CSL_CITATION { "citationItems" : [ { "id" : "ITEM-1", "itemData" : { "DOI" : "10.1371/journal.pgen.1003470", "ISSN" : "1553-7404", "PMID" : "23637635", "abstract" : "Advances in vertebrate genomics have uncovered thousands of loci encoding long noncoding RNAs (lncRNAs). While progress has been made in elucidating the regulatory functions of lncRNAs, little is known about their origins and evolution. Here we explore the contribution of transposable elements (TEs) to the makeup and regulation of lncRNAs in human, mouse, and zebrafish. Surprisingly, TEs occur in more than two thirds of mature lncRNA transcripts and account for a substantial portion of total lncRNA sequence (~30% in human), whereas they seldom occur in protein-coding transcripts. While TEs contribute less to lncRNA exons than expected, several TE families are strongly enriched in lncRNAs. There is also substantial interspecific variation in the coverage and types of TEs embedded in lncRNAs, partially reflecting differences in the TE landscapes of the genomes surveyed. In human, TE sequences in lncRNAs evolve under greater evolutionary constraint than their non-TE sequences, than their intronic TEs, or than random DNA. Consistent with functional constraint, we found that TEs contribute signals essential for the biogenesis of many lncRNAs, including ~30,000 unique sites for transcription initiation, splicing, or polyadenylation in human. In addition, we identified ~35,000 TEs marked as open chromatin located within 10 kb upstream of lncRNA genes. The density of these marks in one cell type correlate with elevated expression of the downstream lncRNA in the same cell type, suggesting that these TEs contribute to cis-regulation. These global trends are recapitulated in several lncRNAs with established functions. Finally a subset of TEs embedded in lncRNAs are subject to RNA editing and predicted to form secondary structures likely important for function. In conclusion, TEs are nearly ubiquitous in lncRNAs and have played an important role in the lineage-specific diversification of vertebrate lncRNA repertoires.", "author" : [ { "dropping-particle" : "", "family" : "Kapusta", "given" : "Aur\u00e9lie", "non-dropping-particle" : "", "parse-names" : false, "suffix" : "" }, { "dropping-particle" : "", "family" : "Kronenberg", "given" : "Zev", "non-dropping-particle" : "", "parse-names" : false, "suffix" : "" }, { "dropping-particle" : "", "family" : "Lynch", "given" : "Vincent J", "non-dropping-particle" : "", "parse-names" : false, "suffix" : "" }, { "dropping-particle" : "", "family" : "Zhuo", "given" : "Xiaoyu", "non-dropping-particle" : "", "parse-names" : false, "suffix" : "" }, { "dropping-particle" : "", "family" : "Ramsay", "given" : "LeeAnn", "non-dropping-particle" : "", "parse-names" : false, "suffix" : "" }, { "dropping-particle" : "", "family" : "Bourque", "given" : "Guillaume", "non-dropping-particle" : "", "parse-names" : false, "suffix" : "" }, { "dropping-particle" : "", "family" : "Yandell", "given" : "Mark", "non-dropping-particle" : "", "parse-names" : false, "suffix" : "" }, { "dropping-particle" : "", "family" : "Feschotte", "given" : "C\u00e9dric", "non-dropping-particle" : "", "parse-names" : false, "suffix" : "" } ], "container-title" : "PLoS genetics", "id" : "ITEM-1", "issue" : "4", "issued" : { "date-parts" : [ [ "2013", "4" ] ] }, "page" : "e1003470", "title" : "Transposable elements are major contributors to the origin, diversification, and regulation of vertebrate long noncoding RNAs.", "type" : "article-journal", "volume" : "9" }, "uris" : [ "http://www.mendeley.com/documents/?uuid=ea88d2e5-ef5f-4b0f-a84f-617f7ca660f9" ] } ], "mendeley" : { "formattedCitation" : "(Kapusta et al. 2013)", "plainTextFormattedCitation" : "(Kapusta et al. 2013)", "previouslyFormattedCitation" : "(Kapusta et al. 2013)" }, "properties" : { "noteIndex" : 0 }, "schema" : "https://github.com/citation-style-language/schema/raw/master/csl-citation.json" }</w:instrText>
      </w:r>
      <w:r>
        <w:fldChar w:fldCharType="separate"/>
      </w:r>
      <w:r w:rsidRPr="00F523E1">
        <w:rPr>
          <w:noProof/>
        </w:rPr>
        <w:t>(Kapusta et al. 2013)</w:t>
      </w:r>
      <w:r>
        <w:fldChar w:fldCharType="end"/>
      </w:r>
      <w:r>
        <w:t>, it was interesting that seventy-two int</w:t>
      </w:r>
      <w:r w:rsidR="0026381C">
        <w:t xml:space="preserve">act chicken LTR retrotransposons (5.6 %) </w:t>
      </w:r>
      <w:r>
        <w:t xml:space="preserve">significantly overlapped (&gt; 50 bp) or fully contained a lncRNA gene. Future work needs to assess LTR retrotransposon regions which are overlapped, whether any degraded LTR retrotransposon sequences overlap with lncRNA genes, and derive the function, if any, of the overlapped loci. There is no general, comprehensive methodology for the functional characterisation of lncRNA genes, and loci generally need to be evaluated independently with extensive experimental evidence </w:t>
      </w:r>
      <w:r>
        <w:fldChar w:fldCharType="begin" w:fldLock="1"/>
      </w:r>
      <w:r>
        <w:instrText>ADDIN CSL_CITATION { "citationItems" : [ { "id" : "ITEM-1", "itemData" : { "DOI" : "10.1038/nrg2521", "ISBN" : "1471-0064 (Electronic)\\n1471-0056 (Linking)", "ISSN" : "1471-0056", "PMID" : "19188922", "abstract" : "In mammals and other eukaryotes most of the genome is transcribed in a developmentally regulated manner to produce large numbers of long non-coding RNAs (ncRNAs). Here we review the rapidly advancing field of long ncRNAs, describing their conservation, their organization in the genome and their roles in gene regulation. We also consider the medical implications, and the emerging recognition that any transcript, regardless of coding potential, can have an intrinsic function as an RNA.", "author" : [ { "dropping-particle" : "", "family" : "Mercer", "given" : "Tim R.", "non-dropping-particle" : "", "parse-names" : false, "suffix" : "" }, { "dropping-particle" : "", "family" : "Dinger", "given" : "Marcel E.", "non-dropping-particle" : "", "parse-names" : false, "suffix" : "" }, { "dropping-particle" : "", "family" : "Mattick", "given" : "John S.", "non-dropping-particle" : "", "parse-names" : false, "suffix" : "" } ], "container-title" : "Nature Reviews Genetics", "id" : "ITEM-1", "issue" : "3", "issued" : { "date-parts" : [ [ "2009" ] ] }, "page" : "155-159", "title" : "Long non-coding RNAs: insights into functions", "type" : "article-journal", "volume" : "10" }, "uris" : [ "http://www.mendeley.com/documents/?uuid=fe65bc4c-4cc8-4f2b-91bd-c509824acead" ] } ], "mendeley" : { "formattedCitation" : "(Mercer et al. 2009)", "plainTextFormattedCitation" : "(Mercer et al. 2009)", "previouslyFormattedCitation" : "(Mercer et al. 2009)" }, "properties" : { "noteIndex" : 0 }, "schema" : "https://github.com/citation-style-language/schema/raw/master/csl-citation.json" }</w:instrText>
      </w:r>
      <w:r>
        <w:fldChar w:fldCharType="separate"/>
      </w:r>
      <w:r w:rsidRPr="006D26D9">
        <w:rPr>
          <w:noProof/>
        </w:rPr>
        <w:t>(Mercer et al. 2009)</w:t>
      </w:r>
      <w:r>
        <w:fldChar w:fldCharType="end"/>
      </w:r>
      <w:r>
        <w:t xml:space="preserve">. Recent </w:t>
      </w:r>
      <w:r>
        <w:rPr>
          <w:i/>
        </w:rPr>
        <w:t>in silico</w:t>
      </w:r>
      <w:r>
        <w:t xml:space="preserve"> efforts have been made to assign direct lncRNA functional relatedness by assessing co-expression with well described protein coding genes using RNAseq datasets over multiple tissues </w:t>
      </w:r>
      <w:r>
        <w:fldChar w:fldCharType="begin" w:fldLock="1"/>
      </w:r>
      <w:r>
        <w:instrText>ADDIN CSL_CITATION { "citationItems" : [ { "id" : "ITEM-1", "itemData" : { "DOI" : "10.1155/2015/839590", "ISBN" : "2314-6141 (Electronic)", "ISSN" : "2314-6141", "PMID" : "25815337", "abstract" : "Long noncoding RNAs (lncRNAs) have been shown to play key roles in various biological processes. However, functions of most lncRNAs are poorly characterized. Here, we represent a framework to predict functions of lncRNAs through construction of a regulatory network between lncRNAs and protein-coding genes. Using RNA-seq data, the transcript profiles of lncRNAs and protein-coding genes are constructed. Using the Bayesian network method, a regulatory network, which implies dependency relations between lncRNAs and protein-coding genes, was built. In combining protein interaction network, highly connected coding genes linked by a given lncRNA were subsequently used to predict functions of the lncRNA through functional enrichment. Application of our method to prostate RNA-seq data showed that 762 lncRNAs in the constructed regulatory network were assigned functions. We found that lncRNAs are involved in diverse biological processes, such as tissue development or embryo development (e.g., nervous system development and mesoderm development). By comparison with functions inferred using the neighboring gene-based method and functions determined using lncRNA knockdown experiments, our method can provide comparable predicted functions of lncRNAs. Overall, our method can be applied to emerging RNA-seq data, which will help researchers identify complex relations between lncRNAs and coding genes and reveal important functions of lncRNAs.", "author" : [ { "dropping-particle" : "", "family" : "Xiao", "given" : "Y", "non-dropping-particle" : "", "parse-names" : false, "suffix" : "" }, { "dropping-particle" : "", "family" : "Lv", "given" : "Y", "non-dropping-particle" : "", "parse-names" : false, "suffix" : "" }, { "dropping-particle" : "", "family" : "Zhao", "given" : "H", "non-dropping-particle" : "", "parse-names" : false, "suffix" : "" }, { "dropping-particle" : "", "family" : "Gong", "given" : "Y", "non-dropping-particle" : "", "parse-names" : false, "suffix" : "" }, { "dropping-particle" : "", "family" : "Hu", "given" : "J", "non-dropping-particle" : "", "parse-names" : false, "suffix" : "" }, { "dropping-particle" : "", "family" : "Li", "given" : "F", "non-dropping-particle" : "", "parse-names" : false, "suffix" : "" }, { "dropping-particle" : "", "family" : "Xu", "given" : "J", "non-dropping-particle" : "", "parse-names" : false, "suffix" : "" }, { "dropping-particle" : "", "family" : "Bai", "given" : "J", "non-dropping-particle" : "", "parse-names" : false, "suffix" : "" }, { "dropping-particle" : "", "family" : "Yu", "given" : "F", "non-dropping-particle" : "", "parse-names" : false, "suffix" : "" }, { "dropping-particle" : "", "family" : "Li", "given" : "X", "non-dropping-particle" : "", "parse-names" : false, "suffix" : "" } ], "container-title" : "Biomed Res Int", "id" : "ITEM-1", "issued" : { "date-parts" : [ [ "2015" ] ] }, "page" : "839590", "title" : "Predicting the Functions of Long Noncoding RNAs Using RNA-Seq Based on Bayesian Network", "type" : "article-journal", "volume" : "2015" }, "uris" : [ "http://www.mendeley.com/documents/?uuid=2bda78c8-ffbe-435e-9849-47ff3cb1a45c" ] } ], "mendeley" : { "formattedCitation" : "(Xiao et al. 2015)", "plainTextFormattedCitation" : "(Xiao et al. 2015)", "previouslyFormattedCitation" : "(Xiao et al. 2015)" }, "properties" : { "noteIndex" : 0 }, "schema" : "https://github.com/citation-style-language/schema/raw/master/csl-citation.json" }</w:instrText>
      </w:r>
      <w:r>
        <w:fldChar w:fldCharType="separate"/>
      </w:r>
      <w:r w:rsidRPr="000041A6">
        <w:rPr>
          <w:noProof/>
        </w:rPr>
        <w:t>(Xiao et al. 2015)</w:t>
      </w:r>
      <w:r>
        <w:fldChar w:fldCharType="end"/>
      </w:r>
      <w:r>
        <w:t>. However, this requires a lncRNA to have a direct effect, and expression that can be accurately quantified over multiple tissues. Initially, research should focus on identifying the functional ‘class’ of any overlapped lncRNA, with individual loci targeted for further research. Functional characterisation of lncRNA genes is a new and rapidly expanding field, and new predictor tools are currently under development (Kuo 2017, personal communication).</w:t>
      </w:r>
    </w:p>
    <w:p w14:paraId="658EF775" w14:textId="66157F58" w:rsidR="00092BA2" w:rsidRDefault="00092BA2" w:rsidP="00391005">
      <w:pPr>
        <w:pStyle w:val="ListParagraph"/>
      </w:pPr>
    </w:p>
    <w:p w14:paraId="61C32EC1" w14:textId="78F4382A" w:rsidR="00092BA2" w:rsidRDefault="00092BA2" w:rsidP="00092BA2">
      <w:pPr>
        <w:pStyle w:val="Heading3"/>
      </w:pPr>
      <w:bookmarkStart w:id="661" w:name="_Toc485721687"/>
      <w:bookmarkStart w:id="662" w:name="_Toc486787267"/>
      <w:bookmarkStart w:id="663" w:name="_Toc486787415"/>
      <w:r>
        <w:t>Transient ALVE-derived immunity</w:t>
      </w:r>
      <w:r w:rsidR="00946188">
        <w:t xml:space="preserve"> in chickens</w:t>
      </w:r>
      <w:bookmarkEnd w:id="661"/>
      <w:bookmarkEnd w:id="662"/>
      <w:bookmarkEnd w:id="663"/>
    </w:p>
    <w:p w14:paraId="0286BFD6" w14:textId="608195AB" w:rsidR="001133EE" w:rsidRDefault="008C3B9B" w:rsidP="00391005">
      <w:pPr>
        <w:pStyle w:val="ListParagraph"/>
      </w:pPr>
      <w:r>
        <w:t xml:space="preserve">Many recent ALVE insertions retain a high degree of structural integrity, and the role of well described elements such as ALVE6 and ALVE9 in mitigating exogenous ALV infection through receptor interference has been well described </w:t>
      </w:r>
      <w:r>
        <w:fldChar w:fldCharType="begin" w:fldLock="1"/>
      </w:r>
      <w:r w:rsidR="00446219">
        <w:instrText>ADDIN CSL_CITATION { "citationItems" : [ { "id" : "ITEM-1", "itemData" : { "ISSN" : "0022-538X", "PMID" : "6275116", "abstract" : "Three defective endogenous avian leukosis viruses, ev3, ev6 and ev9, interfered with subgroup E virus infections, ev3, ev6, and ev9 expressed high levels of subgroup E envelope glycoproteins. These glycoproteins reduced the activity of cellular receptors for subgroup E viruses. ev3 and ev6 protected chickens and cultured cells from subgroup E virus infections.", "author" : [ { "dropping-particle" : "", "family" : "Robinson", "given" : "H L", "non-dropping-particle" : "", "parse-names" : false, "suffix" : "" }, { "dropping-particle" : "", "family" : "Astrin", "given" : "S M", "non-dropping-particle" : "", "parse-names" : false, "suffix" : "" }, { "dropping-particle" : "", "family" : "Senior", "given" : "A M", "non-dropping-particle" : "", "parse-names" : false, "suffix" : "" }, { "dropping-particle" : "", "family" : "Salazar", "given" : "F H", "non-dropping-particle" : "", "parse-names" : false, "suffix" : "" } ], "container-title" : "Journal of virology", "id" : "ITEM-1", "issue" : "3", "issued" : { "date-parts" : [ [ "1981" ] ] }, "page" : "745-51", "title" : "Host Susceptibility to endogenous viruses: defective, glycoprotein-expressing proviruses interfere with infections.", "type" : "article-journal", "volume" : "40" }, "uris" : [ "http://www.mendeley.com/documents/?uuid=56707bd3-ea0a-4eba-8694-48d913ca265d" ] }, { "id" : "ITEM-2", "itemData" : { "DOI" : "10.3382/ps.0691244", "ISSN" : "0032-5791", "abstract" : "The effects of ev6, ev21, sex, and hatch, were studied with respect to avian leukosis virus (ALV) viremia, cloacal shedding, and antibody response among RPL-40 virus-infected White Leghorns that carried ev6 and ev21 in all combinations. Among the four possible ev genotypes, chickens that carried only ev21 were the most immunologically tolerant to RPL-40 infection. Incidence of RPL-40 viremia was lowest among hatchmates that lacked both ev genes. Analysis of variance indicated significant interactions between ev6 and ev21 with respect to all responses. Among ev21+ slow-feathering (SF) chickens, the incidence of viremia and shedding of RPL-40 was reduced in the presence of ev6 when compared with ev6- hatchmates. Conversely, among ev21- rapid-feathering (RF) chickens, ev6 significantly enhanced the incidence of RPL-40 viremia when compared with ev6- hatchmates. The endogenous virus, ev6, markedly reduced recovery of the endogenous virus (EV21) from plasmas of slow-feathering chickens. When both flocks were terminated at 21 wk of age, significantly more ev21+ SF females had died from or developed RPL-40-induced tumors than ev21- hatch mates.", "author" : [ { "dropping-particle" : "", "family" : "Smith", "given" : "E J", "non-dropping-particle" : "", "parse-names" : false, "suffix" : "" }, { "dropping-particle" : "", "family" : "Fadly", "given" : "A M", "non-dropping-particle" : "", "parse-names" : false, "suffix" : "" }, { "dropping-particle" : "", "family" : "Crittenden", "given" : "L B", "non-dropping-particle" : "", "parse-names" : false, "suffix" : "" } ], "container-title" : "Poultry Science", "id" : "ITEM-2", "issue" : "8", "issued" : { "date-parts" : [ [ "1990", "8", "1" ] ] }, "note" : "Product of ev21 (EV21) can be passed congenitally to the embryo inducing immunologic tolerance \u2013 increases viremia and reduces antibody response. This correlates with elevated chick mortality due to LL. Resistance to EV infection is also mediated by defective ev loci such as ev3, ev6 and ev9 by blocking cell membrane receptors. Ev6 down modulates the tolerizing influence of EV21 but enhances tolerance in those lines that lack EV21. Therefore ev6 functions at two levels: ev6 glycoproteins can either interfere with EV21 amplification (block cell membrane receptors reducing antigenic dose) or enhance tolerance (in the right context). \n\n\nNot accessible online from Ed Uni - Journals available at the Vet School Library", "page" : "1244-1250", "title" : "Interactions Between Endogenous Virus Loci ev6 and ev21.: 1. Immune Response to Exogenous Avian Leukosis Virus Infection", "type" : "article-journal", "volume" : "69" }, "uris" : [ "http://www.mendeley.com/documents/?uuid=fb7f1b4d-baf0-4e90-b8da-71bb96c799f1" ] }, { "id" : "ITEM-3", "itemData" : { "DOI" : "10.3382/ps.0701673", "ISSN" : "0032-5791", "abstract" : "Endogenous virus (EV) locus ev6 encodes only virus envelope glycoprotein. The influence of ev6 on the immune response to contact infection with hatchmates infected with avian leukosis virus (ALV) was compared in replicate hatches. The ALV Subgroup E-resistant, rapid-feathering (RF) female chickens produced by slow-feathering (SF) and RF dams with and without ev6 were exposed at hatch to hatchmates infected with ALV Subgroup A (Strain RPL-40). The RPL-40 viremia, shedding, and virus neutralizing antibodies were measured among pullets from two hatches at 22 wk of age. Although significant (P&lt;.05) differences between hatches in the immune response to contact infection were noted among ev6+ pullets, significantly fewer ev6+ pullets seroconverted than their ev6- hatchmates. At 22 wk of age, significantly more lymphomas were also found among ev6+ pullets than among ev6- hatchmates. In flocks wherein both parents and progeny were homozygous resistant to Subgroup E virus, there was no detrimental maternal effect on RF progeny from SF dams that carried ev21. These results also confirm that selection for genetic cellular resistance to Subgroup E ALV infection eliminates congenital transmission of EV21.", "author" : [ { "dropping-particle" : "", "family" : "Smith", "given" : "E J", "non-dropping-particle" : "", "parse-names" : false, "suffix" : "" }, { "dropping-particle" : "", "family" : "Fadly", "given" : "A M", "non-dropping-particle" : "", "parse-names" : false, "suffix" : "" }, { "dropping-particle" : "", "family" : "Levin", "given" : "I", "non-dropping-particle" : "", "parse-names" : false, "suffix" : "" }, { "dropping-particle" : "", "family" : "Crittenden", "given" : "L B", "non-dropping-particle" : "", "parse-names" : false, "suffix" : "" } ], "container-title" : "Poultry Science", "id" : "ITEM-3", "issue" : "8", "issued" : { "date-parts" : [ [ "1991", "8", "1" ] ] }, "note" : "Ev6 only expresses env glycoprotein and down modulates ev21 \u2013 alternative breeding strategy to eradicating ev21 when it is closely linked with the useful sexing phenotype. \nEv3, ev6 and ev9 all express only env glycoprotein, and all at high levels \u2013 dominant genes that inhibit EV amplification. \nNot accessible online from Ed Uni - Journals available at the Vet School Library", "page" : "1673-1678", "title" : "The Influence of ev6 on the Immune Response to Avian Leukosis Virus Infection in Rapid-Feathering Progeny of Slow- and Rapid-Feathering Dams", "type" : "article-journal", "volume" : "70" }, "uris" : [ "http://www.mendeley.com/documents/?uuid=a70fc5db-e166-43f2-83f4-6b8568b78519" ] }, { "id" : "ITEM-4", "itemData" : { "DOI" : "10.1080/03079459508419105", "ISSN" : "0307-9457", "PMID" : "18645822", "abstract" : "The influence of endogenous viral (ev) genes on avian leukosis virus (ALV) infection was studied in ALV-free white leghorn chickens exposed to chicks from ALV shedding dams. The study included four lines, each segregating for one ev gene, one line free of ev genes, and four commercial stocks segregating for a number of ev genes. Genes ev12 and ev21 that produce the complete endogenous virus were associated with significant reductions in antibody response to ALV. In commercial stocks with ev21 in all birds, both antibody response and ALV in oviducts were significantly influenced by the genomic background (stock). In one commercial stock, 37.6% of 133 birds with ev21 and only 5.8% of 120 birds without the gene were test-positive for virus in their oviducts at 180 days of age. No such differences were associated with ev1, ev3 or ev6 that do not produce complete endogenous virus. Thus, virus-producing ev genes were a predisposing factor for shedding ALV.", "author" : [ { "dropping-particle" : "", "family" : "Gavora", "given" : "J S", "non-dropping-particle" : "", "parse-names" : false, "suffix" : "" }, { "dropping-particle" : "", "family" : "Spencer", "given" : "J L", "non-dropping-particle" : "", "parse-names" : false, "suffix" : "" }, { "dropping-particle" : "", "family" : "Benkel", "given" : "B", "non-dropping-particle" : "", "parse-names" : false, "suffix" : "" }, { "dropping-particle" : "", "family" : "Gagnon", "given" : "C", "non-dropping-particle" : "", "parse-names" : false, "suffix" : "" }, { "dropping-particle" : "", "family" : "Emsley", "given" : "a", "non-dropping-particle" : "", "parse-names" : false, "suffix" : "" }, { "dropping-particle" : "", "family" : "Kulenkamp", "given" : "a", "non-dropping-particle" : "", "parse-names" : false, "suffix" : "" } ], "container-title" : "Avian pathology : journal of the W.V.P.A", "id" : "ITEM-4", "issue" : "4", "issued" : { "date-parts" : [ [ "1995" ] ] }, "page" : "653-64", "title" : "Endogenous viral genes influence infection with avian leukosis virus.", "type" : "article-journal", "volume" : "24" }, "uris" : [ "http://www.mendeley.com/documents/?uuid=226e2ce0-ad9b-4fca-be43-af60af79ab83" ] } ], "mendeley" : { "formattedCitation" : "(Robinson et al. 1981; Smith et al. 1990a; Smith et al. 1991; Gavora et al. 1995)", "plainTextFormattedCitation" : "(Robinson et al. 1981; Smith et al. 1990a; Smith et al. 1991; Gavora et al. 1995)", "previouslyFormattedCitation" : "(Robinson et al. 1981; Smith et al. 1990a; Smith et al. 1991; Gavora et al. 1995)" }, "properties" : { "noteIndex" : 0 }, "schema" : "https://github.com/citation-style-language/schema/raw/master/csl-citation.json" }</w:instrText>
      </w:r>
      <w:r>
        <w:fldChar w:fldCharType="separate"/>
      </w:r>
      <w:r w:rsidRPr="008C3B9B">
        <w:rPr>
          <w:noProof/>
        </w:rPr>
        <w:t xml:space="preserve">(Robinson et al. 1981; </w:t>
      </w:r>
      <w:r w:rsidRPr="008C3B9B">
        <w:rPr>
          <w:noProof/>
        </w:rPr>
        <w:lastRenderedPageBreak/>
        <w:t>Smith et al. 1990a; Smith et al. 1991; Gavora et al. 1995)</w:t>
      </w:r>
      <w:r>
        <w:fldChar w:fldCharType="end"/>
      </w:r>
      <w:r>
        <w:t>. In commercial flocks, where exogenous ALV infections are controlled and largely absen</w:t>
      </w:r>
      <w:r w:rsidR="00446219">
        <w:t>t (at least in Western settings</w:t>
      </w:r>
      <w:r>
        <w:t xml:space="preserve">), these viral-protein producing loci are undesirable and have the potential to cause complications when lines are interbred. </w:t>
      </w:r>
      <w:r w:rsidR="001133EE">
        <w:t xml:space="preserve">However, in wild RJF and </w:t>
      </w:r>
      <w:r w:rsidR="00B1016A">
        <w:t>non-commercial</w:t>
      </w:r>
      <w:r w:rsidR="00446219">
        <w:t xml:space="preserve"> birds it is likely that these insertions would be </w:t>
      </w:r>
      <w:r w:rsidR="00B1016A">
        <w:t xml:space="preserve">transiently </w:t>
      </w:r>
      <w:r w:rsidR="00446219">
        <w:t>beneficial to the host, as the physiological cost of ALV i</w:t>
      </w:r>
      <w:r w:rsidR="0026381C">
        <w:t>nfection outweighs the negative effects</w:t>
      </w:r>
      <w:r w:rsidR="00446219">
        <w:t xml:space="preserve"> of endogenous expression. This potentially expl</w:t>
      </w:r>
      <w:r w:rsidR="001133EE">
        <w:t xml:space="preserve">ains the large </w:t>
      </w:r>
      <w:r w:rsidR="00446219">
        <w:t>diversity of ALVEs in the village bir</w:t>
      </w:r>
      <w:r w:rsidR="001133EE">
        <w:t>ds</w:t>
      </w:r>
      <w:r w:rsidR="0026381C">
        <w:t xml:space="preserve"> and RJF datasets</w:t>
      </w:r>
      <w:r w:rsidR="001133EE">
        <w:t xml:space="preserve">, with cumulative flock immunity likely </w:t>
      </w:r>
      <w:r w:rsidR="00446219">
        <w:t>caused by many individual ALVEs at low population frequencies</w:t>
      </w:r>
      <w:r w:rsidR="00E37585">
        <w:t>,</w:t>
      </w:r>
      <w:r w:rsidR="00446219">
        <w:t xml:space="preserve"> as the ra</w:t>
      </w:r>
      <w:r w:rsidR="00B32740">
        <w:t>te of adoption will be far greater</w:t>
      </w:r>
      <w:r w:rsidR="00446219">
        <w:t xml:space="preserve"> than the rate of fixation </w:t>
      </w:r>
      <w:r w:rsidR="00446219">
        <w:fldChar w:fldCharType="begin" w:fldLock="1"/>
      </w:r>
      <w:r w:rsidR="00996644">
        <w:instrText>ADDIN CSL_CITATION { "citationItems" : [ { "id" : "ITEM-1", "itemData" : { "DOI" : "10.1186/1471-2148-11-336", "ISBN" : "1471-2148", "ISSN" : "1471-2148", "PMID" : "22093762", "abstract" : "BACKGROUND: Little is known of the biological significance and evolutionary maintenance of integrated non-retroviral RNA virus genes in eukaryotic host genomes. Here, we isolated novel filovirus-like genes from bat genomes and tested for evolutionary maintenance. We also estimated the age of filovirus VP35-like gene integrations and tested the phylogenetic hypotheses that there is a eutherian mammal clade and a marsupial/ebolavirus/Marburgvirus dichotomy for filoviruses. RESULTS: We detected homologous copies of VP35-like and NP-like gene integrations in both Old World and New World species of Myotis (bats). We also detected previously unknown VP35-like genes in rodents that are positionally homologous. Comprehensive phylogenetic estimates for filovirus NP-like and VP35-like loci support two main clades with a marsupial and a rodent grouping within the ebolavirus/Lloviu virus/Marburgvirus clade. The concordance of VP35-like, NP-like and mitochondrial gene trees with the expected species tree supports the notion that the copies we examined are orthologs that predate the global spread and radiation of the genus Myotis. Parametric simulations were consistent with selective maintenance for the open reading frame (ORF) of VP35-like genes in Myotis. The ORF of the filovirus-like VP35 gene has been maintained in bat genomes for an estimated 13. 4 MY. ORFs were disrupted for the NP-like genes in Myotis. Likelihood ratio tests revealed that a model that accommodates positive selection is a significantly better fit to the data than a model that does not allow for positive selection for VP35-like sequences. Moreover, site-by-site analysis of selection using two methods indicated at least 25 sites in the VP35-like alignment are under positive selection in Myotis. CONCLUSIONS: Our results indicate that filovirus-like elements have significance beyond genomic imprints of prior infection. That is, there appears to be, or have been, functionally maintained copies of such genes in mammals. \"Living fossils\" of filoviruses appear to be selectively maintained in a diverse mammalian genus (Myotis).", "author" : [ { "dropping-particle" : "", "family" : "Taylor", "given" : "Derek J", "non-dropping-particle" : "", "parse-names" : false, "suffix" : "" }, { "dropping-particle" : "", "family" : "Dittmar", "given" : "Katharina", "non-dropping-particle" : "", "parse-names" : false, "suffix" : "" }, { "dropping-particle" : "", "family" : "Ballinger", "given" : "Matthew J", "non-dropping-particle" : "", "parse-names" : false, "suffix" : "" }, { "dropping-particle" : "", "family" : "Bruenn", "given" : "Jeremy A", "non-dropping-particle" : "", "parse-names" : false, "suffix" : "" } ], "container-title" : "BMC Evolutionary Biology", "id" : "ITEM-1", "issue" : "1", "issued" : { "date-parts" : [ [ "2011" ] ] }, "page" : "336", "title" : "Evolutionary maintenance of filovirus-like genes in bat genomes", "type" : "article-journal", "volume" : "11" }, "uris" : [ "http://www.mendeley.com/documents/?uuid=a5a5cf78-5409-4f33-b4da-d7e68952b254" ] }, { "id" : "ITEM-2",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"ITEM-2", "issue" : "11", "issued" : { "date-parts" : [ [ "2012", "11" ] ] }, "page" : "627-36", "publisher" : "Elsevier Ltd", "title" : "Paleovirology and virally derived immunity.", "type" : "article-journal", "volume" : "27" }, "uris" : [ "http://www.mendeley.com/documents/?uuid=bb0d0386-3d7c-43e0-917d-1954dabb96df" ] } ], "mendeley" : { "formattedCitation" : "(Taylor et al. 2011; Aswad &amp; Katzourakis 2012)", "plainTextFormattedCitation" : "(Taylor et al. 2011; Aswad &amp; Katzourakis 2012)", "previouslyFormattedCitation" : "(Taylor et al. 2011; Aswad &amp; Katzourakis 2012)" }, "properties" : { "noteIndex" : 0 }, "schema" : "https://github.com/citation-style-language/schema/raw/master/csl-citation.json" }</w:instrText>
      </w:r>
      <w:r w:rsidR="00446219">
        <w:fldChar w:fldCharType="separate"/>
      </w:r>
      <w:r w:rsidR="00446219" w:rsidRPr="00446219">
        <w:rPr>
          <w:noProof/>
        </w:rPr>
        <w:t>(Taylor et al. 2011; Aswad &amp; Katzourakis 2012)</w:t>
      </w:r>
      <w:r w:rsidR="00446219">
        <w:fldChar w:fldCharType="end"/>
      </w:r>
      <w:r w:rsidR="00446219">
        <w:t>.</w:t>
      </w:r>
      <w:r w:rsidR="001133EE">
        <w:t xml:space="preserve"> </w:t>
      </w:r>
      <w:r w:rsidR="00E37585">
        <w:t xml:space="preserve">Individual insertions which remain useful </w:t>
      </w:r>
      <w:r w:rsidR="001133EE">
        <w:t>will be retained, and s</w:t>
      </w:r>
      <w:r w:rsidR="00E37585">
        <w:t>election will only act to keep</w:t>
      </w:r>
      <w:r w:rsidR="001133EE">
        <w:t xml:space="preserve"> insertions whilst they provide a selective advantage. </w:t>
      </w:r>
    </w:p>
    <w:p w14:paraId="0DE8A5D8" w14:textId="0AB442DC" w:rsidR="00092BA2" w:rsidRDefault="00B32740" w:rsidP="00391005">
      <w:pPr>
        <w:pStyle w:val="ListParagraph"/>
      </w:pPr>
      <w:r>
        <w:t>ALVE insertions which c</w:t>
      </w:r>
      <w:r w:rsidR="00CE5797">
        <w:t xml:space="preserve">onfer a selective advantage to </w:t>
      </w:r>
      <w:r w:rsidR="00991FDD">
        <w:t xml:space="preserve">the </w:t>
      </w:r>
      <w:r w:rsidR="00CE5797">
        <w:t>host are expected to</w:t>
      </w:r>
      <w:r>
        <w:t xml:space="preserve"> be under constraint, exhibiting fewer stop codons and low dN/dS ratios (non-synonym</w:t>
      </w:r>
      <w:r w:rsidR="0026381C">
        <w:t>ous/</w:t>
      </w:r>
      <w:r>
        <w:t xml:space="preserve">synonymous changes) in the advantageous domains, such as the </w:t>
      </w:r>
      <w:r>
        <w:rPr>
          <w:i/>
        </w:rPr>
        <w:t>envelope</w:t>
      </w:r>
      <w:r w:rsidR="00E37585">
        <w:t xml:space="preserve"> gene</w:t>
      </w:r>
      <w:r>
        <w:t>.</w:t>
      </w:r>
      <w:r w:rsidR="007F7ED9">
        <w:t xml:space="preserve"> These values could</w:t>
      </w:r>
      <w:r w:rsidR="0026381C">
        <w:t xml:space="preserve"> be compared with</w:t>
      </w:r>
      <w:r>
        <w:t xml:space="preserve"> other ALVE inserti</w:t>
      </w:r>
      <w:r w:rsidR="007F7ED9">
        <w:t>ons</w:t>
      </w:r>
      <w:r w:rsidR="00991FDD">
        <w:t xml:space="preserve"> to identify domains</w:t>
      </w:r>
      <w:r>
        <w:t xml:space="preserve"> under selection</w:t>
      </w:r>
      <w:r w:rsidR="007F7ED9">
        <w:t>, and to exogenous</w:t>
      </w:r>
      <w:r w:rsidR="00991FDD">
        <w:t xml:space="preserve"> relatives to observe how </w:t>
      </w:r>
      <w:r w:rsidR="007F7ED9">
        <w:t>selection pressures change when under</w:t>
      </w:r>
      <w:r w:rsidR="00407F97">
        <w:t xml:space="preserve"> host control. O</w:t>
      </w:r>
      <w:r w:rsidR="007F7ED9">
        <w:t>bserved selection effect</w:t>
      </w:r>
      <w:r w:rsidR="00407F97">
        <w:t>s</w:t>
      </w:r>
      <w:r w:rsidR="007F7ED9">
        <w:t xml:space="preserve"> can be quantified</w:t>
      </w:r>
      <w:r>
        <w:t xml:space="preserve"> using </w:t>
      </w:r>
      <w:r w:rsidR="007F7ED9">
        <w:t xml:space="preserve">the </w:t>
      </w:r>
      <w:r>
        <w:t>McDonald-Krei</w:t>
      </w:r>
      <w:r w:rsidR="007F7ED9">
        <w:t>tman test</w:t>
      </w:r>
      <w:r w:rsidR="00E37585">
        <w:t>, or the more robust</w:t>
      </w:r>
      <w:r>
        <w:t xml:space="preserve"> Distribution of Fitness Effects (DFE) test. DFE tests account for changes in effective population size over time, and the impact this has on the effectiveness of selection </w:t>
      </w:r>
      <w:r w:rsidR="00996644">
        <w:fldChar w:fldCharType="begin" w:fldLock="1"/>
      </w:r>
      <w:r w:rsidR="00DD09C8">
        <w:instrText>ADDIN CSL_CITATION { "citationItems" : [ { "id" : "ITEM-1", "itemData" : { "DOI" : "10.1016/j.tree.2012.07.007", "ISSN" : "0169-5347", "PMID" : "22901901", "abstract" : "Paleovirology, the study of viruses on evolutionary timescales, can exploit information from endogenous viral elements (EVEs), which are the result of heritable horizontal gene transfer (HGT) from viruses to hosts. The availability of genomic data has increased opportunities to study EVEs, and bioinformatics techniques have been crucial in cataloguing EVE diversity and taxonomic coverage. Recent advances show that some EVEs have been co-opted as cellular genes, often as inhibitors of viral infection. These genes are an intriguing strategy in virus-host evolutionary battles in that genetic material is transferred from virus to host, and then used by the host against the virus. In this review, we consider the genes and processes involved in EVE-derived immunity (EDI), assess factors leading to its emergence, and outline how future work will benefit from incorporating evolutionary approaches.", "author" : [ { "dropping-particle" : "", "family" : "Aswad", "given" : "Amr", "non-dropping-particle" : "", "parse-names" : false, "suffix" : "" }, { "dropping-particle" : "", "family" : "Katzourakis", "given" : "Aris", "non-dropping-particle" : "", "parse-names" : false, "suffix" : "" } ], "container-title" : "Trends in ecology &amp; evolution", "id" : "ITEM-1", "issue" : "11", "issued" : { "date-parts" : [ [ "2012", "11" ] ] }, "page" : "627-36", "publisher" : "Elsevier Ltd", "title" : "Paleovirology and virally derived immunity.", "type" : "article-journal", "volume" : "27" }, "uris" : [ "http://www.mendeley.com/documents/?uuid=bb0d0386-3d7c-43e0-917d-1954dabb96df" ] } ], "mendeley" : { "formattedCitation" : "(Aswad &amp; Katzourakis 2012)", "plainTextFormattedCitation" : "(Aswad &amp; Katzourakis 2012)", "previouslyFormattedCitation" : "(Aswad &amp; Katzourakis 2012)" }, "properties" : { "noteIndex" : 0 }, "schema" : "https://github.com/citation-style-language/schema/raw/master/csl-citation.json" }</w:instrText>
      </w:r>
      <w:r w:rsidR="00996644">
        <w:fldChar w:fldCharType="separate"/>
      </w:r>
      <w:r w:rsidR="00996644" w:rsidRPr="00996644">
        <w:rPr>
          <w:noProof/>
        </w:rPr>
        <w:t>(Aswad &amp; Katzourakis 2012)</w:t>
      </w:r>
      <w:r w:rsidR="00996644">
        <w:fldChar w:fldCharType="end"/>
      </w:r>
      <w:r>
        <w:t>.</w:t>
      </w:r>
      <w:r w:rsidR="00CE5797">
        <w:t xml:space="preserve"> S</w:t>
      </w:r>
      <w:r w:rsidR="00E37585">
        <w:t>uch analyses would require the sequencing of multiple inserts from individual birds</w:t>
      </w:r>
      <w:r w:rsidR="00CE5797">
        <w:t>, however</w:t>
      </w:r>
      <w:r w:rsidR="00E37585">
        <w:t xml:space="preserve"> with long read sequencing it may be possible to generate indivi</w:t>
      </w:r>
      <w:r w:rsidR="00CE5797">
        <w:t>dual reads which cover the entire</w:t>
      </w:r>
      <w:r w:rsidR="00E37585">
        <w:t xml:space="preserve"> insertion. </w:t>
      </w:r>
      <w:r w:rsidR="00407F97">
        <w:t>Whilst it is unlikely that the selective role of recent insertions could be studied in this manner, t</w:t>
      </w:r>
      <w:r w:rsidR="00E37585">
        <w:t xml:space="preserve">hese </w:t>
      </w:r>
      <w:r w:rsidR="00407F97">
        <w:t>analyses</w:t>
      </w:r>
      <w:r w:rsidR="00E37585">
        <w:t xml:space="preserve"> would enable characterisation of ALVE degradation over time, without the influence of artificial selection against P27 expression. </w:t>
      </w:r>
    </w:p>
    <w:p w14:paraId="300E0F68" w14:textId="412BD612" w:rsidR="00092BA2" w:rsidRDefault="00092BA2" w:rsidP="00391005">
      <w:pPr>
        <w:pStyle w:val="ListParagraph"/>
      </w:pPr>
    </w:p>
    <w:p w14:paraId="49C03506" w14:textId="6D5E0DEF" w:rsidR="00092BA2" w:rsidRDefault="00092BA2" w:rsidP="00092BA2">
      <w:pPr>
        <w:pStyle w:val="Heading3"/>
      </w:pPr>
      <w:bookmarkStart w:id="664" w:name="_Toc485721688"/>
      <w:bookmarkStart w:id="665" w:name="_Toc486787268"/>
      <w:bookmarkStart w:id="666" w:name="_Toc486787416"/>
      <w:r>
        <w:t>Further areas for research</w:t>
      </w:r>
      <w:bookmarkEnd w:id="664"/>
      <w:bookmarkEnd w:id="665"/>
      <w:bookmarkEnd w:id="666"/>
    </w:p>
    <w:p w14:paraId="37722CEE" w14:textId="6232A8DA" w:rsidR="00DD09C8" w:rsidRDefault="00DD09C8" w:rsidP="00391005">
      <w:pPr>
        <w:pStyle w:val="ListParagraph"/>
      </w:pPr>
      <w:r>
        <w:t xml:space="preserve">In chickens, further work is needed to fully characterise the diversity of ALVE insertions across RJF and non-commercial chickens, as well as identify whether ALVE numbers in commercial broiler dam lines are as similarly reduced as in commercial layers. </w:t>
      </w:r>
      <w:r>
        <w:lastRenderedPageBreak/>
        <w:t xml:space="preserve">Furthermore, ALVEs are not the only alpharetroviral sequences which remain mobile in the chicken genome. EAVs are older and generally less complete, but are present in greater copy numbers and still modulate phenotypes. During this PhD project I collaborated on an EAV-HP diversity study in a range of chicken populations </w:t>
      </w:r>
      <w:r>
        <w:fldChar w:fldCharType="begin" w:fldLock="1"/>
      </w:r>
      <w:r w:rsidR="002A4C6E">
        <w:instrText>ADDIN CSL_CITATION { "citationItems" : [ { "id" : "ITEM-1", "itemData" : { "DOI" : "10.1186/s12864-015-1954-x", "ISSN" : "1471-2164", "author" : [ { "dropping-particle" : "", "family" : "Wragg", "given" : "David", "non-dropping-particle" : "", "parse-names" : false, "suffix" : "" }, { "dropping-particle" : "", "family" : "Mason", "given" : "Andrew S.", "non-dropping-particle" : "", "parse-names" : false, "suffix" : "" }, { "dropping-particle" : "", "family" : "Yu", "given" : "Le", "non-dropping-particle" : "", "parse-names" : false, "suffix" : "" }, { "dropping-particle" : "", "family" : "Kuo", "given" : "Richard", "non-dropping-particle" : "", "parse-names" : false, "suffix" : "" }, { "dropping-particle" : "", "family" : "Lawal", "given" : "Raman a.", "non-dropping-particle" : "", "parse-names" : false, "suffix" : "" }, { "dropping-particle" : "", "family" : "Desta", "given" : "Takele Taye", "non-dropping-particle" : "", "parse-names" : false, "suffix" : "" }, { "dropping-particle" : "", "family" : "Mwacharo", "given" : "Joram M.", "non-dropping-particle" : "", "parse-names" : false, "suffix" : "" }, { "dropping-particle" : "", "family" : "Cho", "given" : "Chang-Yeon", "non-dropping-particle" : "", "parse-names" : false, "suffix" : "" }, { "dropping-particle" : "", "family" : "Kemp", "given" : "Steve", "non-dropping-particle" : "", "parse-names" : false, "suffix" : "" }, { "dropping-particle" : "", "family" : "Burt", "given" : "David W.", "non-dropping-particle" : "", "parse-names" : false, "suffix" : "" }, { "dropping-particle" : "", "family" : "Hanotte", "given" : "Olivier", "non-dropping-particle" : "", "parse-names" : false, "suffix" : "" } ], "container-title" : "BMC Genomics", "id" : "ITEM-1", "issue" : "1", "issued" : { "date-parts" : [ [ "2015", "10", "14" ] ] }, "page" : "784", "title" : "Genome-wide analysis reveals the extent of EAV-HP integration in domestic chicken", "type" : "article-journal", "volume" : "16" }, "uris" : [ "http://www.mendeley.com/documents/?uuid=785ce0a4-2408-491c-81f9-74a41832e445" ] } ], "mendeley" : { "formattedCitation" : "(Wragg et al. 2015)", "plainTextFormattedCitation" : "(Wragg et al. 2015)", "previouslyFormattedCitation" : "(Wragg et al. 2015)" }, "properties" : { "noteIndex" : 0 }, "schema" : "https://github.com/citation-style-language/schema/raw/master/csl-citation.json" }</w:instrText>
      </w:r>
      <w:r>
        <w:fldChar w:fldCharType="separate"/>
      </w:r>
      <w:r w:rsidRPr="00DD09C8">
        <w:rPr>
          <w:noProof/>
        </w:rPr>
        <w:t>(Wragg et al. 2015)</w:t>
      </w:r>
      <w:r>
        <w:fldChar w:fldCharType="end"/>
      </w:r>
      <w:r>
        <w:t xml:space="preserve">, but further analysis of all EAV classes is required. Preliminary testing has been completed using the ALVE identification pipeline adapted for EAVs, and this would be a straightforward application. Beyond endogenous alpharetroviruses, further work is needed to characterise the effects of the betaretrovirus and gammaretrovirus </w:t>
      </w:r>
      <w:r>
        <w:rPr>
          <w:i/>
        </w:rPr>
        <w:t xml:space="preserve">polymerase </w:t>
      </w:r>
      <w:r>
        <w:t xml:space="preserve">transcripts identified from the J-Line RNAseq data (page </w:t>
      </w:r>
      <w:r w:rsidR="005B09FF">
        <w:fldChar w:fldCharType="begin" w:fldLock="1"/>
      </w:r>
      <w:r w:rsidR="005B09FF">
        <w:instrText xml:space="preserve"> PAGEREF  _Ref485316972 \h </w:instrText>
      </w:r>
      <w:r w:rsidR="005B09FF">
        <w:fldChar w:fldCharType="separate"/>
      </w:r>
      <w:r w:rsidR="00C26134">
        <w:rPr>
          <w:noProof/>
        </w:rPr>
        <w:t>5</w:t>
      </w:r>
      <w:r w:rsidR="005B09FF">
        <w:fldChar w:fldCharType="end"/>
      </w:r>
      <w:r>
        <w:t>). If translated</w:t>
      </w:r>
      <w:r w:rsidR="0026381C">
        <w:t>,</w:t>
      </w:r>
      <w:r>
        <w:t xml:space="preserve"> these proteins could facilitate the retrotransposition of non-autonomous repetitive elements, and the formation of retrogenes.  </w:t>
      </w:r>
    </w:p>
    <w:p w14:paraId="5E102D81" w14:textId="586481FA" w:rsidR="00E833C9" w:rsidRDefault="00DD09C8" w:rsidP="00391005">
      <w:pPr>
        <w:pStyle w:val="ListParagraph"/>
      </w:pPr>
      <w:r>
        <w:t>This PhD project has also generated updated LTR retrot</w:t>
      </w:r>
      <w:r w:rsidR="001B035C">
        <w:t>ransposons for seventy-two additional</w:t>
      </w:r>
      <w:r>
        <w:t xml:space="preserve"> sauropsid species, including commercially relevant and key indicator species across the avian lineage. </w:t>
      </w:r>
      <w:r w:rsidR="00092BA2">
        <w:t>Most identified LTR retrotransposon sequences will exhibit limited phenotypic influence on the host due to their locati</w:t>
      </w:r>
      <w:r w:rsidR="00E37585">
        <w:t>on or degree of degradation, but</w:t>
      </w:r>
      <w:r w:rsidR="00092BA2">
        <w:t xml:space="preserve"> expression and epigenetic data </w:t>
      </w:r>
      <w:r w:rsidR="000F05EA">
        <w:t xml:space="preserve">from a range of germline and somatic tissues </w:t>
      </w:r>
      <w:r w:rsidR="00092BA2">
        <w:t xml:space="preserve">is required to fully characterise these sequences. </w:t>
      </w:r>
      <w:r w:rsidR="001B035C">
        <w:t>T</w:t>
      </w:r>
      <w:r>
        <w:t>hese a</w:t>
      </w:r>
      <w:r w:rsidR="00092BA2">
        <w:t>nnotations provide the basis for future evolutionary studies into transposable element activity and phenotypic influence</w:t>
      </w:r>
      <w:r w:rsidR="00E37585">
        <w:t xml:space="preserve"> across the avian lineage</w:t>
      </w:r>
      <w:r w:rsidR="00092BA2">
        <w:t xml:space="preserve">, as well as a baseline for characterising the </w:t>
      </w:r>
      <w:r w:rsidR="00B86CA4">
        <w:t xml:space="preserve">diversity of recently inserted </w:t>
      </w:r>
      <w:r w:rsidR="00092BA2">
        <w:t xml:space="preserve">elements between populations, as was completed here with chicken ALVEs. </w:t>
      </w:r>
      <w:r>
        <w:t xml:space="preserve">Whilst ALVEs are limited to </w:t>
      </w:r>
      <w:r w:rsidR="001B035C">
        <w:rPr>
          <w:i/>
        </w:rPr>
        <w:t>Gallus</w:t>
      </w:r>
      <w:r>
        <w:rPr>
          <w:i/>
        </w:rPr>
        <w:t xml:space="preserve"> gallus</w:t>
      </w:r>
      <w:r>
        <w:t>, other endogenous ALVs are found across galliforms</w:t>
      </w:r>
      <w:r w:rsidR="001B035C">
        <w:t>,</w:t>
      </w:r>
      <w:r>
        <w:t xml:space="preserve"> and may present future targets for recombination. It is also </w:t>
      </w:r>
      <w:r w:rsidR="001B035C">
        <w:t xml:space="preserve">likely that </w:t>
      </w:r>
      <w:r w:rsidR="0026381C">
        <w:t xml:space="preserve">the </w:t>
      </w:r>
      <w:r>
        <w:t>study of other avian species will reveal recurrent retroviral infections and integrations.</w:t>
      </w:r>
      <w:r w:rsidR="00B86CA4">
        <w:t xml:space="preserve"> </w:t>
      </w:r>
    </w:p>
    <w:p w14:paraId="38436768" w14:textId="5438F27E" w:rsidR="00E833C9" w:rsidRDefault="00E833C9" w:rsidP="00391005">
      <w:pPr>
        <w:pStyle w:val="ListParagraph"/>
      </w:pPr>
    </w:p>
    <w:p w14:paraId="27BBA59D" w14:textId="1F40F8F8" w:rsidR="00092BA2" w:rsidRDefault="00991FDD" w:rsidP="00092BA2">
      <w:pPr>
        <w:pStyle w:val="Heading2"/>
      </w:pPr>
      <w:bookmarkStart w:id="667" w:name="_Toc485721689"/>
      <w:bookmarkStart w:id="668" w:name="_Toc486787269"/>
      <w:bookmarkStart w:id="669" w:name="_Toc486787417"/>
      <w:r>
        <w:t>Practical applications from</w:t>
      </w:r>
      <w:r w:rsidR="00092BA2">
        <w:t xml:space="preserve"> this CASE PhD project</w:t>
      </w:r>
      <w:bookmarkEnd w:id="667"/>
      <w:bookmarkEnd w:id="668"/>
      <w:bookmarkEnd w:id="669"/>
    </w:p>
    <w:p w14:paraId="3922A933" w14:textId="72308A91" w:rsidR="00E833C9" w:rsidRDefault="00092BA2" w:rsidP="00092BA2">
      <w:pPr>
        <w:pStyle w:val="Heading3"/>
      </w:pPr>
      <w:bookmarkStart w:id="670" w:name="_Toc485721690"/>
      <w:bookmarkStart w:id="671" w:name="_Toc486787270"/>
      <w:bookmarkStart w:id="672" w:name="_Toc486787418"/>
      <w:r>
        <w:t xml:space="preserve">ALVEs in </w:t>
      </w:r>
      <w:r w:rsidR="00EE2DDA">
        <w:t>the Hy-Line elite layer lines</w:t>
      </w:r>
      <w:bookmarkEnd w:id="670"/>
      <w:bookmarkEnd w:id="671"/>
      <w:bookmarkEnd w:id="672"/>
    </w:p>
    <w:p w14:paraId="76CCF930" w14:textId="3404060E" w:rsidR="00092BA2" w:rsidRDefault="00EE2DDA" w:rsidP="00391005">
      <w:pPr>
        <w:pStyle w:val="ListParagraph"/>
      </w:pPr>
      <w:r>
        <w:t>The ALVE identification pipeline identified t</w:t>
      </w:r>
      <w:r w:rsidR="0026381C">
        <w:t>wenty different ALVEs across</w:t>
      </w:r>
      <w:r>
        <w:t xml:space="preserve"> eight elite layer lines. As expected, the white egg layer WLs had consistently lower numbers of insertions than were detected in the brown egg layer WPRs and RIR. However, it is highly likely that not all ALVEs within these commercial flocks were identified. ALVEs </w:t>
      </w:r>
      <w:r>
        <w:lastRenderedPageBreak/>
        <w:t xml:space="preserve">at low frequency could have been missed due to individual sampling or under-representation in the pooled sequencing libraries, particularly if insertions were line specific and </w:t>
      </w:r>
      <w:r w:rsidR="00991FDD">
        <w:t>could not be detected with subsequent</w:t>
      </w:r>
      <w:r>
        <w:t xml:space="preserve"> KASP assays. </w:t>
      </w:r>
      <w:r w:rsidR="00CF1FF7">
        <w:t xml:space="preserve">To completely characterise the ALVE content of the lines, additional individual sequencing is required, and must be designed to maximise the probability of detecting all ALVE insertions. However, it is possible that very rare insertions would remain undetected, particularly if they are on the W chromosome. </w:t>
      </w:r>
      <w:r>
        <w:t>Furthermore, any insertion in a poorly assembled region of the genome, such as ALVE6 at the 5’ end of chromosome 1, could not be reliably detected by this methodology.</w:t>
      </w:r>
      <w:r w:rsidR="00B1016A">
        <w:t xml:space="preserve"> W</w:t>
      </w:r>
      <w:r w:rsidR="00CF1FF7">
        <w:t>ork is</w:t>
      </w:r>
      <w:r w:rsidR="00B1016A">
        <w:t xml:space="preserve"> ongoing</w:t>
      </w:r>
      <w:r w:rsidR="00CF1FF7">
        <w:t xml:space="preserve"> to identify the ALVE6 insertion by extending the chromosome 1 assembly</w:t>
      </w:r>
      <w:r w:rsidR="00885A6E">
        <w:t xml:space="preserve"> using long read sequencing data</w:t>
      </w:r>
      <w:r w:rsidR="00CF1FF7">
        <w:t>.</w:t>
      </w:r>
    </w:p>
    <w:p w14:paraId="788E7CC9" w14:textId="47D7A38B" w:rsidR="00CF1FF7" w:rsidRDefault="00885A6E" w:rsidP="00391005">
      <w:pPr>
        <w:pStyle w:val="ListParagraph"/>
      </w:pPr>
      <w:r>
        <w:t>Traditional, gel-based PCR and high-throughput KASP assays were developed for each of the identified ALVE insertions. It is likely that all gel-based PCR assays could be used successfully with other chicken lines, enabling the genotyping of ten ALVEs which lacked assays prior to this study. The SNP-level specificity of the KASP system might mean that assays need to be adjusted before their successful application in other populations. In the absence of sequencing data to direct these adjustments, a similar approach could be taken as was completed with ALVE_ros005, where local Sanger sequencing was u</w:t>
      </w:r>
      <w:r w:rsidR="00B1016A">
        <w:t>sed to identify problematic sequence</w:t>
      </w:r>
      <w:r>
        <w:t>. The KASP assay system is a powerful</w:t>
      </w:r>
      <w:r w:rsidR="00C75243">
        <w:t xml:space="preserve"> tool </w:t>
      </w:r>
      <w:r>
        <w:t xml:space="preserve">for high-throughput genotyping, and this work represents </w:t>
      </w:r>
      <w:r w:rsidR="00C75243">
        <w:t>one of the first uses of the system for detecting large structural variants rather than SNPs.</w:t>
      </w:r>
      <w:r>
        <w:t xml:space="preserve"> </w:t>
      </w:r>
    </w:p>
    <w:p w14:paraId="2FB85E0B" w14:textId="77777777" w:rsidR="00CF1FF7" w:rsidRDefault="00CF1FF7" w:rsidP="00391005">
      <w:pPr>
        <w:pStyle w:val="ListParagraph"/>
      </w:pPr>
    </w:p>
    <w:p w14:paraId="29D47B93" w14:textId="2E8B89B1" w:rsidR="00104D6E" w:rsidRDefault="00CF1FF7" w:rsidP="00CF1FF7">
      <w:pPr>
        <w:pStyle w:val="Heading4"/>
      </w:pPr>
      <w:r>
        <w:t>Further characterisation of the ALVE insertions</w:t>
      </w:r>
    </w:p>
    <w:p w14:paraId="1263914E" w14:textId="23465D3A" w:rsidR="00104D6E" w:rsidRDefault="0035771B" w:rsidP="00391005">
      <w:pPr>
        <w:pStyle w:val="ListParagraph"/>
      </w:pPr>
      <w:r>
        <w:t>The work presented in chapter 6 of this thesis focused on the det</w:t>
      </w:r>
      <w:r w:rsidR="005655E9">
        <w:t>ection of ALVE insertions from W</w:t>
      </w:r>
      <w:r>
        <w:t xml:space="preserve">GS data, the development of diagnostic assays, and the elucidation of the insert sequence. However, further work is needed to fully quantify the phenotypic effects, if any, of each ALVE insertion. Firstly, examples of each ALVE from each line need to be sequenced, rather than a single representative sequence for each ALVE across the Hy-Line elite layer lines. This was the original intention of the work presented in section </w:t>
      </w:r>
      <w:r>
        <w:fldChar w:fldCharType="begin" w:fldLock="1"/>
      </w:r>
      <w:r>
        <w:instrText xml:space="preserve"> REF _Ref476745718 \r \h </w:instrText>
      </w:r>
      <w:r>
        <w:fldChar w:fldCharType="separate"/>
      </w:r>
      <w:r w:rsidR="002C549C">
        <w:t>6.6</w:t>
      </w:r>
      <w:r>
        <w:fldChar w:fldCharType="end"/>
      </w:r>
      <w:r>
        <w:t xml:space="preserve">, but difficulties in long range PCR and PCR product cloning limited the </w:t>
      </w:r>
      <w:r w:rsidR="002A4C6E">
        <w:t>scope of</w:t>
      </w:r>
      <w:r>
        <w:t xml:space="preserve"> sequence characterisation, including the absence of sequences for five identified ALVEs. It is possible that as these insertions </w:t>
      </w:r>
      <w:r w:rsidR="002A4C6E">
        <w:t xml:space="preserve">are relatively recent there will be </w:t>
      </w:r>
      <w:r>
        <w:lastRenderedPageBreak/>
        <w:t xml:space="preserve">few significant </w:t>
      </w:r>
      <w:r w:rsidR="0026381C">
        <w:t>changes between different lines</w:t>
      </w:r>
      <w:r>
        <w:t>, however any large-s</w:t>
      </w:r>
      <w:r w:rsidR="0026381C">
        <w:t>cale changes could drastically a</w:t>
      </w:r>
      <w:r>
        <w:t xml:space="preserve">ffect the phenotypic impact of an ALVE, especially if a full length insert in some lines is a solo LTR in others. </w:t>
      </w:r>
    </w:p>
    <w:p w14:paraId="31A3A2A2" w14:textId="40382642" w:rsidR="002A4C6E" w:rsidRDefault="002A4C6E" w:rsidP="00391005">
      <w:pPr>
        <w:pStyle w:val="ListParagraph"/>
      </w:pPr>
      <w:r>
        <w:t xml:space="preserve">Prior to any additional sequencing (see below), the phenotypic effects of each ALVE could be assessed through an association analysis with productivity trait data. These analyses compare the genotypes for genetic variants with observed differences in productivity traits, to associate either individual or cumulative genotypes with observed phenotypic differences </w:t>
      </w:r>
      <w:r>
        <w:fldChar w:fldCharType="begin" w:fldLock="1"/>
      </w:r>
      <w:r w:rsidR="00231CCC">
        <w:instrText>ADDIN CSL_CITATION { "citationItems" : [ { "id" : "ITEM-1", "itemData" : { "DOI" : "10.1038/hdy.1992.131", "ISBN" : "0018-067X (Print)", "ISSN" : "0018-067X", "PMID" : "16718932", "abstract" : "The use of flanking marker methods has proved to be a powerful tool for the mapping of quantitative trait loci (QTL) in the segregating generations derived from crosses between inbred lines. Methods to analyse these data, based on maximum-likelihood, have been developed and provide good estimates of QTL effects in some situations. Maximum-likelihood methods are, however, relatively complex and can be computationally slow. In this paper we develop methods for mapping QTL based on multiple regression which can be applied using any general statistical package. We use the example of mapping in an F(2) population and show that these regression methods produce very similar results to those obtained using maximum likelihood. The relative simplicity of the regression methods means that models with more than a single QTL can be explored and we give examples of two lined loci and of two interacting loci. Other models, for example with more than two QTL, with environmental fixed effects, with between family variance or for threshold traits, could be fitted in a similar way. The ease, speed of application and generality of regression methods for flanking marker analysis, and the good estimates they obtain, suggest that they should provide the method of choice for the analysis of QTL mapping data from inbred line crosses.", "author" : [ { "dropping-particle" : "", "family" : "Haley", "given" : "C S", "non-dropping-particle" : "", "parse-names" : false, "suffix" : "" }, { "dropping-particle" : "", "family" : "Knott", "given" : "S A", "non-dropping-particle" : "", "parse-names" : false, "suffix" : "" } ], "container-title" : "Heredity", "id" : "ITEM-1", "issue" : "4", "issued" : { "date-parts" : [ [ "1992" ] ] }, "page" : "315-24", "title" : "A simple regression method for mapping quantitative trait loci in line crosses using flanking markers.", "type" : "article-journal", "volume" : "69" }, "uris" : [ "http://www.mendeley.com/documents/?uuid=0a9aa5a9-fd7f-4a56-be3f-38fe50e1590d" ] }, { "id" : "ITEM-2", "itemData" : { "DOI" : "10.1371/journal.pone.0027301", "ISBN" : "0016-6731 (Print)\\r0016-6731 (Linking)", "ISSN" : "00166731", "PMID" : "8005424", "abstract" : "The use of genetic maps based upon molecular markers has allowed the dissection of some of the factors underlying quantitative variation in crosses between inbred lines. For many species crossing inbred lines is not a practical proposition, although crosses between genetically very different outbred lines are possible. Here we develop a least squares method for the analysis of crosses between outbred lines which simultaneously uses information from multiple linked markers. The method is suitable for crosses where the lines may be segregating at marker loci but can be assumed to be fixed for alternative alleles at the major quantitative trait loci (QTLs) affecting the traits under analysis (e.g., crosses between divergent selection lines or breeds with different selection histories). The simultaneous use of multiple markers from a linkage group increases the sensitivity of the test statistic, and thus the power for the detection of QTLs, compared to the use of single markers or markers flanking an interval. The gain is greater for more closely spaced markers and for markers of lower information content. Use of multiple markers can also remove the bias in the estimated position and effect of a QTL which may result when different markers in a linkage group vary in their heterozygosity in the F1 (and thus in their information content) and are considered only singly or a pair at a time. The method is relatively simple to apply so that more complex models can be fitted than is currently possible by maximum likelihood. Thus fixed effects of background genotype can be fitted simultaneously with the exploration of a single linkage group which will increase the power to detect QTLs by reducing the residual variance. More complex models with several QTLs in the same linkage group and two-locus interactions between QTLs can similarly be examined. Thus least squares provides a powerful tool to extend the range of crosses from which QTLs can be dissected whilst at the same time allowing flexible and realistic models to be explored.", "author" : [ { "dropping-particle" : "", "family" : "Haley", "given" : "C. S.", "non-dropping-particle" : "", "parse-names" : false, "suffix" : "" }, { "dropping-particle" : "", "family" : "Knott", "given" : "S. A.", "non-dropping-particle" : "", "parse-names" : false, "suffix" : "" }, { "dropping-particle" : "", "family" : "Elsen", "given" : "J. M.", "non-dropping-particle" : "", "parse-names" : false, "suffix" : "" } ], "container-title" : "Genetics", "id" : "ITEM-2", "issue" : "3", "issued" : { "date-parts" : [ [ "1994" ] ] }, "page" : "1195-1207", "title" : "Mapping quantitative trait loci in crosses between outbred lines using least squares", "type" : "article-journal", "volume" : "136" }, "uris" : [ "http://www.mendeley.com/documents/?uuid=1f4408a6-0565-4e23-8500-fc2c8a94c6a6" ] }, { "id" : "ITEM-3", "itemData" : { "DOI" : "10.1186/1746-4811-9-29", "ISBN" : "1746-4811", "ISSN" : "1746-4811", "PMID" : "23876160", "abstract" : "Over the last 10\u00a0years, high-density SNP arrays and DNA re-sequencing have illuminated the majority of the genotypic space for a number of organisms, including humans, maize, rice and Arabidopsis. For any researcher willing to define and score a phenotype across many individuals, Genome Wide Association Studies (GWAS) present a powerful tool to reconnect this trait back to its underlying genetics. In this review we discuss the biological and statistical considerations that underpin a successful analysis or otherwise. The relevance of biological factors including effect size, sample size, genetic heterogeneity, genomic confounding, linkage disequilibrium and spurious association, and statistical tools to account for these are presented. GWAS can offer a valuable first insight into trait architecture or candidate loci for subsequent validation.", "author" : [ { "dropping-particle" : "", "family" : "Korte", "given" : "Arthur", "non-dropping-particle" : "", "parse-names" : false, "suffix" : "" }, { "dropping-particle" : "", "family" : "Farlow", "given" : "Ashley", "non-dropping-particle" : "", "parse-names" : false, "suffix" : "" } ], "container-title" : "Plant methods", "id" : "ITEM-3", "issue" : "1", "issued" : { "date-parts" : [ [ "2013" ] ] }, "page" : "29", "publisher" : "Plant Methods", "title" : "The advantages and limitations of trait analysis with GWAS: a review.", "type" : "article-journal", "volume" : "9" }, "uris" : [ "http://www.mendeley.com/documents/?uuid=26721b6c-17b9-42a3-b689-9b08a2cb62ed" ] } ], "mendeley" : { "formattedCitation" : "(Haley &amp; Knott 1992; Haley et al. 1994; Korte &amp; Farlow 2013)", "plainTextFormattedCitation" : "(Haley &amp; Knott 1992; Haley et al. 1994; Korte &amp; Farlow 2013)", "previouslyFormattedCitation" : "(Haley &amp; Knott 1992; Haley et al. 1994; Korte &amp; Farlow 2013)" }, "properties" : { "noteIndex" : 0 }, "schema" : "https://github.com/citation-style-language/schema/raw/master/csl-citation.json" }</w:instrText>
      </w:r>
      <w:r>
        <w:fldChar w:fldCharType="separate"/>
      </w:r>
      <w:r w:rsidRPr="002A4C6E">
        <w:rPr>
          <w:noProof/>
        </w:rPr>
        <w:t>(Haley &amp; Knott 1992; Haley et al. 1994; Korte &amp; Farlow 2013)</w:t>
      </w:r>
      <w:r>
        <w:fldChar w:fldCharType="end"/>
      </w:r>
      <w:r>
        <w:t xml:space="preserve">. Such analyses cannot observe the effect of fixed insertions (such as ALVE-TYR in the WPRs), but could identify other associations. It is possible that such an analysis would reveal no negative associations between ALVEs and productivity traits, but any highlighted ALVEs would be prime targets for eradication from the lines. </w:t>
      </w:r>
      <w:r w:rsidR="00800030">
        <w:t>In addition, gene expression of the five genes where ALVEs are within introns (ALVE1, ALVE3, ALVE9, ALVE15 and ALVE-TYR) should be quantified using RT-qPCR in wildtype, heterozygote and homozygote individuals, to identify whether the presence of</w:t>
      </w:r>
      <w:r w:rsidR="00231CCC">
        <w:t xml:space="preserve"> the</w:t>
      </w:r>
      <w:r w:rsidR="00800030">
        <w:t xml:space="preserve"> ALVE influences </w:t>
      </w:r>
      <w:r w:rsidR="00231CCC">
        <w:t>gene expression. T</w:t>
      </w:r>
      <w:r w:rsidR="00800030">
        <w:t xml:space="preserve">his should be completed for the exons immediately before and after the insertion, as previous work with ALVE-TYR found that the insertion did not affect total expression but caused transcript truncation </w:t>
      </w:r>
      <w:r w:rsidR="00231CCC">
        <w:fldChar w:fldCharType="begin" w:fldLock="1"/>
      </w:r>
      <w:r w:rsidR="009E5D30">
        <w:instrText>ADDIN CSL_CITATION { "citationItems" : [ { "id" : "ITEM-1", "itemData" : { "DOI" : "10.1111/j.1365-2052.2007.01581.x", "ISBN" : "0268-9146", "ISSN" : "02689146", "PMID" : "17355394", "abstract" : "Recently, we reported the complete association of a retroviral insertion in intron 4 of the tyrosinase gene and the recessive white mutation (c) in chickens. The mutant allele carrying the retroviral insertion produced, in skin samples of 10-week-old chickens, aberrant tyrosinase transcripts that did not contain exon 5. In the present study, we performed serial molecular and statistical analyses on embryos and 10-week-old chickens to characterize the quantitative effect of the retroviral insertion on the expression pattern of tyrosinase in different tissues (skin and retina). By using quantitative real-time RT-PCR, we observed that the expression level of tyrosinase was significantly lower in recessive white chickens than in wild-type coloured chickens, but that this pattern was age- and tissue-dependent. The differential expression in skin was not significant in embryos, whereas it was highly significant in 10-week-old chickens. Furthermore, there was no difference in the expression of tyrosinase in the retinal pigment epithelium of animals with different genotypes; this corresponds to phenotypic data, which show pigmented eyes in both genotypes. These findings show that the retroviral insertion disturbs tyrosinase expression in the recessive white mutant chickens, and suggests that the regulation of tyrosinase expression in chickens differs between embryos and growing animals, as well as between skin and retina.", "author" : [ { "dropping-particle" : "", "family" : "Chang", "given" : "C. M.", "non-dropping-particle" : "", "parse-names" : false, "suffix" : "" }, { "dropping-particle" : "", "family" : "Furet", "given" : "J. P.", "non-dropping-particle" : "", "parse-names" : false, "suffix" : "" }, { "dropping-particle" : "", "family" : "Coville", "given" : "J. L.", "non-dropping-particle" : "", "parse-names" : false, "suffix" : "" }, { "dropping-particle" : "", "family" : "Coquerelle", "given" : "G.", "non-dropping-particle" : "", "parse-names" : false, "suffix" : "" }, { "dropping-particle" : "", "family" : "Gourichon", "given" : "D.", "non-dropping-particle" : "", "parse-names" : false, "suffix" : "" }, { "dropping-particle" : "", "family" : "Tixier-Boichard", "given" : "M.", "non-dropping-particle" : "", "parse-names" : false, "suffix" : "" } ], "container-title" : "Animal Genetics", "id" : "ITEM-1", "issue" : "2", "issued" : { "date-parts" : [ [ "2007" ] ] }, "page" : "162-167", "title" : "Quantitative effects of an intronic retroviral insertion on the transcription of the tyrosinase gene in recessive white chickens", "type" : "article-journal", "volume" : "38" }, "uris" : [ "http://www.mendeley.com/documents/?uuid=ac81b6ab-53a1-4a28-bd4d-e27106d17ff8" ] } ], "mendeley" : { "formattedCitation" : "(Chang et al. 2007)", "plainTextFormattedCitation" : "(Chang et al. 2007)", "previouslyFormattedCitation" : "(Chang et al. 2007)" }, "properties" : { "noteIndex" : 0 }, "schema" : "https://github.com/citation-style-language/schema/raw/master/csl-citation.json" }</w:instrText>
      </w:r>
      <w:r w:rsidR="00231CCC">
        <w:fldChar w:fldCharType="separate"/>
      </w:r>
      <w:r w:rsidR="00231CCC" w:rsidRPr="00231CCC">
        <w:rPr>
          <w:noProof/>
        </w:rPr>
        <w:t>(Chang et al. 2007)</w:t>
      </w:r>
      <w:r w:rsidR="00231CCC">
        <w:fldChar w:fldCharType="end"/>
      </w:r>
      <w:r w:rsidR="00800030">
        <w:t>.</w:t>
      </w:r>
      <w:r w:rsidR="00231CCC">
        <w:t xml:space="preserve"> </w:t>
      </w:r>
    </w:p>
    <w:p w14:paraId="572ED35B" w14:textId="587F1E17" w:rsidR="002A4C6E" w:rsidRDefault="009E5D30" w:rsidP="00391005">
      <w:pPr>
        <w:pStyle w:val="ListParagraph"/>
      </w:pPr>
      <w:r>
        <w:t>To completely characterise the phenotypic effects of each ALVE, more s</w:t>
      </w:r>
      <w:r w:rsidR="00A84DF7">
        <w:t>equencing data is needed</w:t>
      </w:r>
      <w:r>
        <w:t xml:space="preserve"> across a whole range of tissues at different </w:t>
      </w:r>
      <w:r w:rsidR="008D7ACC">
        <w:t xml:space="preserve">ages, including </w:t>
      </w:r>
      <w:r>
        <w:t>developmental stages. This should include whole genome bisulfite sequencing for characterisation of the methylation status of each ALVE insertion, and ChIPseq to identify protein interactions with the ALVEs such as enhancer or TF bindin</w:t>
      </w:r>
      <w:r w:rsidR="00B1016A">
        <w:t>g, or</w:t>
      </w:r>
      <w:r>
        <w:t xml:space="preserve"> the presence of histones. </w:t>
      </w:r>
      <w:r w:rsidR="00A84DF7">
        <w:t xml:space="preserve">Additionally, the expression of each ALVE should be assessed using long read RNA sequencing, such as PacBio IsoSeq, to enable unique identification of transcripts from each site. This data would also confirm whether the </w:t>
      </w:r>
      <w:r w:rsidR="00A84DF7">
        <w:rPr>
          <w:i/>
        </w:rPr>
        <w:t>envelope</w:t>
      </w:r>
      <w:r w:rsidR="00A84DF7">
        <w:rPr>
          <w:i/>
        </w:rPr>
        <w:softHyphen/>
      </w:r>
      <w:r w:rsidR="00A84DF7">
        <w:t>-regulating microRNA miR-155 is active within these lines. Together, t</w:t>
      </w:r>
      <w:r>
        <w:t xml:space="preserve">hese data would identify whether ALVEs are transcriptionally active under normal conditions, and whether they could be reactivated under stress, as has been shown during coinfection with MDV </w:t>
      </w:r>
      <w:r>
        <w:fldChar w:fldCharType="begin" w:fldLock="1"/>
      </w:r>
      <w:r w:rsidR="00982F0D">
        <w:instrText>ADDIN CSL_CITATION { "citationItems" : [ { "id" : "ITEM-1", "itemData" : { "abstract" : "Technical Abstract: The influence of endogenous subgroup E avian Leukosis virus (ALV-E) and strain SB-1 of serotype 2 Marek\u2019s disease virus (MDV) on the enhancement of spontaneous lymphoid leukosis (LL)-like tumors was studied in chickens of Avian Disease and Oncology Laboratory (ADOL) line named 0.TVB*S1, or RFS. This line of chickens lacks all endogenous virus genes and is susceptible to infection with all subgroups of ALV including subgroup E (ALV-E). The results suggest that the incidence of spontaneous LL-like tumors in chickens that harbor endogenous ALV was higher than in chickens that lack ALV-E following vaccination with serotype 2 MDV at hatch. The data suggest that both ALV-E and serotype 2 MDV play an important role in the enhancement of spontaneous LL-like tumors in certain lines of chickens.", "author" : [ { "dropping-particle" : "", "family" : "Fadly", "given" : "AM", "non-dropping-particle" : "", "parse-names" : false, "suffix" : "" }, { "dropping-particle" : "", "family" : "Mays", "given" : "JK", "non-dropping-particle" : "", "parse-names" : false, "suffix" : "" }, { "dropping-particle" : "", "family" : "Zhang", "given" : "H", "non-dropping-particle" : "", "parse-names" : false, "suffix" : "" }, { "dropping-particle" : "", "family" : "Hunt", "given" : "HD", "non-dropping-particle" : "", "parse-names" : false, "suffix" : "" } ], "container-title" : "American Veterinary Medical Association Annual Convention, July 25-29, 2014, Denver, Colorado.", "id" : "ITEM-1", "issued" : { "date-parts" : [ [ "2014" ] ] }, "page" : "Abstract No. 16756", "title" : "Role of endogenous avian leukosis virus and serotype 2 Marek\u2019s disease virus in enhancement of spontaneous lymphoid-leukosis-like tumors in chickens", "type" : "paper-conference" }, "uris" : [ "http://www.mendeley.com/documents/?uuid=4e7692f6-5f79-4168-991d-92916ce3ebe3" ] }, { "id" : "ITEM-2", "itemData" : { "DOI" : "10.1080/03079457.2014.989195", "ISBN" : "1465-3338 (Electronic)\r0307-9457 (Linking)", "ISSN" : "0307-9457", "PMID" : "25407937", "author" : [ { "dropping-particle" : "", "family" : "Cao", "given" : "Weisheng", "non-dropping-particle" : "", "parse-names" : false, "suffix" : "" }, { "dropping-particle" : "", "family" : "Mays", "given" : "Jody", "non-dropping-particle" : "", "parse-names" : false, "suffix" : "" }, { "dropping-particle" : "", "family" : "Kulkarni", "given" : "Gururaj", "non-dropping-particle" : "", "parse-names" : false, "suffix" : "" }, { "dropping-particle" : "", "family" : "Dunn", "given" : "John", "non-dropping-particle" : "", "parse-names" : false, "suffix" : "" }, { "dropping-particle" : "", "family" : "Fulton", "given" : "Richard M.", "non-dropping-particle" : "", "parse-names" : false, "suffix" : "" }, { "dropping-particle" : "", "family" : "Fadly", "given" : "Aly", "non-dropping-particle" : "", "parse-names" : false, "suffix" : "" } ], "container-title" : "Avian Pathology", "id" : "ITEM-2", "issue" : "1", "issued" : { "date-parts" : [ [ "2015" ] ] }, "page" : "23-27", "publisher" : "Taylor &amp; Francis", "title" : "Further observations on serotype 2 Marek's disease virus-induced enhancement of spontaneous avian leukosis virus-like bursal lymphomas in &lt;i&gt;ALVA6&lt;/i&gt; transgenic chickens", "type" : "article-journal", "volume" : "44" }, "uris" : [ "http://www.mendeley.com/documents/?uuid=758c14a7-0d09-4f00-a40c-7ba8b5500db5" ] } ], "mendeley" : { "formattedCitation" : "(Fadly et al. 2014; Cao et al. 2015)", "plainTextFormattedCitation" : "(Fadly et al. 2014; Cao et al. 2015)", "previouslyFormattedCitation" : "(Fadly et al. 2014; Cao et al. 2015)" }, "properties" : { "noteIndex" : 0 }, "schema" : "https://github.com/citation-style-language/schema/raw/master/csl-citation.json" }</w:instrText>
      </w:r>
      <w:r>
        <w:fldChar w:fldCharType="separate"/>
      </w:r>
      <w:r w:rsidRPr="009E5D30">
        <w:rPr>
          <w:noProof/>
        </w:rPr>
        <w:t>(Fadly et al. 2014; Cao et al. 2015)</w:t>
      </w:r>
      <w:r>
        <w:fldChar w:fldCharType="end"/>
      </w:r>
      <w:r>
        <w:t xml:space="preserve">. </w:t>
      </w:r>
    </w:p>
    <w:p w14:paraId="02A93B46" w14:textId="6C8FD2A4" w:rsidR="00CF1FF7" w:rsidRDefault="00CF1FF7" w:rsidP="00391005">
      <w:pPr>
        <w:pStyle w:val="ListParagraph"/>
      </w:pPr>
    </w:p>
    <w:p w14:paraId="6490BCCF" w14:textId="010EBD99" w:rsidR="00CF1FF7" w:rsidRDefault="00CF1FF7" w:rsidP="00CF1FF7">
      <w:pPr>
        <w:pStyle w:val="Heading4"/>
      </w:pPr>
      <w:r>
        <w:lastRenderedPageBreak/>
        <w:t>ALVEs in other commercial lines</w:t>
      </w:r>
    </w:p>
    <w:p w14:paraId="37650790" w14:textId="1C859581" w:rsidR="005D3BAF" w:rsidRDefault="005D3BAF" w:rsidP="00391005">
      <w:pPr>
        <w:pStyle w:val="ListParagraph"/>
      </w:pPr>
      <w:r>
        <w:t>The approaches for ALVE identification and characterisation outlined in this thesis could easily be applied to the identification of ALVE insertions in other c</w:t>
      </w:r>
      <w:r w:rsidR="00885A6E">
        <w:t>ommercial datasets. Related</w:t>
      </w:r>
      <w:r>
        <w:t xml:space="preserve"> analyses are</w:t>
      </w:r>
      <w:r w:rsidR="00885A6E">
        <w:t xml:space="preserve"> currently</w:t>
      </w:r>
      <w:r w:rsidR="00B1016A">
        <w:t xml:space="preserve"> underway in other companies</w:t>
      </w:r>
      <w:r>
        <w:t xml:space="preserve"> of the EW group (the Hy-Line parent company; J Fulton &amp; S Tyack 2017, personal communications), but it is unlikel</w:t>
      </w:r>
      <w:r w:rsidR="00F55EBA">
        <w:t>y that the broiler results will</w:t>
      </w:r>
      <w:r>
        <w:t xml:space="preserve"> be made public. The analysis of current commercial broiler data, particularly the differences between sire and dam lines, would be of great interest, as controlling for the likely more numerous ALVE insertions in those lines could greatly influence productivity and animal welfare. </w:t>
      </w:r>
    </w:p>
    <w:p w14:paraId="6A866D83" w14:textId="3101B8F2" w:rsidR="005D3BAF" w:rsidRDefault="005D3BAF" w:rsidP="00391005">
      <w:pPr>
        <w:pStyle w:val="ListParagraph"/>
      </w:pPr>
      <w:r>
        <w:t>In chapter 7, the Lohmann (also in the EW group)</w:t>
      </w:r>
      <w:r w:rsidR="00885A6E">
        <w:t xml:space="preserve"> </w:t>
      </w:r>
      <w:r>
        <w:t xml:space="preserve">WL, WPR and RIR </w:t>
      </w:r>
      <w:r w:rsidR="00885A6E">
        <w:t xml:space="preserve">layer </w:t>
      </w:r>
      <w:r>
        <w:t>lines were analysed for their ALVE content, revealing very similar complements to the Hy-Line lines. It is possible that KASP assays developed here could be used successfully with the Lohmann stock, but adjustments may have to be made for SNPs</w:t>
      </w:r>
      <w:r w:rsidR="00885A6E">
        <w:t xml:space="preserve"> in the primer binding regions</w:t>
      </w:r>
      <w:r>
        <w:t>. It is also possible that shared ALVEs contain company-specific SNPs or even larger structural variation. Further sequencing is needed to identify the line</w:t>
      </w:r>
      <w:r w:rsidR="00F55EBA">
        <w:t xml:space="preserve"> and breed</w:t>
      </w:r>
      <w:r>
        <w:t xml:space="preserve">-specific differences within companies, as well as </w:t>
      </w:r>
      <w:r w:rsidR="00F55EBA">
        <w:t>any company-specific variants</w:t>
      </w:r>
      <w:r>
        <w:t xml:space="preserve">. </w:t>
      </w:r>
      <w:r w:rsidR="00F55EBA">
        <w:t xml:space="preserve">These may reflect differences in selective breeding programmes, including against P27 expression, and could result in varied phenotypic effects on the host. </w:t>
      </w:r>
    </w:p>
    <w:p w14:paraId="5BD7F620" w14:textId="4D83A11B" w:rsidR="00092BA2" w:rsidRDefault="00092BA2" w:rsidP="00391005">
      <w:pPr>
        <w:pStyle w:val="ListParagraph"/>
      </w:pPr>
    </w:p>
    <w:p w14:paraId="4DC855FC" w14:textId="0FAAA9FD" w:rsidR="00092BA2" w:rsidRDefault="00092BA2" w:rsidP="00092BA2">
      <w:pPr>
        <w:pStyle w:val="Heading3"/>
      </w:pPr>
      <w:bookmarkStart w:id="673" w:name="_Toc485721691"/>
      <w:bookmarkStart w:id="674" w:name="_Toc486787271"/>
      <w:bookmarkStart w:id="675" w:name="_Toc486787419"/>
      <w:r>
        <w:t>Wider application of the identification pipelines</w:t>
      </w:r>
      <w:bookmarkEnd w:id="673"/>
      <w:bookmarkEnd w:id="674"/>
      <w:bookmarkEnd w:id="675"/>
    </w:p>
    <w:p w14:paraId="3F96C406" w14:textId="465B38E0" w:rsidR="008D7ACC" w:rsidRDefault="00104D6E" w:rsidP="00391005">
      <w:pPr>
        <w:pStyle w:val="ListParagraph"/>
      </w:pPr>
      <w:r>
        <w:t>The two identification pipelines developed in this PhD project are not limited to the work presented here. As has been shown, LocaTR can be used to annotate LTR retrotransposon content in any assembled genome, providing the basis f</w:t>
      </w:r>
      <w:r w:rsidR="008F54DE">
        <w:t>or evolutionary studies in any e</w:t>
      </w:r>
      <w:r>
        <w:t xml:space="preserve">ukaryotic organism. In practical terms, researchers would need to adjust the list of reference sequences </w:t>
      </w:r>
      <w:r w:rsidR="00B042AD">
        <w:t xml:space="preserve">and select identification program parameters to best </w:t>
      </w:r>
      <w:r>
        <w:t xml:space="preserve">suit the </w:t>
      </w:r>
      <w:r w:rsidR="00B042AD">
        <w:t xml:space="preserve">chosen study species. </w:t>
      </w:r>
    </w:p>
    <w:p w14:paraId="5459065F" w14:textId="4CFA763C" w:rsidR="00092BA2" w:rsidRDefault="00FC172F" w:rsidP="00391005">
      <w:pPr>
        <w:pStyle w:val="ListParagraph"/>
      </w:pPr>
      <w:r>
        <w:t>The ALVE identification pipeline</w:t>
      </w:r>
      <w:r w:rsidR="0026381C">
        <w:t xml:space="preserve"> also</w:t>
      </w:r>
      <w:r>
        <w:t xml:space="preserve"> has a much wider potential application, again depending on the reference sequence</w:t>
      </w:r>
      <w:r w:rsidR="00CE5797">
        <w:t>s chosen by the researcher. A modified ALVE identification pipeline c</w:t>
      </w:r>
      <w:r>
        <w:t xml:space="preserve">ould enable the identification of any viral insertion relative to a reference genome, in any species. Beyond the study of ERV integrations in agricultural </w:t>
      </w:r>
      <w:r>
        <w:lastRenderedPageBreak/>
        <w:t xml:space="preserve">animals, the pipeline could therefore be applied to viral-induced cancer genomics, including in humans. </w:t>
      </w:r>
    </w:p>
    <w:p w14:paraId="0A3E99AE" w14:textId="22F65B2C" w:rsidR="00E833C9" w:rsidRDefault="00E833C9" w:rsidP="00391005">
      <w:pPr>
        <w:pStyle w:val="ListParagraph"/>
      </w:pPr>
    </w:p>
    <w:p w14:paraId="60146E8A" w14:textId="6830A916" w:rsidR="00E833C9" w:rsidRDefault="00092BA2" w:rsidP="00092BA2">
      <w:pPr>
        <w:pStyle w:val="Heading2"/>
      </w:pPr>
      <w:bookmarkStart w:id="676" w:name="_Toc485721692"/>
      <w:bookmarkStart w:id="677" w:name="_Toc486787272"/>
      <w:bookmarkStart w:id="678" w:name="_Toc486787420"/>
      <w:r>
        <w:t>Concluding remarks</w:t>
      </w:r>
      <w:bookmarkEnd w:id="676"/>
      <w:bookmarkEnd w:id="677"/>
      <w:bookmarkEnd w:id="678"/>
    </w:p>
    <w:p w14:paraId="05017680" w14:textId="4E938A7C" w:rsidR="00E833C9" w:rsidRDefault="00E171CC" w:rsidP="00391005">
      <w:pPr>
        <w:pStyle w:val="ListParagraph"/>
      </w:pPr>
      <w:r>
        <w:t>Compa</w:t>
      </w:r>
      <w:r w:rsidR="00CE5797">
        <w:t>red with</w:t>
      </w:r>
      <w:r w:rsidR="008F54DE">
        <w:t xml:space="preserve"> other e</w:t>
      </w:r>
      <w:r>
        <w:t xml:space="preserve">ukaryotes, avian genomes contain a limited diversity </w:t>
      </w:r>
      <w:r w:rsidR="00CE5797">
        <w:t>of LTR retrotransposons, restricted</w:t>
      </w:r>
      <w:r>
        <w:t xml:space="preserve"> solely to endogenous retroviruses. However, the work presented in this PhD thesis has increased the known abundance of these</w:t>
      </w:r>
      <w:r w:rsidR="00CE5797">
        <w:t xml:space="preserve"> retroviral sequences in all sauropsid</w:t>
      </w:r>
      <w:r>
        <w:t xml:space="preserve"> genomes</w:t>
      </w:r>
      <w:r w:rsidR="00CE5797">
        <w:t xml:space="preserve"> analysed</w:t>
      </w:r>
      <w:r>
        <w:t>, and enabled a th</w:t>
      </w:r>
      <w:r w:rsidR="00CE5797">
        <w:t>orough characterisation of ERV</w:t>
      </w:r>
      <w:r>
        <w:t xml:space="preserve"> distribution, expression and </w:t>
      </w:r>
      <w:r w:rsidR="0098632B">
        <w:t xml:space="preserve">putative </w:t>
      </w:r>
      <w:r>
        <w:t>functions in the chicken genome. My research then focused on ALVE insertions, the youngest c</w:t>
      </w:r>
      <w:r w:rsidR="0098632B">
        <w:t>hicken ERVs, enabling a wider</w:t>
      </w:r>
      <w:r>
        <w:t xml:space="preserve"> characterisation of their diversity across chicken populations, including an in-depth analysis of their location, intactness and frequency in the Hy-Line elite layer lines. </w:t>
      </w:r>
    </w:p>
    <w:p w14:paraId="464A9454" w14:textId="4F140793" w:rsidR="00946188" w:rsidRDefault="003B2CB2" w:rsidP="00391005">
      <w:pPr>
        <w:pStyle w:val="ListParagraph"/>
      </w:pPr>
      <w:r>
        <w:t>T</w:t>
      </w:r>
      <w:r w:rsidR="0098632B">
        <w:t xml:space="preserve">his work has both academic and practical applications for avian biology. </w:t>
      </w:r>
      <w:r w:rsidR="00E253CD">
        <w:t>These range</w:t>
      </w:r>
      <w:r w:rsidR="0098632B">
        <w:t xml:space="preserve"> from evolutionary studies into the role of transposable elements in the rapid diversification of birds, to directly advising commercial breeding companies about the phenotypic impacts of ALVE insertions and identifying which sites should be prioritised for eradication. Future work proposed in this thesis will further characterise the diverse roles of these repetitive elements</w:t>
      </w:r>
      <w:r w:rsidR="00E253CD">
        <w:t>,</w:t>
      </w:r>
      <w:r w:rsidR="0098632B">
        <w:t xml:space="preserve"> </w:t>
      </w:r>
      <w:r w:rsidR="00E253CD">
        <w:t xml:space="preserve">and expand the applications of the tools developed </w:t>
      </w:r>
      <w:r w:rsidR="005668F7">
        <w:t>during</w:t>
      </w:r>
      <w:r w:rsidR="00E253CD">
        <w:t xml:space="preserve"> this PhD project. As ALVEs remain a recurrent problem in commercial flocks, further understanding of these loci is critical for improving animal welfare and guaranteeing long term global food security. </w:t>
      </w:r>
    </w:p>
    <w:p w14:paraId="21D5A097" w14:textId="208D0627" w:rsidR="0098632B" w:rsidRDefault="0098632B" w:rsidP="00391005">
      <w:pPr>
        <w:pStyle w:val="ListParagraph"/>
      </w:pPr>
    </w:p>
    <w:p w14:paraId="5D31BD17" w14:textId="75507A5E" w:rsidR="0098632B" w:rsidRDefault="0098632B" w:rsidP="00391005">
      <w:pPr>
        <w:pStyle w:val="ListParagraph"/>
      </w:pPr>
    </w:p>
    <w:p w14:paraId="2B7367FA" w14:textId="2F0E3715" w:rsidR="00FE2022" w:rsidRDefault="00FE2022" w:rsidP="00391005">
      <w:pPr>
        <w:pStyle w:val="ListParagraph"/>
      </w:pPr>
    </w:p>
    <w:p w14:paraId="4F63FE5D" w14:textId="4DA6BABA" w:rsidR="00FE2022" w:rsidRDefault="00FE2022" w:rsidP="00391005">
      <w:pPr>
        <w:pStyle w:val="ListParagraph"/>
      </w:pPr>
    </w:p>
    <w:p w14:paraId="10564904" w14:textId="5EC5AD69" w:rsidR="00FE2022" w:rsidRDefault="00FE2022" w:rsidP="00391005">
      <w:pPr>
        <w:pStyle w:val="ListParagraph"/>
      </w:pPr>
    </w:p>
    <w:p w14:paraId="609A8011" w14:textId="367BF9BB" w:rsidR="00FE2022" w:rsidRDefault="00FE2022" w:rsidP="00391005">
      <w:pPr>
        <w:pStyle w:val="ListParagraph"/>
      </w:pPr>
    </w:p>
    <w:p w14:paraId="4D284B2E" w14:textId="7541405C" w:rsidR="00FE2022" w:rsidRDefault="00FE2022" w:rsidP="00391005">
      <w:pPr>
        <w:pStyle w:val="ListParagraph"/>
      </w:pPr>
    </w:p>
    <w:p w14:paraId="634EFDDC" w14:textId="2012FFAF" w:rsidR="00FE2022" w:rsidRDefault="00FE2022" w:rsidP="00391005">
      <w:pPr>
        <w:pStyle w:val="ListParagraph"/>
      </w:pPr>
    </w:p>
    <w:p w14:paraId="13E7A555" w14:textId="77777777" w:rsidR="00FE2022" w:rsidRDefault="00FE2022" w:rsidP="00391005">
      <w:pPr>
        <w:pStyle w:val="ListParagraph"/>
        <w:sectPr w:rsidR="00FE2022" w:rsidSect="00504068">
          <w:pgSz w:w="11906" w:h="16838"/>
          <w:pgMar w:top="1134" w:right="1418" w:bottom="2268" w:left="2268" w:header="709" w:footer="1066" w:gutter="0"/>
          <w:cols w:space="708"/>
          <w:docGrid w:linePitch="360"/>
        </w:sectPr>
      </w:pPr>
    </w:p>
    <w:p w14:paraId="113E589E" w14:textId="3504C952" w:rsidR="00B46AAC" w:rsidRDefault="00B46AAC" w:rsidP="00B46AAC">
      <w:pPr>
        <w:pStyle w:val="Heading1"/>
        <w:numPr>
          <w:ilvl w:val="0"/>
          <w:numId w:val="0"/>
        </w:numPr>
      </w:pPr>
      <w:bookmarkStart w:id="679" w:name="_Toc485721693"/>
      <w:bookmarkStart w:id="680" w:name="_Toc486787273"/>
      <w:bookmarkStart w:id="681" w:name="_Toc486787421"/>
      <w:r>
        <w:lastRenderedPageBreak/>
        <w:t>References</w:t>
      </w:r>
      <w:bookmarkEnd w:id="679"/>
      <w:bookmarkEnd w:id="680"/>
      <w:bookmarkEnd w:id="681"/>
      <w:r>
        <w:t xml:space="preserve"> </w:t>
      </w:r>
    </w:p>
    <w:p w14:paraId="15C51C4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Aarts, H. J. </w:t>
      </w:r>
      <w:r w:rsidRPr="008C29F7">
        <w:rPr>
          <w:i/>
          <w:sz w:val="19"/>
          <w:szCs w:val="19"/>
        </w:rPr>
        <w:t>et al.</w:t>
      </w:r>
      <w:r w:rsidRPr="008C29F7">
        <w:rPr>
          <w:sz w:val="19"/>
          <w:szCs w:val="19"/>
        </w:rPr>
        <w:t xml:space="preserve"> (1991) Variations in endogenous viral gene patterns in White Leghorn, medium heavy, White Plymouth Rock, and Cornish Chickens, </w:t>
      </w:r>
      <w:r w:rsidRPr="008C29F7">
        <w:rPr>
          <w:i/>
          <w:sz w:val="19"/>
          <w:szCs w:val="19"/>
        </w:rPr>
        <w:t>Poultry Science</w:t>
      </w:r>
      <w:r w:rsidRPr="008C29F7">
        <w:rPr>
          <w:sz w:val="19"/>
          <w:szCs w:val="19"/>
        </w:rPr>
        <w:t>, 70(6), p. 1281–1286.</w:t>
      </w:r>
    </w:p>
    <w:p w14:paraId="45D993A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Aguilera, A. and Gómez-González, B. (2008) Genome instability: a mechanistic view of its causes and consequences, </w:t>
      </w:r>
      <w:r w:rsidRPr="008C29F7">
        <w:rPr>
          <w:i/>
          <w:sz w:val="19"/>
          <w:szCs w:val="19"/>
        </w:rPr>
        <w:t>Nature Reviews Genetics</w:t>
      </w:r>
      <w:r w:rsidRPr="008C29F7">
        <w:rPr>
          <w:sz w:val="19"/>
          <w:szCs w:val="19"/>
        </w:rPr>
        <w:t xml:space="preserve">, 9(3), p. 204–217. </w:t>
      </w:r>
    </w:p>
    <w:p w14:paraId="47021D5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Alkan, C., Coe, B. P. and Eichler, E. E. (2011) Genome structural variation discovery and genotyping., </w:t>
      </w:r>
      <w:r w:rsidRPr="008C29F7">
        <w:rPr>
          <w:i/>
          <w:sz w:val="19"/>
          <w:szCs w:val="19"/>
        </w:rPr>
        <w:t>Nature Reviews Genetics</w:t>
      </w:r>
      <w:r w:rsidRPr="008C29F7">
        <w:rPr>
          <w:sz w:val="19"/>
          <w:szCs w:val="19"/>
        </w:rPr>
        <w:t>, 12(5), p. 363–76.</w:t>
      </w:r>
    </w:p>
    <w:p w14:paraId="372BC0B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Altschul, S. F. </w:t>
      </w:r>
      <w:r w:rsidRPr="008C29F7">
        <w:rPr>
          <w:i/>
          <w:sz w:val="19"/>
          <w:szCs w:val="19"/>
        </w:rPr>
        <w:t>et al.</w:t>
      </w:r>
      <w:r w:rsidRPr="008C29F7">
        <w:rPr>
          <w:sz w:val="19"/>
          <w:szCs w:val="19"/>
        </w:rPr>
        <w:t xml:space="preserve"> (1990) Basic local alignment search tool., </w:t>
      </w:r>
      <w:r w:rsidRPr="008C29F7">
        <w:rPr>
          <w:i/>
          <w:sz w:val="19"/>
          <w:szCs w:val="19"/>
        </w:rPr>
        <w:t>Journal of molecular biology</w:t>
      </w:r>
      <w:r w:rsidRPr="008C29F7">
        <w:rPr>
          <w:sz w:val="19"/>
          <w:szCs w:val="19"/>
        </w:rPr>
        <w:t xml:space="preserve">, 215(3), p. 403–10. </w:t>
      </w:r>
    </w:p>
    <w:p w14:paraId="248CCB8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Altschul, S. and Madden, T. (1997) Gapped BLAST and PSI-BLAST: a new generation of protein database search programs, </w:t>
      </w:r>
      <w:r w:rsidRPr="008C29F7">
        <w:rPr>
          <w:i/>
          <w:sz w:val="19"/>
          <w:szCs w:val="19"/>
        </w:rPr>
        <w:t>Nucleic Acids Research</w:t>
      </w:r>
      <w:r w:rsidRPr="008C29F7">
        <w:rPr>
          <w:sz w:val="19"/>
          <w:szCs w:val="19"/>
        </w:rPr>
        <w:t>, 25(17), p. 3389–3402.</w:t>
      </w:r>
    </w:p>
    <w:p w14:paraId="4867CEF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Andrews, S. (2012) FastQC. “A quality control tool for high throughput sequence data”.</w:t>
      </w:r>
    </w:p>
    <w:p w14:paraId="517C591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Arkhipova, I. R. </w:t>
      </w:r>
      <w:r w:rsidRPr="008C29F7">
        <w:rPr>
          <w:i/>
          <w:sz w:val="19"/>
          <w:szCs w:val="19"/>
        </w:rPr>
        <w:t>et al.</w:t>
      </w:r>
      <w:r w:rsidRPr="008C29F7">
        <w:rPr>
          <w:sz w:val="19"/>
          <w:szCs w:val="19"/>
        </w:rPr>
        <w:t xml:space="preserve"> (1986) The steps of reverse transcription of Drosophila mobile dispersed genetic elements and U3-R-U5 structure of their LTRs., </w:t>
      </w:r>
      <w:r w:rsidRPr="008C29F7">
        <w:rPr>
          <w:i/>
          <w:sz w:val="19"/>
          <w:szCs w:val="19"/>
        </w:rPr>
        <w:t>Cell</w:t>
      </w:r>
      <w:r w:rsidRPr="008C29F7">
        <w:rPr>
          <w:sz w:val="19"/>
          <w:szCs w:val="19"/>
        </w:rPr>
        <w:t xml:space="preserve">, 44(4), p. 555–63. </w:t>
      </w:r>
    </w:p>
    <w:p w14:paraId="2A727C0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Ashlock, W. and Datta, S. (2010) Using Fourier phase analysis on genomic sequences to identify retroviruses, </w:t>
      </w:r>
      <w:r w:rsidRPr="008C29F7">
        <w:rPr>
          <w:i/>
          <w:sz w:val="19"/>
          <w:szCs w:val="19"/>
        </w:rPr>
        <w:t>Proceedings of the First ACM International Conference on Bioinformatics and Computational Biology - BCB 10</w:t>
      </w:r>
      <w:r w:rsidRPr="008C29F7">
        <w:rPr>
          <w:sz w:val="19"/>
          <w:szCs w:val="19"/>
        </w:rPr>
        <w:t>. New York, New York, USA: ACM Press.</w:t>
      </w:r>
    </w:p>
    <w:p w14:paraId="050D0CF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Astrin, S. M. (1978) Endogenous viral genes of the White Leghorn chicken: common site of residence and sites associated with specific phenotypes of viral gene expression., </w:t>
      </w:r>
      <w:r w:rsidRPr="008C29F7">
        <w:rPr>
          <w:i/>
          <w:sz w:val="19"/>
          <w:szCs w:val="19"/>
        </w:rPr>
        <w:t>PNAS</w:t>
      </w:r>
      <w:r w:rsidRPr="008C29F7">
        <w:rPr>
          <w:sz w:val="19"/>
          <w:szCs w:val="19"/>
        </w:rPr>
        <w:t xml:space="preserve">, 75(12), p. 5941–5945. </w:t>
      </w:r>
    </w:p>
    <w:p w14:paraId="60B7DD5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Astrin, S. M. and Robinson, H. (1979) Gs, an Allele of Chickens for Endogenous Avian Leukosis Viral Antigens, Segregates with ev 3, a Genetic Locus That Contains Structural Genes for Virus, </w:t>
      </w:r>
      <w:r w:rsidRPr="008C29F7">
        <w:rPr>
          <w:i/>
          <w:sz w:val="19"/>
          <w:szCs w:val="19"/>
        </w:rPr>
        <w:t>Journal of Virology</w:t>
      </w:r>
      <w:r w:rsidRPr="008C29F7">
        <w:rPr>
          <w:sz w:val="19"/>
          <w:szCs w:val="19"/>
        </w:rPr>
        <w:t>, 31(2), p. 420–425.</w:t>
      </w:r>
    </w:p>
    <w:p w14:paraId="08B40D0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Aswad, A. and Katzourakis, A. (2012) Paleovirology and virally derived immunity., </w:t>
      </w:r>
      <w:r w:rsidRPr="008C29F7">
        <w:rPr>
          <w:i/>
          <w:sz w:val="19"/>
          <w:szCs w:val="19"/>
        </w:rPr>
        <w:t>Trends in ecology &amp; evolution</w:t>
      </w:r>
      <w:r w:rsidRPr="008C29F7">
        <w:rPr>
          <w:sz w:val="19"/>
          <w:szCs w:val="19"/>
        </w:rPr>
        <w:t>, 27(11), p. 627–36.</w:t>
      </w:r>
    </w:p>
    <w:p w14:paraId="7E63BF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Axelsson, E. </w:t>
      </w:r>
      <w:r w:rsidRPr="008C29F7">
        <w:rPr>
          <w:i/>
          <w:sz w:val="19"/>
          <w:szCs w:val="19"/>
        </w:rPr>
        <w:t>et al.</w:t>
      </w:r>
      <w:r w:rsidRPr="008C29F7">
        <w:rPr>
          <w:sz w:val="19"/>
          <w:szCs w:val="19"/>
        </w:rPr>
        <w:t xml:space="preserve"> (2004) Male-biased mutation rate and divergence in autosomal, z-linked and w-linked introns of chicken and Turkey., </w:t>
      </w:r>
      <w:r w:rsidRPr="008C29F7">
        <w:rPr>
          <w:i/>
          <w:sz w:val="19"/>
          <w:szCs w:val="19"/>
        </w:rPr>
        <w:t>Molecular Biology and Evolution</w:t>
      </w:r>
      <w:r w:rsidRPr="008C29F7">
        <w:rPr>
          <w:sz w:val="19"/>
          <w:szCs w:val="19"/>
        </w:rPr>
        <w:t xml:space="preserve">, 21(8), p. 1538–47. </w:t>
      </w:r>
    </w:p>
    <w:p w14:paraId="53B646B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Backström, N. </w:t>
      </w:r>
      <w:r w:rsidRPr="008C29F7">
        <w:rPr>
          <w:i/>
          <w:sz w:val="19"/>
          <w:szCs w:val="19"/>
        </w:rPr>
        <w:t>et al.</w:t>
      </w:r>
      <w:r w:rsidRPr="008C29F7">
        <w:rPr>
          <w:sz w:val="19"/>
          <w:szCs w:val="19"/>
        </w:rPr>
        <w:t xml:space="preserve"> (2010) The recombination landscape of the zebra finch </w:t>
      </w:r>
      <w:r w:rsidRPr="008C29F7">
        <w:rPr>
          <w:i/>
          <w:sz w:val="19"/>
          <w:szCs w:val="19"/>
        </w:rPr>
        <w:t>Taeniopygia guttata</w:t>
      </w:r>
      <w:r w:rsidRPr="008C29F7">
        <w:rPr>
          <w:sz w:val="19"/>
          <w:szCs w:val="19"/>
        </w:rPr>
        <w:t xml:space="preserve"> genome, </w:t>
      </w:r>
      <w:r w:rsidRPr="008C29F7">
        <w:rPr>
          <w:i/>
          <w:sz w:val="19"/>
          <w:szCs w:val="19"/>
        </w:rPr>
        <w:t>Genome Research</w:t>
      </w:r>
      <w:r w:rsidRPr="008C29F7">
        <w:rPr>
          <w:sz w:val="19"/>
          <w:szCs w:val="19"/>
        </w:rPr>
        <w:t>, 20(4), p. 485–95.</w:t>
      </w:r>
    </w:p>
    <w:p w14:paraId="12C319A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Bacon, L. D. </w:t>
      </w:r>
      <w:r w:rsidRPr="008C29F7">
        <w:rPr>
          <w:i/>
          <w:sz w:val="19"/>
          <w:szCs w:val="19"/>
        </w:rPr>
        <w:t>et al.</w:t>
      </w:r>
      <w:r w:rsidRPr="008C29F7">
        <w:rPr>
          <w:sz w:val="19"/>
          <w:szCs w:val="19"/>
        </w:rPr>
        <w:t xml:space="preserve"> (1988) Association of the Slow Feathering (K) and an Endogenous Viral (ev21) Gene on the Z Chromosome of Chickens, </w:t>
      </w:r>
      <w:r w:rsidRPr="008C29F7">
        <w:rPr>
          <w:i/>
          <w:sz w:val="19"/>
          <w:szCs w:val="19"/>
        </w:rPr>
        <w:t>Poultry Science</w:t>
      </w:r>
      <w:r w:rsidRPr="008C29F7">
        <w:rPr>
          <w:sz w:val="19"/>
          <w:szCs w:val="19"/>
        </w:rPr>
        <w:t xml:space="preserve">, 67(2), p. 191–197. </w:t>
      </w:r>
    </w:p>
    <w:p w14:paraId="61BC8A6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Bacon, L. D., Hunt, H. D. and Cheng, H. H. (2000) A review of the development of chicken lines to resolve genes determining resistance to diseases., </w:t>
      </w:r>
      <w:r w:rsidRPr="008C29F7">
        <w:rPr>
          <w:i/>
          <w:sz w:val="19"/>
          <w:szCs w:val="19"/>
        </w:rPr>
        <w:t>Poultry Science</w:t>
      </w:r>
      <w:r w:rsidRPr="008C29F7">
        <w:rPr>
          <w:sz w:val="19"/>
          <w:szCs w:val="19"/>
        </w:rPr>
        <w:t xml:space="preserve">, 79(8), p. 1082–1093. </w:t>
      </w:r>
    </w:p>
    <w:p w14:paraId="1915ECE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Bai, J., Payne, L. N. and Skinner, M. a (1995) HPRS-103 (exogenous avian leukosis virus, subgroup J) has an env gene related to those of endogenous elements EAV-0 and E51 and an E element found previously only in sarcoma viruses., </w:t>
      </w:r>
      <w:r w:rsidRPr="008C29F7">
        <w:rPr>
          <w:i/>
          <w:sz w:val="19"/>
          <w:szCs w:val="19"/>
        </w:rPr>
        <w:t>Journal of Virology</w:t>
      </w:r>
      <w:r w:rsidRPr="008C29F7">
        <w:rPr>
          <w:sz w:val="19"/>
          <w:szCs w:val="19"/>
        </w:rPr>
        <w:t>, 69(2), p. 779–84.</w:t>
      </w:r>
    </w:p>
    <w:p w14:paraId="792F2EB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Baillie, J. K. </w:t>
      </w:r>
      <w:r w:rsidRPr="008C29F7">
        <w:rPr>
          <w:i/>
          <w:sz w:val="19"/>
          <w:szCs w:val="19"/>
        </w:rPr>
        <w:t>et al.</w:t>
      </w:r>
      <w:r w:rsidRPr="008C29F7">
        <w:rPr>
          <w:sz w:val="19"/>
          <w:szCs w:val="19"/>
        </w:rPr>
        <w:t xml:space="preserve"> (2011) Somatic retrotransposition alters the genetic landscape of the human brain., </w:t>
      </w:r>
      <w:r w:rsidRPr="008C29F7">
        <w:rPr>
          <w:i/>
          <w:sz w:val="19"/>
          <w:szCs w:val="19"/>
        </w:rPr>
        <w:t>Nature</w:t>
      </w:r>
      <w:r w:rsidRPr="008C29F7">
        <w:rPr>
          <w:sz w:val="19"/>
          <w:szCs w:val="19"/>
        </w:rPr>
        <w:t xml:space="preserve">, 479(7374), p. 534–7. </w:t>
      </w:r>
    </w:p>
    <w:p w14:paraId="221F1A0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Baker, M. (2011) Long noncoding RNAs: the search for function, </w:t>
      </w:r>
      <w:r w:rsidRPr="008C29F7">
        <w:rPr>
          <w:i/>
          <w:sz w:val="19"/>
          <w:szCs w:val="19"/>
        </w:rPr>
        <w:t>Nature Methods</w:t>
      </w:r>
      <w:r w:rsidRPr="008C29F7">
        <w:rPr>
          <w:sz w:val="19"/>
          <w:szCs w:val="19"/>
        </w:rPr>
        <w:t xml:space="preserve">, 8(5), p. 379–383. </w:t>
      </w:r>
    </w:p>
    <w:p w14:paraId="1E36AE1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Barrio, Á. M. </w:t>
      </w:r>
      <w:r w:rsidRPr="008C29F7">
        <w:rPr>
          <w:i/>
          <w:sz w:val="19"/>
          <w:szCs w:val="19"/>
        </w:rPr>
        <w:t>et al.</w:t>
      </w:r>
      <w:r w:rsidRPr="008C29F7">
        <w:rPr>
          <w:sz w:val="19"/>
          <w:szCs w:val="19"/>
        </w:rPr>
        <w:t xml:space="preserve"> (2011) The first sequenced carnivore genome shows complex host-endogenous retrovirus relationships., </w:t>
      </w:r>
      <w:r w:rsidRPr="008C29F7">
        <w:rPr>
          <w:i/>
          <w:sz w:val="19"/>
          <w:szCs w:val="19"/>
        </w:rPr>
        <w:t>PloS one</w:t>
      </w:r>
      <w:r w:rsidRPr="008C29F7">
        <w:rPr>
          <w:sz w:val="19"/>
          <w:szCs w:val="19"/>
        </w:rPr>
        <w:t xml:space="preserve">, 6(5), p. e19832. </w:t>
      </w:r>
    </w:p>
    <w:p w14:paraId="32C1E55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Bawa, A. S. and Anilakumar, K. R. (2013) Genetically modified foods: safety, risks and public concerns — a review, </w:t>
      </w:r>
      <w:r w:rsidRPr="008C29F7">
        <w:rPr>
          <w:i/>
          <w:sz w:val="19"/>
          <w:szCs w:val="19"/>
        </w:rPr>
        <w:t>Journal of Food Scienc and Technology</w:t>
      </w:r>
      <w:r w:rsidRPr="008C29F7">
        <w:rPr>
          <w:sz w:val="19"/>
          <w:szCs w:val="19"/>
        </w:rPr>
        <w:t xml:space="preserve">, 50(6), p. 1035–1046. </w:t>
      </w:r>
    </w:p>
    <w:p w14:paraId="53877EB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Benachenhou, F. </w:t>
      </w:r>
      <w:r w:rsidRPr="008C29F7">
        <w:rPr>
          <w:i/>
          <w:sz w:val="19"/>
          <w:szCs w:val="19"/>
        </w:rPr>
        <w:t>et al.</w:t>
      </w:r>
      <w:r w:rsidRPr="008C29F7">
        <w:rPr>
          <w:sz w:val="19"/>
          <w:szCs w:val="19"/>
        </w:rPr>
        <w:t xml:space="preserve"> (2009) Evolutionary conservation of orthoretroviral long terminal repeats (LTRs) and ab initio detection of single LTRs in genomic data., </w:t>
      </w:r>
      <w:r w:rsidRPr="008C29F7">
        <w:rPr>
          <w:i/>
          <w:sz w:val="19"/>
          <w:szCs w:val="19"/>
        </w:rPr>
        <w:t>PloS one</w:t>
      </w:r>
      <w:r w:rsidRPr="008C29F7">
        <w:rPr>
          <w:sz w:val="19"/>
          <w:szCs w:val="19"/>
        </w:rPr>
        <w:t>, 4(4), p. e5179.</w:t>
      </w:r>
    </w:p>
    <w:p w14:paraId="1015ED7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Benachenhou, F. </w:t>
      </w:r>
      <w:r w:rsidRPr="008C29F7">
        <w:rPr>
          <w:i/>
          <w:sz w:val="19"/>
          <w:szCs w:val="19"/>
        </w:rPr>
        <w:t>et al.</w:t>
      </w:r>
      <w:r w:rsidRPr="008C29F7">
        <w:rPr>
          <w:sz w:val="19"/>
          <w:szCs w:val="19"/>
        </w:rPr>
        <w:t xml:space="preserve"> (2013) Conserved structure and inferred evolutionary history of long terminal repeats (LTRs), </w:t>
      </w:r>
      <w:r w:rsidRPr="008C29F7">
        <w:rPr>
          <w:i/>
          <w:sz w:val="19"/>
          <w:szCs w:val="19"/>
        </w:rPr>
        <w:t>Mobile DNA</w:t>
      </w:r>
      <w:r w:rsidRPr="008C29F7">
        <w:rPr>
          <w:sz w:val="19"/>
          <w:szCs w:val="19"/>
        </w:rPr>
        <w:t>, 4(5).</w:t>
      </w:r>
    </w:p>
    <w:p w14:paraId="344452D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Benachenhou, F., Blikstad, V. and Blomberg, J. (2009) The phylogeny of orthoretroviral long terminal repeats (LTRs)., </w:t>
      </w:r>
      <w:r w:rsidRPr="008C29F7">
        <w:rPr>
          <w:i/>
          <w:sz w:val="19"/>
          <w:szCs w:val="19"/>
        </w:rPr>
        <w:t>Gene</w:t>
      </w:r>
      <w:r w:rsidRPr="008C29F7">
        <w:rPr>
          <w:sz w:val="19"/>
          <w:szCs w:val="19"/>
        </w:rPr>
        <w:t xml:space="preserve">, 448(2), p. 134–8. </w:t>
      </w:r>
    </w:p>
    <w:p w14:paraId="3C2ABCB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Benkel, B. F. (1998) Locus-specific diagnostic tests for endogenous avian leukosis-type viral loci in chickens., </w:t>
      </w:r>
      <w:r w:rsidRPr="008C29F7">
        <w:rPr>
          <w:i/>
          <w:sz w:val="19"/>
          <w:szCs w:val="19"/>
        </w:rPr>
        <w:t>Poultry Science</w:t>
      </w:r>
      <w:r w:rsidRPr="008C29F7">
        <w:rPr>
          <w:sz w:val="19"/>
          <w:szCs w:val="19"/>
        </w:rPr>
        <w:t xml:space="preserve">, 77(7), p. 1027–35. </w:t>
      </w:r>
    </w:p>
    <w:p w14:paraId="4E95FA8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Benkel, B. and Rutherford, K. (2014) Endogenous avian leukosis viral loci in the Red Jungle Fowl genome assembly, </w:t>
      </w:r>
      <w:r w:rsidRPr="008C29F7">
        <w:rPr>
          <w:i/>
          <w:sz w:val="19"/>
          <w:szCs w:val="19"/>
        </w:rPr>
        <w:t>Poultry Science</w:t>
      </w:r>
      <w:r w:rsidRPr="008C29F7">
        <w:rPr>
          <w:sz w:val="19"/>
          <w:szCs w:val="19"/>
        </w:rPr>
        <w:t xml:space="preserve">, 93, p. 2988–2990. </w:t>
      </w:r>
    </w:p>
    <w:p w14:paraId="6AB86B7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Benson, S. </w:t>
      </w:r>
      <w:r w:rsidRPr="008C29F7">
        <w:rPr>
          <w:i/>
          <w:sz w:val="19"/>
          <w:szCs w:val="19"/>
        </w:rPr>
        <w:t>et al.</w:t>
      </w:r>
      <w:r w:rsidRPr="008C29F7">
        <w:rPr>
          <w:sz w:val="19"/>
          <w:szCs w:val="19"/>
        </w:rPr>
        <w:t xml:space="preserve"> (1998) The unique envelope gene of the subgroup J avian leukosis virus derives from ev/J proviruses, a novel family of avian endogenous viruses, </w:t>
      </w:r>
      <w:r w:rsidRPr="008C29F7">
        <w:rPr>
          <w:i/>
          <w:sz w:val="19"/>
          <w:szCs w:val="19"/>
        </w:rPr>
        <w:t>Journal of Virology</w:t>
      </w:r>
      <w:r w:rsidRPr="008C29F7">
        <w:rPr>
          <w:sz w:val="19"/>
          <w:szCs w:val="19"/>
        </w:rPr>
        <w:t xml:space="preserve">, 72(45), p. 10157–64. </w:t>
      </w:r>
    </w:p>
    <w:p w14:paraId="3FFFF2C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Bergero, R. and Charlesworth, D. (2009) The evolution of restricted recombination in sex chromosomes, </w:t>
      </w:r>
      <w:r w:rsidRPr="008C29F7">
        <w:rPr>
          <w:i/>
          <w:sz w:val="19"/>
          <w:szCs w:val="19"/>
        </w:rPr>
        <w:t>Trends in Ecology and Evolution</w:t>
      </w:r>
      <w:r w:rsidRPr="008C29F7">
        <w:rPr>
          <w:sz w:val="19"/>
          <w:szCs w:val="19"/>
        </w:rPr>
        <w:t xml:space="preserve">, 24(2), p. 94–102. </w:t>
      </w:r>
    </w:p>
    <w:p w14:paraId="59116C6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Bergman, C. M. and Quesneville, H. (2007) Discovering and detecting transposable elements in genome sequences., </w:t>
      </w:r>
      <w:r w:rsidRPr="008C29F7">
        <w:rPr>
          <w:i/>
          <w:sz w:val="19"/>
          <w:szCs w:val="19"/>
        </w:rPr>
        <w:t>Briefings in bioinformatics</w:t>
      </w:r>
      <w:r w:rsidRPr="008C29F7">
        <w:rPr>
          <w:sz w:val="19"/>
          <w:szCs w:val="19"/>
        </w:rPr>
        <w:t xml:space="preserve">, 8(6), p. 382–92. </w:t>
      </w:r>
    </w:p>
    <w:p w14:paraId="0C78501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Bickhart, D. M. </w:t>
      </w:r>
      <w:r w:rsidRPr="008C29F7">
        <w:rPr>
          <w:i/>
          <w:sz w:val="19"/>
          <w:szCs w:val="19"/>
        </w:rPr>
        <w:t>et al.</w:t>
      </w:r>
      <w:r w:rsidRPr="008C29F7">
        <w:rPr>
          <w:sz w:val="19"/>
          <w:szCs w:val="19"/>
        </w:rPr>
        <w:t xml:space="preserve"> (2017) Single-molecule sequencing and chromatin conformation capture enable de novo reference assembly of the domestic goat genome, </w:t>
      </w:r>
      <w:r w:rsidRPr="008C29F7">
        <w:rPr>
          <w:i/>
          <w:sz w:val="19"/>
          <w:szCs w:val="19"/>
        </w:rPr>
        <w:t>Nature Genetics</w:t>
      </w:r>
      <w:r w:rsidRPr="008C29F7">
        <w:rPr>
          <w:sz w:val="19"/>
          <w:szCs w:val="19"/>
        </w:rPr>
        <w:t xml:space="preserve">, 49(4), p. 643–650. </w:t>
      </w:r>
    </w:p>
    <w:p w14:paraId="7EA4227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Blyth, J. (1954) Notes on the poultry research centre flock of brown leghorns, </w:t>
      </w:r>
      <w:r w:rsidRPr="008C29F7">
        <w:rPr>
          <w:i/>
          <w:sz w:val="19"/>
          <w:szCs w:val="19"/>
        </w:rPr>
        <w:t>Worlds Poultry Science journal</w:t>
      </w:r>
      <w:r w:rsidRPr="008C29F7">
        <w:rPr>
          <w:sz w:val="19"/>
          <w:szCs w:val="19"/>
        </w:rPr>
        <w:t xml:space="preserve">, 10(2), p. 140–143. </w:t>
      </w:r>
    </w:p>
    <w:p w14:paraId="79CB395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Blyth, J. and Sang, J. (1960) Survey of line crosses in a Brown Leghorn flock, p. 408–421.</w:t>
      </w:r>
    </w:p>
    <w:p w14:paraId="0462F60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Bock, M. and Stoye, J. P. (2000) Endogenous retroviruses and the human germline., </w:t>
      </w:r>
      <w:r w:rsidRPr="008C29F7">
        <w:rPr>
          <w:i/>
          <w:sz w:val="19"/>
          <w:szCs w:val="19"/>
        </w:rPr>
        <w:t>Current opinion in genetics &amp; development</w:t>
      </w:r>
      <w:r w:rsidRPr="008C29F7">
        <w:rPr>
          <w:sz w:val="19"/>
          <w:szCs w:val="19"/>
        </w:rPr>
        <w:t xml:space="preserve">, 10(6), p. 651–5. </w:t>
      </w:r>
    </w:p>
    <w:p w14:paraId="6384378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Boeke, J. D. (2003) The unusual phylogenetic distribution of retrotransposons: a hypothesis., </w:t>
      </w:r>
      <w:r w:rsidRPr="008C29F7">
        <w:rPr>
          <w:i/>
          <w:sz w:val="19"/>
          <w:szCs w:val="19"/>
        </w:rPr>
        <w:t>Genome research</w:t>
      </w:r>
      <w:r w:rsidRPr="008C29F7">
        <w:rPr>
          <w:sz w:val="19"/>
          <w:szCs w:val="19"/>
        </w:rPr>
        <w:t xml:space="preserve">, 13(9), p. 1975–83. </w:t>
      </w:r>
    </w:p>
    <w:p w14:paraId="6253854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de Boer, J. G. </w:t>
      </w:r>
      <w:r w:rsidRPr="008C29F7">
        <w:rPr>
          <w:i/>
          <w:sz w:val="19"/>
          <w:szCs w:val="19"/>
        </w:rPr>
        <w:t>et al.</w:t>
      </w:r>
      <w:r w:rsidRPr="008C29F7">
        <w:rPr>
          <w:sz w:val="19"/>
          <w:szCs w:val="19"/>
        </w:rPr>
        <w:t xml:space="preserve"> (2007) Bursts and horizontal evolution of DNA transposons in the speciation of pseudotetraploid salmonids, </w:t>
      </w:r>
      <w:r w:rsidRPr="008C29F7">
        <w:rPr>
          <w:i/>
          <w:sz w:val="19"/>
          <w:szCs w:val="19"/>
        </w:rPr>
        <w:t>BMC Genomics</w:t>
      </w:r>
      <w:r w:rsidRPr="008C29F7">
        <w:rPr>
          <w:sz w:val="19"/>
          <w:szCs w:val="19"/>
        </w:rPr>
        <w:t>, 8(1), p. 422.</w:t>
      </w:r>
    </w:p>
    <w:p w14:paraId="392D781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Bolisetty, M., Blomberg, J. and Benachenhou, F. (2012) Unexpected Diversity and Expression of Avian Endogenous Retroviruses, </w:t>
      </w:r>
      <w:r w:rsidRPr="008C29F7">
        <w:rPr>
          <w:i/>
          <w:sz w:val="19"/>
          <w:szCs w:val="19"/>
        </w:rPr>
        <w:t>MBio</w:t>
      </w:r>
      <w:r w:rsidRPr="008C29F7">
        <w:rPr>
          <w:sz w:val="19"/>
          <w:szCs w:val="19"/>
        </w:rPr>
        <w:t xml:space="preserve">, 3(5). </w:t>
      </w:r>
    </w:p>
    <w:p w14:paraId="206609F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Borisenko, L. (2003) Avian endogenous retroviruses., </w:t>
      </w:r>
      <w:r w:rsidRPr="008C29F7">
        <w:rPr>
          <w:i/>
          <w:sz w:val="19"/>
          <w:szCs w:val="19"/>
        </w:rPr>
        <w:t>Folia biologica</w:t>
      </w:r>
      <w:r w:rsidRPr="008C29F7">
        <w:rPr>
          <w:sz w:val="19"/>
          <w:szCs w:val="19"/>
        </w:rPr>
        <w:t xml:space="preserve">, 49(5), p. 177–82. </w:t>
      </w:r>
    </w:p>
    <w:p w14:paraId="059A08C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Borysenko, L., Stepanets, V. and Rynditch, A. V (2008) Molecular characterization of full-length MLV-related endogenous retrovirus ChiRV1 from the chicken, Gallus gallus., </w:t>
      </w:r>
      <w:r w:rsidRPr="008C29F7">
        <w:rPr>
          <w:i/>
          <w:sz w:val="19"/>
          <w:szCs w:val="19"/>
        </w:rPr>
        <w:t>Virology</w:t>
      </w:r>
      <w:r w:rsidRPr="008C29F7">
        <w:rPr>
          <w:sz w:val="19"/>
          <w:szCs w:val="19"/>
        </w:rPr>
        <w:t xml:space="preserve">, 376(1), p. 199–204. </w:t>
      </w:r>
    </w:p>
    <w:p w14:paraId="014E7F6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Boulliou, A. </w:t>
      </w:r>
      <w:r w:rsidRPr="008C29F7">
        <w:rPr>
          <w:i/>
          <w:sz w:val="19"/>
          <w:szCs w:val="19"/>
        </w:rPr>
        <w:t>et al.</w:t>
      </w:r>
      <w:r w:rsidRPr="008C29F7">
        <w:rPr>
          <w:sz w:val="19"/>
          <w:szCs w:val="19"/>
        </w:rPr>
        <w:t xml:space="preserve"> (1991) Restriction fragment length polymorphism analysis of endogenous avian leukosis viral loci: determination of frequencies in commercial broiler lines., </w:t>
      </w:r>
      <w:r w:rsidRPr="008C29F7">
        <w:rPr>
          <w:i/>
          <w:sz w:val="19"/>
          <w:szCs w:val="19"/>
        </w:rPr>
        <w:t>Poultry Science</w:t>
      </w:r>
      <w:r w:rsidRPr="008C29F7">
        <w:rPr>
          <w:sz w:val="19"/>
          <w:szCs w:val="19"/>
        </w:rPr>
        <w:t>, 70(6), p. 1287-96.</w:t>
      </w:r>
    </w:p>
    <w:p w14:paraId="3B7B2BA0" w14:textId="0E29E2FA" w:rsidR="000823ED" w:rsidRPr="008C29F7" w:rsidRDefault="000823ED" w:rsidP="008C29F7">
      <w:pPr>
        <w:pStyle w:val="Figure"/>
        <w:spacing w:before="0" w:after="60" w:line="240" w:lineRule="auto"/>
        <w:ind w:left="426" w:hanging="426"/>
        <w:rPr>
          <w:sz w:val="19"/>
          <w:szCs w:val="19"/>
        </w:rPr>
      </w:pPr>
      <w:r w:rsidRPr="008C29F7">
        <w:rPr>
          <w:sz w:val="19"/>
          <w:szCs w:val="19"/>
        </w:rPr>
        <w:t>Boyce-Jacino, M</w:t>
      </w:r>
      <w:r w:rsidR="003008EF">
        <w:rPr>
          <w:sz w:val="19"/>
          <w:szCs w:val="19"/>
        </w:rPr>
        <w:t>. T., ODonoghue, K. and Faras, A.</w:t>
      </w:r>
      <w:r w:rsidRPr="008C29F7">
        <w:rPr>
          <w:sz w:val="19"/>
          <w:szCs w:val="19"/>
        </w:rPr>
        <w:t xml:space="preserve"> J. (1992) Multiple complex families of endogenous retroviruses are highly conserved in the genus Gallus., </w:t>
      </w:r>
      <w:r w:rsidRPr="008C29F7">
        <w:rPr>
          <w:i/>
          <w:sz w:val="19"/>
          <w:szCs w:val="19"/>
        </w:rPr>
        <w:t>Journal of Virology</w:t>
      </w:r>
      <w:r w:rsidRPr="008C29F7">
        <w:rPr>
          <w:sz w:val="19"/>
          <w:szCs w:val="19"/>
        </w:rPr>
        <w:t>, 66(8), p. 4919–29.</w:t>
      </w:r>
    </w:p>
    <w:p w14:paraId="7F45675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Briggs, J. C. (2003) Fishes and Birds: Gondwana Life Rafts Reconsidered, </w:t>
      </w:r>
      <w:r w:rsidRPr="008C29F7">
        <w:rPr>
          <w:i/>
          <w:sz w:val="19"/>
          <w:szCs w:val="19"/>
        </w:rPr>
        <w:t>Systematic Biology</w:t>
      </w:r>
      <w:r w:rsidRPr="008C29F7">
        <w:rPr>
          <w:sz w:val="19"/>
          <w:szCs w:val="19"/>
        </w:rPr>
        <w:t xml:space="preserve">, 52(4), p. 548–53. </w:t>
      </w:r>
    </w:p>
    <w:p w14:paraId="249ABEE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Bromham, L. (2002) The human zoo: endogenous retroviruses in the human genome, </w:t>
      </w:r>
      <w:r w:rsidRPr="008C29F7">
        <w:rPr>
          <w:i/>
          <w:sz w:val="19"/>
          <w:szCs w:val="19"/>
        </w:rPr>
        <w:t>Trends in Ecology &amp; Evolution</w:t>
      </w:r>
      <w:r w:rsidRPr="008C29F7">
        <w:rPr>
          <w:sz w:val="19"/>
          <w:szCs w:val="19"/>
        </w:rPr>
        <w:t xml:space="preserve">, 17(2), p. 91–7. </w:t>
      </w:r>
    </w:p>
    <w:p w14:paraId="5F9ADAF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Bu, G. </w:t>
      </w:r>
      <w:r w:rsidRPr="008C29F7">
        <w:rPr>
          <w:i/>
          <w:sz w:val="19"/>
          <w:szCs w:val="19"/>
        </w:rPr>
        <w:t>et al.</w:t>
      </w:r>
      <w:r w:rsidRPr="008C29F7">
        <w:rPr>
          <w:sz w:val="19"/>
          <w:szCs w:val="19"/>
        </w:rPr>
        <w:t xml:space="preserve"> (2013) Characterization of the novel duplicated PRLR gene at the late-feathering K locus in Lohmann chickens., </w:t>
      </w:r>
      <w:r w:rsidRPr="008C29F7">
        <w:rPr>
          <w:i/>
          <w:sz w:val="19"/>
          <w:szCs w:val="19"/>
        </w:rPr>
        <w:t>Journal of molecular endocrinology</w:t>
      </w:r>
      <w:r w:rsidRPr="008C29F7">
        <w:rPr>
          <w:sz w:val="19"/>
          <w:szCs w:val="19"/>
        </w:rPr>
        <w:t xml:space="preserve">, 51(2), p. 261–76. </w:t>
      </w:r>
    </w:p>
    <w:p w14:paraId="52CF2C4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Bushman, F. (2003) Targeting survival: integration site selection by retroviruses and LTR-retrotransposons, </w:t>
      </w:r>
      <w:r w:rsidRPr="008C29F7">
        <w:rPr>
          <w:i/>
          <w:sz w:val="19"/>
          <w:szCs w:val="19"/>
        </w:rPr>
        <w:t>Cell</w:t>
      </w:r>
      <w:r w:rsidRPr="008C29F7">
        <w:rPr>
          <w:sz w:val="19"/>
          <w:szCs w:val="19"/>
        </w:rPr>
        <w:t>, 115, p. 135–8.</w:t>
      </w:r>
    </w:p>
    <w:p w14:paraId="70E2142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Van Den Bussche, R. A., Longmire, J. L. and Baker, R. J. (1995) How bats achieve a small C-value: frequency of repetitive DNA in Macrotus, </w:t>
      </w:r>
      <w:r w:rsidRPr="008C29F7">
        <w:rPr>
          <w:i/>
          <w:sz w:val="19"/>
          <w:szCs w:val="19"/>
        </w:rPr>
        <w:t>Mammalian Genome</w:t>
      </w:r>
      <w:r w:rsidRPr="008C29F7">
        <w:rPr>
          <w:sz w:val="19"/>
          <w:szCs w:val="19"/>
        </w:rPr>
        <w:t>, 6(8), p. 521–25.</w:t>
      </w:r>
    </w:p>
    <w:p w14:paraId="2C2CFCA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Cam, H. P. </w:t>
      </w:r>
      <w:r w:rsidRPr="008C29F7">
        <w:rPr>
          <w:i/>
          <w:sz w:val="19"/>
          <w:szCs w:val="19"/>
        </w:rPr>
        <w:t>et al.</w:t>
      </w:r>
      <w:r w:rsidRPr="008C29F7">
        <w:rPr>
          <w:sz w:val="19"/>
          <w:szCs w:val="19"/>
        </w:rPr>
        <w:t xml:space="preserve"> (2008) Host genome surveillance for retrotransposons by transposon-derived proteins., </w:t>
      </w:r>
      <w:r w:rsidRPr="008C29F7">
        <w:rPr>
          <w:i/>
          <w:sz w:val="19"/>
          <w:szCs w:val="19"/>
        </w:rPr>
        <w:t>Nature</w:t>
      </w:r>
      <w:r w:rsidRPr="008C29F7">
        <w:rPr>
          <w:sz w:val="19"/>
          <w:szCs w:val="19"/>
        </w:rPr>
        <w:t>, 451(7177), p. 431–6.</w:t>
      </w:r>
    </w:p>
    <w:p w14:paraId="54E4971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Cao, H. </w:t>
      </w:r>
      <w:r w:rsidRPr="008C29F7">
        <w:rPr>
          <w:i/>
          <w:sz w:val="19"/>
          <w:szCs w:val="19"/>
        </w:rPr>
        <w:t>et al.</w:t>
      </w:r>
      <w:r w:rsidRPr="008C29F7">
        <w:rPr>
          <w:sz w:val="19"/>
          <w:szCs w:val="19"/>
        </w:rPr>
        <w:t xml:space="preserve"> (2014) Rapid detection of structural variation in a human genome using nanochannel-based genome mapping technology, </w:t>
      </w:r>
      <w:r w:rsidRPr="008C29F7">
        <w:rPr>
          <w:i/>
          <w:sz w:val="19"/>
          <w:szCs w:val="19"/>
        </w:rPr>
        <w:t>GigaScience</w:t>
      </w:r>
      <w:r w:rsidRPr="008C29F7">
        <w:rPr>
          <w:sz w:val="19"/>
          <w:szCs w:val="19"/>
        </w:rPr>
        <w:t xml:space="preserve">, 3(1), p. 34. </w:t>
      </w:r>
    </w:p>
    <w:p w14:paraId="6085F93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Cao, W. </w:t>
      </w:r>
      <w:r w:rsidRPr="008C29F7">
        <w:rPr>
          <w:i/>
          <w:sz w:val="19"/>
          <w:szCs w:val="19"/>
        </w:rPr>
        <w:t>et al.</w:t>
      </w:r>
      <w:r w:rsidRPr="008C29F7">
        <w:rPr>
          <w:sz w:val="19"/>
          <w:szCs w:val="19"/>
        </w:rPr>
        <w:t xml:space="preserve"> (2015) Further observations on serotype 2 Mareks disease virus-induced enhancement of spontaneous avian leukosis virus-like bursal lymphomas in </w:t>
      </w:r>
      <w:r w:rsidRPr="008C29F7">
        <w:rPr>
          <w:i/>
          <w:sz w:val="19"/>
          <w:szCs w:val="19"/>
        </w:rPr>
        <w:t>ALVA6</w:t>
      </w:r>
      <w:r w:rsidRPr="008C29F7">
        <w:rPr>
          <w:sz w:val="19"/>
          <w:szCs w:val="19"/>
        </w:rPr>
        <w:t xml:space="preserve"> transgenic chickens, </w:t>
      </w:r>
      <w:r w:rsidRPr="008C29F7">
        <w:rPr>
          <w:i/>
          <w:sz w:val="19"/>
          <w:szCs w:val="19"/>
        </w:rPr>
        <w:t>Avian Pathology</w:t>
      </w:r>
      <w:r w:rsidRPr="008C29F7">
        <w:rPr>
          <w:sz w:val="19"/>
          <w:szCs w:val="19"/>
        </w:rPr>
        <w:t xml:space="preserve">. Taylor &amp; Francis, 44(1), p. 23–7. </w:t>
      </w:r>
    </w:p>
    <w:p w14:paraId="0EB6B05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Capy, P. (2005) Classification and nomenclature of retrotransposable elements., </w:t>
      </w:r>
      <w:r w:rsidRPr="008C29F7">
        <w:rPr>
          <w:i/>
          <w:sz w:val="19"/>
          <w:szCs w:val="19"/>
        </w:rPr>
        <w:t>Cytogenetic and genome research</w:t>
      </w:r>
      <w:r w:rsidRPr="008C29F7">
        <w:rPr>
          <w:sz w:val="19"/>
          <w:szCs w:val="19"/>
        </w:rPr>
        <w:t xml:space="preserve">, 110, p. 457–61. </w:t>
      </w:r>
    </w:p>
    <w:p w14:paraId="1197A8A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Carbone, L. </w:t>
      </w:r>
      <w:r w:rsidRPr="008C29F7">
        <w:rPr>
          <w:i/>
          <w:sz w:val="19"/>
          <w:szCs w:val="19"/>
        </w:rPr>
        <w:t>et al.</w:t>
      </w:r>
      <w:r w:rsidRPr="008C29F7">
        <w:rPr>
          <w:sz w:val="19"/>
          <w:szCs w:val="19"/>
        </w:rPr>
        <w:t xml:space="preserve"> (2009) Evolutionary breakpoints in the gibbon suggest association between cytosine methylation and karyotype evolution, </w:t>
      </w:r>
      <w:r w:rsidRPr="008C29F7">
        <w:rPr>
          <w:i/>
          <w:sz w:val="19"/>
          <w:szCs w:val="19"/>
        </w:rPr>
        <w:t>PLoS Genetics</w:t>
      </w:r>
      <w:r w:rsidRPr="008C29F7">
        <w:rPr>
          <w:sz w:val="19"/>
          <w:szCs w:val="19"/>
        </w:rPr>
        <w:t xml:space="preserve">, 5(6). </w:t>
      </w:r>
    </w:p>
    <w:p w14:paraId="022E37E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Carré-Eusèbe, D., Coudouel, N. and Magre, S. (2009) OVEX1, a novel chicken endogenous retrovirus with sex-specific and left-right asymmetrical expression in gonads., </w:t>
      </w:r>
      <w:r w:rsidRPr="008C29F7">
        <w:rPr>
          <w:i/>
          <w:sz w:val="19"/>
          <w:szCs w:val="19"/>
        </w:rPr>
        <w:t>Retrovirology</w:t>
      </w:r>
      <w:r w:rsidRPr="008C29F7">
        <w:rPr>
          <w:sz w:val="19"/>
          <w:szCs w:val="19"/>
        </w:rPr>
        <w:t xml:space="preserve">, 6, p. 59. </w:t>
      </w:r>
    </w:p>
    <w:p w14:paraId="42248BD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Cavalier-Smith, T. (2005) Economy, speed and size matter: Evolutionary forces driving nuclear genome miniaturization and expansion, </w:t>
      </w:r>
      <w:r w:rsidRPr="008C29F7">
        <w:rPr>
          <w:i/>
          <w:sz w:val="19"/>
          <w:szCs w:val="19"/>
        </w:rPr>
        <w:t>Annals of Botany</w:t>
      </w:r>
      <w:r w:rsidRPr="008C29F7">
        <w:rPr>
          <w:sz w:val="19"/>
          <w:szCs w:val="19"/>
        </w:rPr>
        <w:t>, 95(1), p. 147–175.</w:t>
      </w:r>
    </w:p>
    <w:p w14:paraId="0F14890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Chaisson, M. J. and Tesler, G. (2012) Mapping single molecule sequencing reads using basic local alignment with successive refinement (BLASR): application and theory., </w:t>
      </w:r>
      <w:r w:rsidRPr="008C29F7">
        <w:rPr>
          <w:i/>
          <w:sz w:val="19"/>
          <w:szCs w:val="19"/>
        </w:rPr>
        <w:t>BMC Bioinformatics</w:t>
      </w:r>
      <w:r w:rsidRPr="008C29F7">
        <w:rPr>
          <w:sz w:val="19"/>
          <w:szCs w:val="19"/>
        </w:rPr>
        <w:t xml:space="preserve">, 13, p. 238. </w:t>
      </w:r>
    </w:p>
    <w:p w14:paraId="21DA841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Chang, C.-M. </w:t>
      </w:r>
      <w:r w:rsidRPr="008C29F7">
        <w:rPr>
          <w:i/>
          <w:sz w:val="19"/>
          <w:szCs w:val="19"/>
        </w:rPr>
        <w:t>et al.</w:t>
      </w:r>
      <w:r w:rsidRPr="008C29F7">
        <w:rPr>
          <w:sz w:val="19"/>
          <w:szCs w:val="19"/>
        </w:rPr>
        <w:t xml:space="preserve"> (2006) Complete association between a retroviral insertion in the tyrosinase gene and the recessive white mutation in chickens., </w:t>
      </w:r>
      <w:r w:rsidRPr="008C29F7">
        <w:rPr>
          <w:i/>
          <w:sz w:val="19"/>
          <w:szCs w:val="19"/>
        </w:rPr>
        <w:t>BMC Genomics</w:t>
      </w:r>
      <w:r w:rsidRPr="008C29F7">
        <w:rPr>
          <w:sz w:val="19"/>
          <w:szCs w:val="19"/>
        </w:rPr>
        <w:t xml:space="preserve">, 7, p. 19. </w:t>
      </w:r>
    </w:p>
    <w:p w14:paraId="5709AA4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Chang, C. M. </w:t>
      </w:r>
      <w:r w:rsidRPr="008C29F7">
        <w:rPr>
          <w:i/>
          <w:sz w:val="19"/>
          <w:szCs w:val="19"/>
        </w:rPr>
        <w:t>et al.</w:t>
      </w:r>
      <w:r w:rsidRPr="008C29F7">
        <w:rPr>
          <w:sz w:val="19"/>
          <w:szCs w:val="19"/>
        </w:rPr>
        <w:t xml:space="preserve"> (2007) Quantitative effects of an intronic retroviral insertion on the transcription of the tyrosinase gene in recessive white chickens, </w:t>
      </w:r>
      <w:r w:rsidRPr="008C29F7">
        <w:rPr>
          <w:i/>
          <w:sz w:val="19"/>
          <w:szCs w:val="19"/>
        </w:rPr>
        <w:t>Animal Genetics</w:t>
      </w:r>
      <w:r w:rsidRPr="008C29F7">
        <w:rPr>
          <w:sz w:val="19"/>
          <w:szCs w:val="19"/>
        </w:rPr>
        <w:t>, 38(2), p. 162–7.</w:t>
      </w:r>
    </w:p>
    <w:p w14:paraId="28D5B29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Chang, S. </w:t>
      </w:r>
      <w:r w:rsidRPr="008C29F7">
        <w:rPr>
          <w:i/>
          <w:sz w:val="19"/>
          <w:szCs w:val="19"/>
        </w:rPr>
        <w:t>et al.</w:t>
      </w:r>
      <w:r w:rsidRPr="008C29F7">
        <w:rPr>
          <w:sz w:val="19"/>
          <w:szCs w:val="19"/>
        </w:rPr>
        <w:t xml:space="preserve"> (2015) Genetic susceptibility to and presence of endogenous avian leukosis viruses impose no significant impact on survival days of chickens challenged with very virulent plus Marek’s disease virus, </w:t>
      </w:r>
      <w:r w:rsidRPr="008C29F7">
        <w:rPr>
          <w:i/>
          <w:sz w:val="19"/>
          <w:szCs w:val="19"/>
        </w:rPr>
        <w:t>Annals of Virology and Research</w:t>
      </w:r>
      <w:r w:rsidRPr="008C29F7">
        <w:rPr>
          <w:sz w:val="19"/>
          <w:szCs w:val="19"/>
        </w:rPr>
        <w:t>, 1(2), p. 1007.</w:t>
      </w:r>
    </w:p>
    <w:p w14:paraId="29322EE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Chaparro, C. </w:t>
      </w:r>
      <w:r w:rsidRPr="008C29F7">
        <w:rPr>
          <w:i/>
          <w:sz w:val="19"/>
          <w:szCs w:val="19"/>
        </w:rPr>
        <w:t>et al.</w:t>
      </w:r>
      <w:r w:rsidRPr="008C29F7">
        <w:rPr>
          <w:sz w:val="19"/>
          <w:szCs w:val="19"/>
        </w:rPr>
        <w:t xml:space="preserve"> (2007) RetrOryza: A database of the rice LTR-retrotransposons, </w:t>
      </w:r>
      <w:r w:rsidRPr="008C29F7">
        <w:rPr>
          <w:i/>
          <w:sz w:val="19"/>
          <w:szCs w:val="19"/>
        </w:rPr>
        <w:t>Nucleic Acids Research</w:t>
      </w:r>
      <w:r w:rsidRPr="008C29F7">
        <w:rPr>
          <w:sz w:val="19"/>
          <w:szCs w:val="19"/>
        </w:rPr>
        <w:t xml:space="preserve">, 35, p. 66–70. </w:t>
      </w:r>
    </w:p>
    <w:p w14:paraId="053EA6D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Charlesworth, B. (2009) Effective population size and patterns of molecular evolution and variation, </w:t>
      </w:r>
      <w:r w:rsidRPr="008C29F7">
        <w:rPr>
          <w:i/>
          <w:sz w:val="19"/>
          <w:szCs w:val="19"/>
        </w:rPr>
        <w:t>Nature Reviews Genetics</w:t>
      </w:r>
      <w:r w:rsidRPr="008C29F7">
        <w:rPr>
          <w:sz w:val="19"/>
          <w:szCs w:val="19"/>
        </w:rPr>
        <w:t>, 10(3), p. 195–205.</w:t>
      </w:r>
    </w:p>
    <w:p w14:paraId="4F936C2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Chen, W. </w:t>
      </w:r>
      <w:r w:rsidRPr="008C29F7">
        <w:rPr>
          <w:i/>
          <w:sz w:val="19"/>
          <w:szCs w:val="19"/>
        </w:rPr>
        <w:t>et al.</w:t>
      </w:r>
      <w:r w:rsidRPr="008C29F7">
        <w:rPr>
          <w:sz w:val="19"/>
          <w:szCs w:val="19"/>
        </w:rPr>
        <w:t xml:space="preserve"> (2014) Polymorphism of Avian Leukosis Virus Subgroup E Loci Showing Selective Footprints in Chicken, </w:t>
      </w:r>
      <w:r w:rsidRPr="008C29F7">
        <w:rPr>
          <w:i/>
          <w:sz w:val="19"/>
          <w:szCs w:val="19"/>
        </w:rPr>
        <w:t>Biochemical Genetics</w:t>
      </w:r>
      <w:r w:rsidRPr="008C29F7">
        <w:rPr>
          <w:sz w:val="19"/>
          <w:szCs w:val="19"/>
        </w:rPr>
        <w:t>, 52(11–12), p. 524–37.</w:t>
      </w:r>
    </w:p>
    <w:p w14:paraId="65A9238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Chen, Y. </w:t>
      </w:r>
      <w:r w:rsidRPr="008C29F7">
        <w:rPr>
          <w:i/>
          <w:sz w:val="19"/>
          <w:szCs w:val="19"/>
        </w:rPr>
        <w:t>et al.</w:t>
      </w:r>
      <w:r w:rsidRPr="008C29F7">
        <w:rPr>
          <w:sz w:val="19"/>
          <w:szCs w:val="19"/>
        </w:rPr>
        <w:t xml:space="preserve"> (2013) VirusSeq: software to identify viruses and their integration sites using next-generation sequencing of human cancer tissue., </w:t>
      </w:r>
      <w:r w:rsidRPr="008C29F7">
        <w:rPr>
          <w:i/>
          <w:sz w:val="19"/>
          <w:szCs w:val="19"/>
        </w:rPr>
        <w:t>Bioinformatics</w:t>
      </w:r>
      <w:r w:rsidRPr="008C29F7">
        <w:rPr>
          <w:sz w:val="19"/>
          <w:szCs w:val="19"/>
        </w:rPr>
        <w:t>, 29(2), p. 266–7.</w:t>
      </w:r>
    </w:p>
    <w:p w14:paraId="24C3F81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Chesters, P. M. </w:t>
      </w:r>
      <w:r w:rsidRPr="008C29F7">
        <w:rPr>
          <w:i/>
          <w:sz w:val="19"/>
          <w:szCs w:val="19"/>
        </w:rPr>
        <w:t>et al.</w:t>
      </w:r>
      <w:r w:rsidRPr="008C29F7">
        <w:rPr>
          <w:sz w:val="19"/>
          <w:szCs w:val="19"/>
        </w:rPr>
        <w:t xml:space="preserve"> (2001) Acutely Transforming Avian Leukosis Virus Subgroup J Strain 966: Defective Genome Encodes a 72-Kilodalton Gag-Myc Fusion Protein, </w:t>
      </w:r>
      <w:r w:rsidRPr="008C29F7">
        <w:rPr>
          <w:i/>
          <w:sz w:val="19"/>
          <w:szCs w:val="19"/>
        </w:rPr>
        <w:t>Journal of Virology</w:t>
      </w:r>
      <w:r w:rsidRPr="008C29F7">
        <w:rPr>
          <w:sz w:val="19"/>
          <w:szCs w:val="19"/>
        </w:rPr>
        <w:t>, 75(9), p. 4219–25.</w:t>
      </w:r>
    </w:p>
    <w:p w14:paraId="0D103C6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Chiu, Y.-L. and Greene, W. C. (2008) The APOBEC3 cytidine deaminases: an innate defensive network opposing exogenous retroviruses and endogenous retroelements., </w:t>
      </w:r>
      <w:r w:rsidRPr="008C29F7">
        <w:rPr>
          <w:i/>
          <w:sz w:val="19"/>
          <w:szCs w:val="19"/>
        </w:rPr>
        <w:t>Annual review of immunology</w:t>
      </w:r>
      <w:r w:rsidRPr="008C29F7">
        <w:rPr>
          <w:sz w:val="19"/>
          <w:szCs w:val="19"/>
        </w:rPr>
        <w:t xml:space="preserve">, 26, p. 317–53. </w:t>
      </w:r>
    </w:p>
    <w:p w14:paraId="42E9226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Chung, H.-C. </w:t>
      </w:r>
      <w:r w:rsidRPr="008C29F7">
        <w:rPr>
          <w:i/>
          <w:sz w:val="19"/>
          <w:szCs w:val="19"/>
        </w:rPr>
        <w:t>et al.</w:t>
      </w:r>
      <w:r w:rsidRPr="008C29F7">
        <w:rPr>
          <w:sz w:val="19"/>
          <w:szCs w:val="19"/>
        </w:rPr>
        <w:t xml:space="preserve"> (2014) Inhibition of porcine endogenous retrovirus in PK15 cell line by efficient multitargeting RNA interference., </w:t>
      </w:r>
      <w:r w:rsidRPr="008C29F7">
        <w:rPr>
          <w:i/>
          <w:sz w:val="19"/>
          <w:szCs w:val="19"/>
        </w:rPr>
        <w:t>Transplant international</w:t>
      </w:r>
      <w:r w:rsidRPr="008C29F7">
        <w:rPr>
          <w:sz w:val="19"/>
          <w:szCs w:val="19"/>
        </w:rPr>
        <w:t xml:space="preserve">, 27(1), p. 96–105. </w:t>
      </w:r>
    </w:p>
    <w:p w14:paraId="04DA19C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Chuong, E. B. </w:t>
      </w:r>
      <w:r w:rsidRPr="008C29F7">
        <w:rPr>
          <w:i/>
          <w:sz w:val="19"/>
          <w:szCs w:val="19"/>
        </w:rPr>
        <w:t>et al.</w:t>
      </w:r>
      <w:r w:rsidRPr="008C29F7">
        <w:rPr>
          <w:sz w:val="19"/>
          <w:szCs w:val="19"/>
        </w:rPr>
        <w:t xml:space="preserve"> (2013) Endogenous retroviruses function as species-specific enhancer elements in the placenta., </w:t>
      </w:r>
      <w:r w:rsidRPr="008C29F7">
        <w:rPr>
          <w:i/>
          <w:sz w:val="19"/>
          <w:szCs w:val="19"/>
        </w:rPr>
        <w:t>Nature Genetics</w:t>
      </w:r>
      <w:r w:rsidRPr="008C29F7">
        <w:rPr>
          <w:sz w:val="19"/>
          <w:szCs w:val="19"/>
        </w:rPr>
        <w:t xml:space="preserve">, 45(3), p. 325–9. </w:t>
      </w:r>
    </w:p>
    <w:p w14:paraId="3E1C600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Coffin, J. M. </w:t>
      </w:r>
      <w:r w:rsidRPr="008C29F7">
        <w:rPr>
          <w:i/>
          <w:sz w:val="19"/>
          <w:szCs w:val="19"/>
        </w:rPr>
        <w:t>et al.</w:t>
      </w:r>
      <w:r w:rsidRPr="008C29F7">
        <w:rPr>
          <w:sz w:val="19"/>
          <w:szCs w:val="19"/>
        </w:rPr>
        <w:t xml:space="preserve"> (1983) Genomes of endogenous and exogenous avian retroviruses., </w:t>
      </w:r>
      <w:r w:rsidRPr="008C29F7">
        <w:rPr>
          <w:i/>
          <w:sz w:val="19"/>
          <w:szCs w:val="19"/>
        </w:rPr>
        <w:t>Virology</w:t>
      </w:r>
      <w:r w:rsidRPr="008C29F7">
        <w:rPr>
          <w:sz w:val="19"/>
          <w:szCs w:val="19"/>
        </w:rPr>
        <w:t>, 126(1), p. 51–72.</w:t>
      </w:r>
    </w:p>
    <w:p w14:paraId="619DD4B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Cohen, C. J., Lock, W. M. and Mager, D. L. (2009) Endogenous retroviral LTRs as promoters for human genes: a critical assessment., </w:t>
      </w:r>
      <w:r w:rsidRPr="008C29F7">
        <w:rPr>
          <w:i/>
          <w:sz w:val="19"/>
          <w:szCs w:val="19"/>
        </w:rPr>
        <w:t>Gene</w:t>
      </w:r>
      <w:r w:rsidRPr="008C29F7">
        <w:rPr>
          <w:sz w:val="19"/>
          <w:szCs w:val="19"/>
        </w:rPr>
        <w:t>, 448(2), p. 105–14.</w:t>
      </w:r>
    </w:p>
    <w:p w14:paraId="7EF69CA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Cole, R. K. (1966) Hereditary Hypothyroidism in the Domestic Fowl, </w:t>
      </w:r>
      <w:r w:rsidRPr="008C29F7">
        <w:rPr>
          <w:i/>
          <w:sz w:val="19"/>
          <w:szCs w:val="19"/>
        </w:rPr>
        <w:t>Genetics</w:t>
      </w:r>
      <w:r w:rsidRPr="008C29F7">
        <w:rPr>
          <w:sz w:val="19"/>
          <w:szCs w:val="19"/>
        </w:rPr>
        <w:t>, 53, p. 1021–1033.</w:t>
      </w:r>
    </w:p>
    <w:p w14:paraId="55E50F5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Conklin, K. (1991) Activation of an endogenous retrovirus enhancer by insertion into a heterologous context., </w:t>
      </w:r>
      <w:r w:rsidRPr="008C29F7">
        <w:rPr>
          <w:i/>
          <w:sz w:val="19"/>
          <w:szCs w:val="19"/>
        </w:rPr>
        <w:t>Journal of Virology</w:t>
      </w:r>
      <w:r w:rsidRPr="008C29F7">
        <w:rPr>
          <w:sz w:val="19"/>
          <w:szCs w:val="19"/>
        </w:rPr>
        <w:t>, 65(5), p. 2525–32.</w:t>
      </w:r>
    </w:p>
    <w:p w14:paraId="4F8A072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Conklin, K. F. </w:t>
      </w:r>
      <w:r w:rsidRPr="008C29F7">
        <w:rPr>
          <w:i/>
          <w:sz w:val="19"/>
          <w:szCs w:val="19"/>
        </w:rPr>
        <w:t>et al.</w:t>
      </w:r>
      <w:r w:rsidRPr="008C29F7">
        <w:rPr>
          <w:sz w:val="19"/>
          <w:szCs w:val="19"/>
        </w:rPr>
        <w:t xml:space="preserve"> (1982) Role of methylation in the induced and spontaneous expression of the avian endogenous virus ev-1: DNA structure and gene products, </w:t>
      </w:r>
      <w:r w:rsidRPr="008C29F7">
        <w:rPr>
          <w:i/>
          <w:sz w:val="19"/>
          <w:szCs w:val="19"/>
        </w:rPr>
        <w:t>Molecular Cell Biology</w:t>
      </w:r>
      <w:r w:rsidRPr="008C29F7">
        <w:rPr>
          <w:sz w:val="19"/>
          <w:szCs w:val="19"/>
        </w:rPr>
        <w:t>, 2, p. 638–52</w:t>
      </w:r>
    </w:p>
    <w:p w14:paraId="7D41EDE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Cordaux, R. and Batzer, M. a (2009) The impact of retrotransposons on human genome evolution., </w:t>
      </w:r>
      <w:r w:rsidRPr="008C29F7">
        <w:rPr>
          <w:i/>
          <w:sz w:val="19"/>
          <w:szCs w:val="19"/>
        </w:rPr>
        <w:t>Nature Reviews Genetics</w:t>
      </w:r>
      <w:r w:rsidRPr="008C29F7">
        <w:rPr>
          <w:sz w:val="19"/>
          <w:szCs w:val="19"/>
        </w:rPr>
        <w:t xml:space="preserve">, 10(10), p. 691–703. </w:t>
      </w:r>
    </w:p>
    <w:p w14:paraId="6550F60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Crittenden, L. B., Smith, E. J. and Fadly, A. M. (1984) Influence of endogenous viral (ev) gene expression and strain of exogenous avian leukosis virus (ALV) on mortality and ALV infection and shedding in chickens., </w:t>
      </w:r>
      <w:r w:rsidRPr="008C29F7">
        <w:rPr>
          <w:i/>
          <w:sz w:val="19"/>
          <w:szCs w:val="19"/>
        </w:rPr>
        <w:t>Avian diseases</w:t>
      </w:r>
      <w:r w:rsidRPr="008C29F7">
        <w:rPr>
          <w:sz w:val="19"/>
          <w:szCs w:val="19"/>
        </w:rPr>
        <w:t xml:space="preserve">, 28(4), p. 1037–56. </w:t>
      </w:r>
    </w:p>
    <w:p w14:paraId="6DFC855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Cui, J. </w:t>
      </w:r>
      <w:r w:rsidRPr="008C29F7">
        <w:rPr>
          <w:i/>
          <w:sz w:val="19"/>
          <w:szCs w:val="19"/>
        </w:rPr>
        <w:t>et al.</w:t>
      </w:r>
      <w:r w:rsidRPr="008C29F7">
        <w:rPr>
          <w:sz w:val="19"/>
          <w:szCs w:val="19"/>
        </w:rPr>
        <w:t xml:space="preserve"> (2014) Low frequency of paleoviral infiltration across the avian phylogeny, </w:t>
      </w:r>
      <w:r w:rsidRPr="008C29F7">
        <w:rPr>
          <w:i/>
          <w:sz w:val="19"/>
          <w:szCs w:val="19"/>
        </w:rPr>
        <w:t>Genome Biology</w:t>
      </w:r>
      <w:r w:rsidRPr="008C29F7">
        <w:rPr>
          <w:sz w:val="19"/>
          <w:szCs w:val="19"/>
        </w:rPr>
        <w:t xml:space="preserve">, 15(12), p. 539. </w:t>
      </w:r>
    </w:p>
    <w:p w14:paraId="0B958B3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Cusack, B. P. and Wolfe, K. H. (2007) Not born equal: Increased rate asymmetry in relocated and retrotransposed rodent gene duplicates, </w:t>
      </w:r>
      <w:r w:rsidRPr="008C29F7">
        <w:rPr>
          <w:i/>
          <w:sz w:val="19"/>
          <w:szCs w:val="19"/>
        </w:rPr>
        <w:t>Molecular Biology and Evolution</w:t>
      </w:r>
      <w:r w:rsidRPr="008C29F7">
        <w:rPr>
          <w:sz w:val="19"/>
          <w:szCs w:val="19"/>
        </w:rPr>
        <w:t>, 24(3), p. 679–86</w:t>
      </w:r>
    </w:p>
    <w:p w14:paraId="030B9B9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D’Souza-Li, L. (2006) The calcium-sensing receptor and related diseases, </w:t>
      </w:r>
      <w:r w:rsidRPr="008C29F7">
        <w:rPr>
          <w:i/>
          <w:sz w:val="19"/>
          <w:szCs w:val="19"/>
        </w:rPr>
        <w:t>Journal for the Brazilian Society of Endocrinology and Metabolism</w:t>
      </w:r>
      <w:r w:rsidRPr="008C29F7">
        <w:rPr>
          <w:sz w:val="19"/>
          <w:szCs w:val="19"/>
        </w:rPr>
        <w:t>, 50(4), p. 628–39.</w:t>
      </w:r>
    </w:p>
    <w:p w14:paraId="6F5C05E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Dalloul, R. A </w:t>
      </w:r>
      <w:r w:rsidRPr="008C29F7">
        <w:rPr>
          <w:i/>
          <w:sz w:val="19"/>
          <w:szCs w:val="19"/>
        </w:rPr>
        <w:t>et al.</w:t>
      </w:r>
      <w:r w:rsidRPr="008C29F7">
        <w:rPr>
          <w:sz w:val="19"/>
          <w:szCs w:val="19"/>
        </w:rPr>
        <w:t xml:space="preserve"> (2010) Multi-platform next-generation sequencing of the domestic turkey (</w:t>
      </w:r>
      <w:r w:rsidRPr="008C29F7">
        <w:rPr>
          <w:i/>
          <w:sz w:val="19"/>
          <w:szCs w:val="19"/>
        </w:rPr>
        <w:t>Meleagris gallopav</w:t>
      </w:r>
      <w:r w:rsidRPr="008C29F7">
        <w:rPr>
          <w:sz w:val="19"/>
          <w:szCs w:val="19"/>
        </w:rPr>
        <w:t xml:space="preserve">o): genome assembly and analysis., </w:t>
      </w:r>
      <w:r w:rsidRPr="008C29F7">
        <w:rPr>
          <w:i/>
          <w:sz w:val="19"/>
          <w:szCs w:val="19"/>
        </w:rPr>
        <w:t>PLoS biology</w:t>
      </w:r>
      <w:r w:rsidRPr="008C29F7">
        <w:rPr>
          <w:sz w:val="19"/>
          <w:szCs w:val="19"/>
        </w:rPr>
        <w:t xml:space="preserve">, 8(9). </w:t>
      </w:r>
    </w:p>
    <w:p w14:paraId="385B754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Dawson, D. A. </w:t>
      </w:r>
      <w:r w:rsidRPr="008C29F7">
        <w:rPr>
          <w:i/>
          <w:sz w:val="19"/>
          <w:szCs w:val="19"/>
        </w:rPr>
        <w:t>et al.</w:t>
      </w:r>
      <w:r w:rsidRPr="008C29F7">
        <w:rPr>
          <w:sz w:val="19"/>
          <w:szCs w:val="19"/>
        </w:rPr>
        <w:t xml:space="preserve"> (2007) Gene order and recombination rate in homologous chromosome regions of the chicken and a passerine bird., </w:t>
      </w:r>
      <w:r w:rsidRPr="008C29F7">
        <w:rPr>
          <w:i/>
          <w:sz w:val="19"/>
          <w:szCs w:val="19"/>
        </w:rPr>
        <w:t>Molecular Biology and Evolution</w:t>
      </w:r>
      <w:r w:rsidRPr="008C29F7">
        <w:rPr>
          <w:sz w:val="19"/>
          <w:szCs w:val="19"/>
        </w:rPr>
        <w:t xml:space="preserve">, 24(7), p. 1537–52. </w:t>
      </w:r>
    </w:p>
    <w:p w14:paraId="27AE965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Delany, M. </w:t>
      </w:r>
      <w:r w:rsidRPr="008C29F7">
        <w:rPr>
          <w:i/>
          <w:sz w:val="19"/>
          <w:szCs w:val="19"/>
        </w:rPr>
        <w:t>et al.</w:t>
      </w:r>
      <w:r w:rsidRPr="008C29F7">
        <w:rPr>
          <w:sz w:val="19"/>
          <w:szCs w:val="19"/>
        </w:rPr>
        <w:t xml:space="preserve"> (2003) Telomeres in the chicken: genome stability and chromosome ends, </w:t>
      </w:r>
      <w:r w:rsidRPr="008C29F7">
        <w:rPr>
          <w:i/>
          <w:sz w:val="19"/>
          <w:szCs w:val="19"/>
        </w:rPr>
        <w:t>Poultry Science</w:t>
      </w:r>
      <w:r w:rsidRPr="008C29F7">
        <w:rPr>
          <w:sz w:val="19"/>
          <w:szCs w:val="19"/>
        </w:rPr>
        <w:t xml:space="preserve">, 82, p. 917–26. </w:t>
      </w:r>
    </w:p>
    <w:p w14:paraId="6FCA128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Delcher, A. L. </w:t>
      </w:r>
      <w:r w:rsidRPr="008C29F7">
        <w:rPr>
          <w:i/>
          <w:sz w:val="19"/>
          <w:szCs w:val="19"/>
        </w:rPr>
        <w:t>et al.</w:t>
      </w:r>
      <w:r w:rsidRPr="008C29F7">
        <w:rPr>
          <w:sz w:val="19"/>
          <w:szCs w:val="19"/>
        </w:rPr>
        <w:t xml:space="preserve"> (2007) Identifying bacterial genes and endosymbiont DNA with Glimmer, </w:t>
      </w:r>
      <w:r w:rsidRPr="008C29F7">
        <w:rPr>
          <w:i/>
          <w:sz w:val="19"/>
          <w:szCs w:val="19"/>
        </w:rPr>
        <w:t>Bioinformatics</w:t>
      </w:r>
      <w:r w:rsidRPr="008C29F7">
        <w:rPr>
          <w:sz w:val="19"/>
          <w:szCs w:val="19"/>
        </w:rPr>
        <w:t xml:space="preserve">, 23(6), p. 673–9. </w:t>
      </w:r>
    </w:p>
    <w:p w14:paraId="36364C4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Desfarges, S. and Ciuffi, A. (2010) Retroviral integration site selection., </w:t>
      </w:r>
      <w:r w:rsidRPr="008C29F7">
        <w:rPr>
          <w:i/>
          <w:sz w:val="19"/>
          <w:szCs w:val="19"/>
        </w:rPr>
        <w:t>Viruses</w:t>
      </w:r>
      <w:r w:rsidRPr="008C29F7">
        <w:rPr>
          <w:sz w:val="19"/>
          <w:szCs w:val="19"/>
        </w:rPr>
        <w:t xml:space="preserve">, 2(1), p. 111–30. </w:t>
      </w:r>
    </w:p>
    <w:p w14:paraId="5C18AA9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Dimcheff, D. and Drovetski, S. (2000) Cospeciation and horizontal transmission of avian sarcoma and leukosis virus gag genes in galliform birds, </w:t>
      </w:r>
      <w:r w:rsidRPr="008C29F7">
        <w:rPr>
          <w:i/>
          <w:sz w:val="19"/>
          <w:szCs w:val="19"/>
        </w:rPr>
        <w:t>Journal of Virology</w:t>
      </w:r>
      <w:r w:rsidRPr="008C29F7">
        <w:rPr>
          <w:sz w:val="19"/>
          <w:szCs w:val="19"/>
        </w:rPr>
        <w:t xml:space="preserve">, 74(9), p. 3984–95. </w:t>
      </w:r>
    </w:p>
    <w:p w14:paraId="39552D2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Dimcheff, D., Krishnan, M. and Mindell, D. (2001) Evolution and characterization of tetraonine endogenous retrovirus: a new virus related to avian sarcoma and leukosis viruses, </w:t>
      </w:r>
      <w:r w:rsidRPr="008C29F7">
        <w:rPr>
          <w:i/>
          <w:sz w:val="19"/>
          <w:szCs w:val="19"/>
        </w:rPr>
        <w:t>Journal of Virology</w:t>
      </w:r>
      <w:r w:rsidRPr="008C29F7">
        <w:rPr>
          <w:sz w:val="19"/>
          <w:szCs w:val="19"/>
        </w:rPr>
        <w:t>, 75(4), p. 2002–9.</w:t>
      </w:r>
    </w:p>
    <w:p w14:paraId="13B3451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Dimitrov, L. </w:t>
      </w:r>
      <w:r w:rsidRPr="008C29F7">
        <w:rPr>
          <w:i/>
          <w:sz w:val="19"/>
          <w:szCs w:val="19"/>
        </w:rPr>
        <w:t>et al.</w:t>
      </w:r>
      <w:r w:rsidRPr="008C29F7">
        <w:rPr>
          <w:sz w:val="19"/>
          <w:szCs w:val="19"/>
        </w:rPr>
        <w:t xml:space="preserve"> (2016) Germline gene editing in chickens by efficient crispr-mediated homologous recombination in primordial germ cells, </w:t>
      </w:r>
      <w:r w:rsidRPr="008C29F7">
        <w:rPr>
          <w:i/>
          <w:sz w:val="19"/>
          <w:szCs w:val="19"/>
        </w:rPr>
        <w:t>PLoS ONE</w:t>
      </w:r>
      <w:r w:rsidRPr="008C29F7">
        <w:rPr>
          <w:sz w:val="19"/>
          <w:szCs w:val="19"/>
        </w:rPr>
        <w:t xml:space="preserve">, 11(4), p. 1–10. </w:t>
      </w:r>
    </w:p>
    <w:p w14:paraId="5F6EFF4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Doolittle, R. and Feng, D. (1989) Origins and evolutionary relationships of retroviruses, </w:t>
      </w:r>
      <w:r w:rsidRPr="008C29F7">
        <w:rPr>
          <w:i/>
          <w:sz w:val="19"/>
          <w:szCs w:val="19"/>
        </w:rPr>
        <w:t>Quarterly Review of Biology</w:t>
      </w:r>
      <w:r w:rsidRPr="008C29F7">
        <w:rPr>
          <w:sz w:val="19"/>
          <w:szCs w:val="19"/>
        </w:rPr>
        <w:t xml:space="preserve">, 64(1), p. 1–30. </w:t>
      </w:r>
    </w:p>
    <w:p w14:paraId="4043A11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Dorus, S. </w:t>
      </w:r>
      <w:r w:rsidRPr="008C29F7">
        <w:rPr>
          <w:i/>
          <w:sz w:val="19"/>
          <w:szCs w:val="19"/>
        </w:rPr>
        <w:t>et al.</w:t>
      </w:r>
      <w:r w:rsidRPr="008C29F7">
        <w:rPr>
          <w:sz w:val="19"/>
          <w:szCs w:val="19"/>
        </w:rPr>
        <w:t xml:space="preserve"> (2008) Recent origins of sperm genes in Drosophila, </w:t>
      </w:r>
      <w:r w:rsidRPr="008C29F7">
        <w:rPr>
          <w:i/>
          <w:sz w:val="19"/>
          <w:szCs w:val="19"/>
        </w:rPr>
        <w:t>Molecular Biology and Evolution</w:t>
      </w:r>
      <w:r w:rsidRPr="008C29F7">
        <w:rPr>
          <w:sz w:val="19"/>
          <w:szCs w:val="19"/>
        </w:rPr>
        <w:t>, 25(10), p. 2157–66.</w:t>
      </w:r>
    </w:p>
    <w:p w14:paraId="7D8854A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Dunn, C. </w:t>
      </w:r>
      <w:r w:rsidRPr="008C29F7">
        <w:rPr>
          <w:i/>
          <w:sz w:val="19"/>
          <w:szCs w:val="19"/>
        </w:rPr>
        <w:t>et al.</w:t>
      </w:r>
      <w:r w:rsidRPr="008C29F7">
        <w:rPr>
          <w:sz w:val="19"/>
          <w:szCs w:val="19"/>
        </w:rPr>
        <w:t xml:space="preserve"> (2005) Endogenous retrovirus long terminal repeats as ready-to-use mobile promoters: the case of primate beta3GAL-T5., </w:t>
      </w:r>
      <w:r w:rsidRPr="008C29F7">
        <w:rPr>
          <w:i/>
          <w:sz w:val="19"/>
          <w:szCs w:val="19"/>
        </w:rPr>
        <w:t>Gene</w:t>
      </w:r>
      <w:r w:rsidRPr="008C29F7">
        <w:rPr>
          <w:sz w:val="19"/>
          <w:szCs w:val="19"/>
        </w:rPr>
        <w:t xml:space="preserve">, 364, p. 2–12. </w:t>
      </w:r>
    </w:p>
    <w:p w14:paraId="7223C42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Dunn, C. </w:t>
      </w:r>
      <w:r w:rsidRPr="008C29F7">
        <w:rPr>
          <w:i/>
          <w:sz w:val="19"/>
          <w:szCs w:val="19"/>
        </w:rPr>
        <w:t>et al.</w:t>
      </w:r>
      <w:r w:rsidRPr="008C29F7">
        <w:rPr>
          <w:sz w:val="19"/>
          <w:szCs w:val="19"/>
        </w:rPr>
        <w:t xml:space="preserve"> (2006) Transcription of two human genes from a bidirectional endogenous retrovirus promoter., </w:t>
      </w:r>
      <w:r w:rsidRPr="008C29F7">
        <w:rPr>
          <w:i/>
          <w:sz w:val="19"/>
          <w:szCs w:val="19"/>
        </w:rPr>
        <w:t>Gene</w:t>
      </w:r>
      <w:r w:rsidRPr="008C29F7">
        <w:rPr>
          <w:sz w:val="19"/>
          <w:szCs w:val="19"/>
        </w:rPr>
        <w:t>, 366(2), p. 335–42.</w:t>
      </w:r>
    </w:p>
    <w:p w14:paraId="612935B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Dunnington, E. a and Siegel, P. B. (1996) Long-term divergent selection for eight-week body weight in white Plymouth rock chickens., </w:t>
      </w:r>
      <w:r w:rsidRPr="008C29F7">
        <w:rPr>
          <w:i/>
          <w:sz w:val="19"/>
          <w:szCs w:val="19"/>
        </w:rPr>
        <w:t>Poultry Science</w:t>
      </w:r>
      <w:r w:rsidRPr="008C29F7">
        <w:rPr>
          <w:sz w:val="19"/>
          <w:szCs w:val="19"/>
        </w:rPr>
        <w:t xml:space="preserve">, 75(10), p. 1168–79. </w:t>
      </w:r>
    </w:p>
    <w:p w14:paraId="04FF22E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Dupressoir, A. </w:t>
      </w:r>
      <w:r w:rsidRPr="008C29F7">
        <w:rPr>
          <w:i/>
          <w:sz w:val="19"/>
          <w:szCs w:val="19"/>
        </w:rPr>
        <w:t>et al.</w:t>
      </w:r>
      <w:r w:rsidRPr="008C29F7">
        <w:rPr>
          <w:sz w:val="19"/>
          <w:szCs w:val="19"/>
        </w:rPr>
        <w:t xml:space="preserve"> (2009) Syncytin-A knockout mice demonstrate the critical role in placentation of a fusogenic, endogenous retrovirus-derived, envelope gene, </w:t>
      </w:r>
      <w:r w:rsidRPr="008C29F7">
        <w:rPr>
          <w:i/>
          <w:sz w:val="19"/>
          <w:szCs w:val="19"/>
        </w:rPr>
        <w:t>PNAS</w:t>
      </w:r>
      <w:r w:rsidRPr="008C29F7">
        <w:rPr>
          <w:sz w:val="19"/>
          <w:szCs w:val="19"/>
        </w:rPr>
        <w:t xml:space="preserve">, 106(29), p. 12127–32. </w:t>
      </w:r>
    </w:p>
    <w:p w14:paraId="4AE999F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Eddy, S. R. (2009) A New Generation of Homology Search Tools Based on Probabilistic Inference, </w:t>
      </w:r>
      <w:r w:rsidRPr="008C29F7">
        <w:rPr>
          <w:i/>
          <w:sz w:val="19"/>
          <w:szCs w:val="19"/>
        </w:rPr>
        <w:t>Genome Informatics</w:t>
      </w:r>
      <w:r w:rsidRPr="008C29F7">
        <w:rPr>
          <w:sz w:val="19"/>
          <w:szCs w:val="19"/>
        </w:rPr>
        <w:t>, 23(1), p. 205–11.</w:t>
      </w:r>
    </w:p>
    <w:p w14:paraId="7EC50B4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Edgar, R. C. (2004) MUSCLE: multiple sequence alignment with high accuracy and high throughput., </w:t>
      </w:r>
      <w:r w:rsidRPr="008C29F7">
        <w:rPr>
          <w:i/>
          <w:sz w:val="19"/>
          <w:szCs w:val="19"/>
        </w:rPr>
        <w:t>Nucleic Acids Research</w:t>
      </w:r>
      <w:r w:rsidRPr="008C29F7">
        <w:rPr>
          <w:sz w:val="19"/>
          <w:szCs w:val="19"/>
        </w:rPr>
        <w:t xml:space="preserve">, 32(5), p. 1792–7. </w:t>
      </w:r>
    </w:p>
    <w:p w14:paraId="684E552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Ekarius, C. (2007) </w:t>
      </w:r>
      <w:r w:rsidRPr="008C29F7">
        <w:rPr>
          <w:i/>
          <w:sz w:val="19"/>
          <w:szCs w:val="19"/>
        </w:rPr>
        <w:t>Storeys Illustrated Guide to Poultry Breeds</w:t>
      </w:r>
      <w:r w:rsidRPr="008C29F7">
        <w:rPr>
          <w:sz w:val="19"/>
          <w:szCs w:val="19"/>
        </w:rPr>
        <w:t>. Storey Publishing.</w:t>
      </w:r>
    </w:p>
    <w:p w14:paraId="202548A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Elferink, M. </w:t>
      </w:r>
      <w:r w:rsidRPr="008C29F7">
        <w:rPr>
          <w:i/>
          <w:sz w:val="19"/>
          <w:szCs w:val="19"/>
        </w:rPr>
        <w:t>et al.</w:t>
      </w:r>
      <w:r w:rsidRPr="008C29F7">
        <w:rPr>
          <w:sz w:val="19"/>
          <w:szCs w:val="19"/>
        </w:rPr>
        <w:t xml:space="preserve"> (2010) Regional differences in recombination hotspots between two chicken populations, </w:t>
      </w:r>
      <w:r w:rsidRPr="008C29F7">
        <w:rPr>
          <w:i/>
          <w:sz w:val="19"/>
          <w:szCs w:val="19"/>
        </w:rPr>
        <w:t>BMC Genetics</w:t>
      </w:r>
      <w:r w:rsidRPr="008C29F7">
        <w:rPr>
          <w:sz w:val="19"/>
          <w:szCs w:val="19"/>
        </w:rPr>
        <w:t xml:space="preserve">, 11(11). </w:t>
      </w:r>
    </w:p>
    <w:p w14:paraId="516205B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Elferink, M. G. </w:t>
      </w:r>
      <w:r w:rsidRPr="008C29F7">
        <w:rPr>
          <w:i/>
          <w:sz w:val="19"/>
          <w:szCs w:val="19"/>
        </w:rPr>
        <w:t>et al.</w:t>
      </w:r>
      <w:r w:rsidRPr="008C29F7">
        <w:rPr>
          <w:sz w:val="19"/>
          <w:szCs w:val="19"/>
        </w:rPr>
        <w:t xml:space="preserve"> (2008) Partial duplication of the PRLR and SPEF2 genes at the late feathering locus in chicken., </w:t>
      </w:r>
      <w:r w:rsidRPr="008C29F7">
        <w:rPr>
          <w:i/>
          <w:sz w:val="19"/>
          <w:szCs w:val="19"/>
        </w:rPr>
        <w:t>BMC Genomics</w:t>
      </w:r>
      <w:r w:rsidRPr="008C29F7">
        <w:rPr>
          <w:sz w:val="19"/>
          <w:szCs w:val="19"/>
        </w:rPr>
        <w:t xml:space="preserve">, 9, p. 391. </w:t>
      </w:r>
    </w:p>
    <w:p w14:paraId="38811FE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Ellegren, H. (2005) The avian genome uncovered., </w:t>
      </w:r>
      <w:r w:rsidRPr="008C29F7">
        <w:rPr>
          <w:i/>
          <w:sz w:val="19"/>
          <w:szCs w:val="19"/>
        </w:rPr>
        <w:t>Trends in ecology &amp; evolution</w:t>
      </w:r>
      <w:r w:rsidRPr="008C29F7">
        <w:rPr>
          <w:sz w:val="19"/>
          <w:szCs w:val="19"/>
        </w:rPr>
        <w:t>, 20(4), p. 180–6.</w:t>
      </w:r>
    </w:p>
    <w:p w14:paraId="4CB1E17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Ellegren, H. (2010) Evolutionary stasis: the stable chromosomes of birds., </w:t>
      </w:r>
      <w:r w:rsidRPr="008C29F7">
        <w:rPr>
          <w:i/>
          <w:sz w:val="19"/>
          <w:szCs w:val="19"/>
        </w:rPr>
        <w:t>Trends in ecology &amp; evolution</w:t>
      </w:r>
      <w:r w:rsidRPr="008C29F7">
        <w:rPr>
          <w:sz w:val="19"/>
          <w:szCs w:val="19"/>
        </w:rPr>
        <w:t xml:space="preserve">, 25(5), p. 283–91. </w:t>
      </w:r>
    </w:p>
    <w:p w14:paraId="5F24934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Ellinghaus, D., Kurtz, S. and Willhoeft, U. (2008) LTRharvest, an efficient and flexible software for de novo detection of LTR retrotransposons., </w:t>
      </w:r>
      <w:r w:rsidRPr="008C29F7">
        <w:rPr>
          <w:i/>
          <w:sz w:val="19"/>
          <w:szCs w:val="19"/>
        </w:rPr>
        <w:t>BMC Bioinformatics</w:t>
      </w:r>
      <w:r w:rsidRPr="008C29F7">
        <w:rPr>
          <w:sz w:val="19"/>
          <w:szCs w:val="19"/>
        </w:rPr>
        <w:t>, 9, p. 18.</w:t>
      </w:r>
    </w:p>
    <w:p w14:paraId="193342A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English, A. C., Salerno, W. J. and Reid, J. G. (2014) PBHoney: identifying genomic variants via long-read discordance and interrupted mapping., </w:t>
      </w:r>
      <w:r w:rsidRPr="008C29F7">
        <w:rPr>
          <w:i/>
          <w:sz w:val="19"/>
          <w:szCs w:val="19"/>
        </w:rPr>
        <w:t>BMC Bioinformatics</w:t>
      </w:r>
      <w:r w:rsidRPr="008C29F7">
        <w:rPr>
          <w:sz w:val="19"/>
          <w:szCs w:val="19"/>
        </w:rPr>
        <w:t>, 15, p. 180.</w:t>
      </w:r>
    </w:p>
    <w:p w14:paraId="5E916A3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Fadly, A. (2000) Isolation and identification of avian leukosis viruses: a review, </w:t>
      </w:r>
      <w:r w:rsidRPr="008C29F7">
        <w:rPr>
          <w:i/>
          <w:sz w:val="19"/>
          <w:szCs w:val="19"/>
        </w:rPr>
        <w:t>Avian Pathology</w:t>
      </w:r>
      <w:r w:rsidRPr="008C29F7">
        <w:rPr>
          <w:sz w:val="19"/>
          <w:szCs w:val="19"/>
        </w:rPr>
        <w:t xml:space="preserve">, 29(6), p. 529–35. </w:t>
      </w:r>
    </w:p>
    <w:p w14:paraId="0BA4C6D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Fadly, A. </w:t>
      </w:r>
      <w:r w:rsidRPr="008C29F7">
        <w:rPr>
          <w:i/>
          <w:sz w:val="19"/>
          <w:szCs w:val="19"/>
        </w:rPr>
        <w:t>et al.</w:t>
      </w:r>
      <w:r w:rsidRPr="008C29F7">
        <w:rPr>
          <w:sz w:val="19"/>
          <w:szCs w:val="19"/>
        </w:rPr>
        <w:t xml:space="preserve"> (2014) Role of endogenous avian leukosis virus and serotype 2 Mareks disease virus in enhancement of spontaneous lymphoid-leukosis-like tumors in chickens, in </w:t>
      </w:r>
      <w:r w:rsidRPr="008C29F7">
        <w:rPr>
          <w:i/>
          <w:sz w:val="19"/>
          <w:szCs w:val="19"/>
        </w:rPr>
        <w:t>American Veterinary Medical Association Annual Convention, July 25-29, 2014, Denver, Colorado.</w:t>
      </w:r>
      <w:r w:rsidRPr="008C29F7">
        <w:rPr>
          <w:sz w:val="19"/>
          <w:szCs w:val="19"/>
        </w:rPr>
        <w:t>, p. Abstract No. 16756.</w:t>
      </w:r>
    </w:p>
    <w:p w14:paraId="4B6D713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Fadly, A. M. and Smith, E. J. (1991) Influence of Maternal Antibody on Avian Leukosis Virus Infection in White Leghorn Chickens Harboring Endogenous Virus-21 (EV21), </w:t>
      </w:r>
      <w:r w:rsidRPr="008C29F7">
        <w:rPr>
          <w:i/>
          <w:sz w:val="19"/>
          <w:szCs w:val="19"/>
        </w:rPr>
        <w:t>Avian diseases</w:t>
      </w:r>
      <w:r w:rsidRPr="008C29F7">
        <w:rPr>
          <w:sz w:val="19"/>
          <w:szCs w:val="19"/>
        </w:rPr>
        <w:t>, 35(3), p. 443–51.</w:t>
      </w:r>
    </w:p>
    <w:p w14:paraId="409DF50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Fan, W. L. </w:t>
      </w:r>
      <w:r w:rsidRPr="008C29F7">
        <w:rPr>
          <w:i/>
          <w:sz w:val="19"/>
          <w:szCs w:val="19"/>
        </w:rPr>
        <w:t>et al.</w:t>
      </w:r>
      <w:r w:rsidRPr="008C29F7">
        <w:rPr>
          <w:sz w:val="19"/>
          <w:szCs w:val="19"/>
        </w:rPr>
        <w:t xml:space="preserve"> (2013) Genome-wide patterns of genetic variation in two domestic chickens, </w:t>
      </w:r>
      <w:r w:rsidRPr="008C29F7">
        <w:rPr>
          <w:i/>
          <w:sz w:val="19"/>
          <w:szCs w:val="19"/>
        </w:rPr>
        <w:t>Genome Biology and Evolution</w:t>
      </w:r>
      <w:r w:rsidRPr="008C29F7">
        <w:rPr>
          <w:sz w:val="19"/>
          <w:szCs w:val="19"/>
        </w:rPr>
        <w:t>, 5(7), p. 1376–92.</w:t>
      </w:r>
    </w:p>
    <w:p w14:paraId="06CE969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Farkašová, H. </w:t>
      </w:r>
      <w:r w:rsidRPr="008C29F7">
        <w:rPr>
          <w:i/>
          <w:sz w:val="19"/>
          <w:szCs w:val="19"/>
        </w:rPr>
        <w:t>et al.</w:t>
      </w:r>
      <w:r w:rsidRPr="008C29F7">
        <w:rPr>
          <w:sz w:val="19"/>
          <w:szCs w:val="19"/>
        </w:rPr>
        <w:t xml:space="preserve"> (2017) Discovery of an endogenous Deltaretrovirus in the genome of long-fingered bats (Chiroptera: Miniopteridae), </w:t>
      </w:r>
      <w:r w:rsidRPr="008C29F7">
        <w:rPr>
          <w:i/>
          <w:sz w:val="19"/>
          <w:szCs w:val="19"/>
        </w:rPr>
        <w:t>PNAS</w:t>
      </w:r>
      <w:r w:rsidRPr="008C29F7">
        <w:rPr>
          <w:sz w:val="19"/>
          <w:szCs w:val="19"/>
        </w:rPr>
        <w:t>, 114(12), p. 3145–50.</w:t>
      </w:r>
    </w:p>
    <w:p w14:paraId="3E72FDE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Faulkner, G. J. </w:t>
      </w:r>
      <w:r w:rsidRPr="008C29F7">
        <w:rPr>
          <w:i/>
          <w:sz w:val="19"/>
          <w:szCs w:val="19"/>
        </w:rPr>
        <w:t>et al.</w:t>
      </w:r>
      <w:r w:rsidRPr="008C29F7">
        <w:rPr>
          <w:sz w:val="19"/>
          <w:szCs w:val="19"/>
        </w:rPr>
        <w:t xml:space="preserve"> (2009) The regulated retrotransposon transcriptome of mammalian cells., </w:t>
      </w:r>
      <w:r w:rsidRPr="008C29F7">
        <w:rPr>
          <w:i/>
          <w:sz w:val="19"/>
          <w:szCs w:val="19"/>
        </w:rPr>
        <w:t>Nature Genetics</w:t>
      </w:r>
      <w:r w:rsidRPr="008C29F7">
        <w:rPr>
          <w:sz w:val="19"/>
          <w:szCs w:val="19"/>
        </w:rPr>
        <w:t xml:space="preserve">, 41(5), p. 563–71. </w:t>
      </w:r>
    </w:p>
    <w:p w14:paraId="5C83A73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Feschotte, C. and Gilbert, C. (2012) Endogenous viruses: insights into viral evolution and impact on host biology., </w:t>
      </w:r>
      <w:r w:rsidRPr="008C29F7">
        <w:rPr>
          <w:i/>
          <w:sz w:val="19"/>
          <w:szCs w:val="19"/>
        </w:rPr>
        <w:t>Nature Reviews Genetics</w:t>
      </w:r>
      <w:r w:rsidRPr="008C29F7">
        <w:rPr>
          <w:sz w:val="19"/>
          <w:szCs w:val="19"/>
        </w:rPr>
        <w:t xml:space="preserve">, 13(4), p. 283–96. </w:t>
      </w:r>
    </w:p>
    <w:p w14:paraId="41B1CA9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Feuk, L., Carson, A. R. and Scherer, S. W. (2006) Structural variation in the human genome, </w:t>
      </w:r>
      <w:r w:rsidRPr="008C29F7">
        <w:rPr>
          <w:i/>
          <w:sz w:val="19"/>
          <w:szCs w:val="19"/>
        </w:rPr>
        <w:t>Nature Reviews Genetics</w:t>
      </w:r>
      <w:r w:rsidRPr="008C29F7">
        <w:rPr>
          <w:sz w:val="19"/>
          <w:szCs w:val="19"/>
        </w:rPr>
        <w:t xml:space="preserve">, 7(2), p. 85–97. </w:t>
      </w:r>
    </w:p>
    <w:p w14:paraId="5CB5906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Flavell, A. J. </w:t>
      </w:r>
      <w:r w:rsidRPr="008C29F7">
        <w:rPr>
          <w:i/>
          <w:sz w:val="19"/>
          <w:szCs w:val="19"/>
        </w:rPr>
        <w:t>et al.</w:t>
      </w:r>
      <w:r w:rsidRPr="008C29F7">
        <w:rPr>
          <w:sz w:val="19"/>
          <w:szCs w:val="19"/>
        </w:rPr>
        <w:t xml:space="preserve"> (1997) The evolution of Ty1-copia group retrotransposons in eukaryote genomes., </w:t>
      </w:r>
      <w:r w:rsidRPr="008C29F7">
        <w:rPr>
          <w:i/>
          <w:sz w:val="19"/>
          <w:szCs w:val="19"/>
        </w:rPr>
        <w:t>Genetica</w:t>
      </w:r>
      <w:r w:rsidRPr="008C29F7">
        <w:rPr>
          <w:sz w:val="19"/>
          <w:szCs w:val="19"/>
        </w:rPr>
        <w:t xml:space="preserve">, 100, p. 185–95. </w:t>
      </w:r>
    </w:p>
    <w:p w14:paraId="3C722DF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Fox, W. and Smyth, J. R. J. (1985) The effects of recessive white and dominant white genotypes on early growth rate., </w:t>
      </w:r>
      <w:r w:rsidRPr="008C29F7">
        <w:rPr>
          <w:i/>
          <w:sz w:val="19"/>
          <w:szCs w:val="19"/>
        </w:rPr>
        <w:t>Poultry Science</w:t>
      </w:r>
      <w:r w:rsidRPr="008C29F7">
        <w:rPr>
          <w:sz w:val="19"/>
          <w:szCs w:val="19"/>
        </w:rPr>
        <w:t>, 64(3), p. 429–33.</w:t>
      </w:r>
    </w:p>
    <w:p w14:paraId="035B29F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Frewer, L. </w:t>
      </w:r>
      <w:r w:rsidRPr="008C29F7">
        <w:rPr>
          <w:i/>
          <w:sz w:val="19"/>
          <w:szCs w:val="19"/>
        </w:rPr>
        <w:t>et al.</w:t>
      </w:r>
      <w:r w:rsidRPr="008C29F7">
        <w:rPr>
          <w:sz w:val="19"/>
          <w:szCs w:val="19"/>
        </w:rPr>
        <w:t xml:space="preserve"> (2014) Attitudes towards genetically modified animals in food production, </w:t>
      </w:r>
      <w:r w:rsidRPr="008C29F7">
        <w:rPr>
          <w:i/>
          <w:sz w:val="19"/>
          <w:szCs w:val="19"/>
        </w:rPr>
        <w:t>British Food Journal</w:t>
      </w:r>
      <w:r w:rsidRPr="008C29F7">
        <w:rPr>
          <w:sz w:val="19"/>
          <w:szCs w:val="19"/>
        </w:rPr>
        <w:t>, 116(8), p. 1291–1313.</w:t>
      </w:r>
    </w:p>
    <w:p w14:paraId="5B64ACA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Frewer, L. J. </w:t>
      </w:r>
      <w:r w:rsidRPr="008C29F7">
        <w:rPr>
          <w:i/>
          <w:sz w:val="19"/>
          <w:szCs w:val="19"/>
        </w:rPr>
        <w:t>et al.</w:t>
      </w:r>
      <w:r w:rsidRPr="008C29F7">
        <w:rPr>
          <w:sz w:val="19"/>
          <w:szCs w:val="19"/>
        </w:rPr>
        <w:t xml:space="preserve"> (2013) Public perceptions of agri-food applications of genetic modification - A systematic review and meta-analysis, </w:t>
      </w:r>
      <w:r w:rsidRPr="008C29F7">
        <w:rPr>
          <w:i/>
          <w:sz w:val="19"/>
          <w:szCs w:val="19"/>
        </w:rPr>
        <w:t>Trends in Food Science &amp; Technology</w:t>
      </w:r>
      <w:r w:rsidRPr="008C29F7">
        <w:rPr>
          <w:sz w:val="19"/>
          <w:szCs w:val="19"/>
        </w:rPr>
        <w:t>, 30(2), p. 142–52.</w:t>
      </w:r>
    </w:p>
    <w:p w14:paraId="4040AC6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Fridolfsson, A.-K. K. </w:t>
      </w:r>
      <w:r w:rsidRPr="008C29F7">
        <w:rPr>
          <w:i/>
          <w:sz w:val="19"/>
          <w:szCs w:val="19"/>
        </w:rPr>
        <w:t>et al.</w:t>
      </w:r>
      <w:r w:rsidRPr="008C29F7">
        <w:rPr>
          <w:sz w:val="19"/>
          <w:szCs w:val="19"/>
        </w:rPr>
        <w:t xml:space="preserve"> (1998) Evolution of the avian sex chromosomes from an ancestral pair of autosomes., </w:t>
      </w:r>
      <w:r w:rsidRPr="008C29F7">
        <w:rPr>
          <w:i/>
          <w:sz w:val="19"/>
          <w:szCs w:val="19"/>
        </w:rPr>
        <w:t>PNAS</w:t>
      </w:r>
      <w:r w:rsidRPr="008C29F7">
        <w:rPr>
          <w:sz w:val="19"/>
          <w:szCs w:val="19"/>
        </w:rPr>
        <w:t xml:space="preserve">, 95(14), p. 8147–52. </w:t>
      </w:r>
    </w:p>
    <w:p w14:paraId="0C21EF0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Frisby, D. P. </w:t>
      </w:r>
      <w:r w:rsidRPr="008C29F7">
        <w:rPr>
          <w:i/>
          <w:sz w:val="19"/>
          <w:szCs w:val="19"/>
        </w:rPr>
        <w:t>et al.</w:t>
      </w:r>
      <w:r w:rsidRPr="008C29F7">
        <w:rPr>
          <w:sz w:val="19"/>
          <w:szCs w:val="19"/>
        </w:rPr>
        <w:t xml:space="preserve"> (1979) The distribution of endogenous chicken retrovirus sequences in the DNA of galliform birds does not coincide with avian phylogenetic relationships., </w:t>
      </w:r>
      <w:r w:rsidRPr="008C29F7">
        <w:rPr>
          <w:i/>
          <w:sz w:val="19"/>
          <w:szCs w:val="19"/>
        </w:rPr>
        <w:t>Cell</w:t>
      </w:r>
      <w:r w:rsidRPr="008C29F7">
        <w:rPr>
          <w:sz w:val="19"/>
          <w:szCs w:val="19"/>
        </w:rPr>
        <w:t xml:space="preserve">, 17(3), p. 623–34. </w:t>
      </w:r>
    </w:p>
    <w:p w14:paraId="0CDC186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Fulton, J. E. </w:t>
      </w:r>
      <w:r w:rsidRPr="008C29F7">
        <w:rPr>
          <w:i/>
          <w:sz w:val="19"/>
          <w:szCs w:val="19"/>
        </w:rPr>
        <w:t>et al.</w:t>
      </w:r>
      <w:r w:rsidRPr="008C29F7">
        <w:rPr>
          <w:sz w:val="19"/>
          <w:szCs w:val="19"/>
        </w:rPr>
        <w:t xml:space="preserve"> (2016) A high</w:t>
      </w:r>
      <w:r w:rsidRPr="008C29F7">
        <w:rPr>
          <w:rFonts w:ascii="Times New Roman" w:hAnsi="Times New Roman" w:cs="Times New Roman"/>
          <w:sz w:val="19"/>
          <w:szCs w:val="19"/>
        </w:rPr>
        <w:t>‑</w:t>
      </w:r>
      <w:r w:rsidRPr="008C29F7">
        <w:rPr>
          <w:sz w:val="19"/>
          <w:szCs w:val="19"/>
        </w:rPr>
        <w:t xml:space="preserve">density SNP panel reveals extensive diversity, frequent recombination and multiple recombination hotspots within the chicken major histocompatibility complex B region between BG2 and CD1A1, </w:t>
      </w:r>
      <w:r w:rsidRPr="008C29F7">
        <w:rPr>
          <w:i/>
          <w:sz w:val="19"/>
          <w:szCs w:val="19"/>
        </w:rPr>
        <w:t>Genetics Selection Evolution</w:t>
      </w:r>
      <w:r w:rsidRPr="008C29F7">
        <w:rPr>
          <w:sz w:val="19"/>
          <w:szCs w:val="19"/>
        </w:rPr>
        <w:t xml:space="preserve">, 48(1), p. 1–15. </w:t>
      </w:r>
    </w:p>
    <w:p w14:paraId="72A0924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Gagnieur, L. </w:t>
      </w:r>
      <w:r w:rsidRPr="008C29F7">
        <w:rPr>
          <w:i/>
          <w:sz w:val="19"/>
          <w:szCs w:val="19"/>
        </w:rPr>
        <w:t>et al.</w:t>
      </w:r>
      <w:r w:rsidRPr="008C29F7">
        <w:rPr>
          <w:sz w:val="19"/>
          <w:szCs w:val="19"/>
        </w:rPr>
        <w:t xml:space="preserve"> (2014) Analysis by high throughput sequencing of Specific Pathogen Free eggs, </w:t>
      </w:r>
      <w:r w:rsidRPr="008C29F7">
        <w:rPr>
          <w:i/>
          <w:sz w:val="19"/>
          <w:szCs w:val="19"/>
        </w:rPr>
        <w:t>Biologicals</w:t>
      </w:r>
      <w:r w:rsidRPr="008C29F7">
        <w:rPr>
          <w:sz w:val="19"/>
          <w:szCs w:val="19"/>
        </w:rPr>
        <w:t xml:space="preserve">, 42(4), p. 218–9. </w:t>
      </w:r>
    </w:p>
    <w:p w14:paraId="1518F22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Ganapathy, G. </w:t>
      </w:r>
      <w:r w:rsidRPr="008C29F7">
        <w:rPr>
          <w:i/>
          <w:sz w:val="19"/>
          <w:szCs w:val="19"/>
        </w:rPr>
        <w:t>et al.</w:t>
      </w:r>
      <w:r w:rsidRPr="008C29F7">
        <w:rPr>
          <w:sz w:val="19"/>
          <w:szCs w:val="19"/>
        </w:rPr>
        <w:t xml:space="preserve"> (2014) High-coverage sequencing and annotated assemblies of the budgerigar genome, </w:t>
      </w:r>
      <w:r w:rsidRPr="008C29F7">
        <w:rPr>
          <w:i/>
          <w:sz w:val="19"/>
          <w:szCs w:val="19"/>
        </w:rPr>
        <w:t>GigaScience</w:t>
      </w:r>
      <w:r w:rsidRPr="008C29F7">
        <w:rPr>
          <w:sz w:val="19"/>
          <w:szCs w:val="19"/>
        </w:rPr>
        <w:t xml:space="preserve">, 3(1), p. 11. </w:t>
      </w:r>
    </w:p>
    <w:p w14:paraId="790FABB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Garcia-Etxebarria, K. and Jugo, B. M. (2010) Genome-wide detection and characterization of endogenous retroviruses in Bos taurus., </w:t>
      </w:r>
      <w:r w:rsidRPr="008C29F7">
        <w:rPr>
          <w:i/>
          <w:sz w:val="19"/>
          <w:szCs w:val="19"/>
        </w:rPr>
        <w:t>Journal of Virology</w:t>
      </w:r>
      <w:r w:rsidRPr="008C29F7">
        <w:rPr>
          <w:sz w:val="19"/>
          <w:szCs w:val="19"/>
        </w:rPr>
        <w:t xml:space="preserve">, 84(20), p. 10852–62. </w:t>
      </w:r>
    </w:p>
    <w:p w14:paraId="693AB57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Garcia-Etxebarria, K. and Jugo, B. M. (2012) Detection and characterization of endogenous retroviruses in the horse genome by in silico analysis., </w:t>
      </w:r>
      <w:r w:rsidRPr="008C29F7">
        <w:rPr>
          <w:i/>
          <w:sz w:val="19"/>
          <w:szCs w:val="19"/>
        </w:rPr>
        <w:t>Virology</w:t>
      </w:r>
      <w:r w:rsidRPr="008C29F7">
        <w:rPr>
          <w:sz w:val="19"/>
          <w:szCs w:val="19"/>
        </w:rPr>
        <w:t xml:space="preserve">, 434, p. 59–67. </w:t>
      </w:r>
    </w:p>
    <w:p w14:paraId="0C505BF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Garcia-Etxebarria, K., Sistiaga-Poveda, M. and Jugo, B. (2014) Endogenous Retroviruses in Domestic Animals, </w:t>
      </w:r>
      <w:r w:rsidRPr="008C29F7">
        <w:rPr>
          <w:i/>
          <w:sz w:val="19"/>
          <w:szCs w:val="19"/>
        </w:rPr>
        <w:t>Current Genomics</w:t>
      </w:r>
      <w:r w:rsidRPr="008C29F7">
        <w:rPr>
          <w:sz w:val="19"/>
          <w:szCs w:val="19"/>
        </w:rPr>
        <w:t xml:space="preserve">, 15, p. 256–65. </w:t>
      </w:r>
    </w:p>
    <w:p w14:paraId="01E5D6E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Gavora, J. S. </w:t>
      </w:r>
      <w:r w:rsidRPr="008C29F7">
        <w:rPr>
          <w:i/>
          <w:sz w:val="19"/>
          <w:szCs w:val="19"/>
        </w:rPr>
        <w:t>et al.</w:t>
      </w:r>
      <w:r w:rsidRPr="008C29F7">
        <w:rPr>
          <w:sz w:val="19"/>
          <w:szCs w:val="19"/>
        </w:rPr>
        <w:t xml:space="preserve"> (1991) Endogenous Viral Genes: Association with Reduced Egg Production Rate and Egg Size in White Leghorns, </w:t>
      </w:r>
      <w:r w:rsidRPr="008C29F7">
        <w:rPr>
          <w:i/>
          <w:sz w:val="19"/>
          <w:szCs w:val="19"/>
        </w:rPr>
        <w:t>Poultry Science</w:t>
      </w:r>
      <w:r w:rsidRPr="008C29F7">
        <w:rPr>
          <w:sz w:val="19"/>
          <w:szCs w:val="19"/>
        </w:rPr>
        <w:t xml:space="preserve">, 70(3), p. 618–23. </w:t>
      </w:r>
    </w:p>
    <w:p w14:paraId="6970FA4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Gavora, J. S. </w:t>
      </w:r>
      <w:r w:rsidRPr="008C29F7">
        <w:rPr>
          <w:i/>
          <w:sz w:val="19"/>
          <w:szCs w:val="19"/>
        </w:rPr>
        <w:t>et al.</w:t>
      </w:r>
      <w:r w:rsidRPr="008C29F7">
        <w:rPr>
          <w:sz w:val="19"/>
          <w:szCs w:val="19"/>
        </w:rPr>
        <w:t xml:space="preserve"> (1995) Endogenous viral genes influence infection with avian leukosis virus., </w:t>
      </w:r>
      <w:r w:rsidRPr="008C29F7">
        <w:rPr>
          <w:i/>
          <w:sz w:val="19"/>
          <w:szCs w:val="19"/>
        </w:rPr>
        <w:t>Avian Pathology</w:t>
      </w:r>
      <w:r w:rsidRPr="008C29F7">
        <w:rPr>
          <w:sz w:val="19"/>
          <w:szCs w:val="19"/>
        </w:rPr>
        <w:t xml:space="preserve">, 24(4), p. 653–64. </w:t>
      </w:r>
    </w:p>
    <w:p w14:paraId="2E3F859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Gering, E. </w:t>
      </w:r>
      <w:r w:rsidRPr="008C29F7">
        <w:rPr>
          <w:i/>
          <w:sz w:val="19"/>
          <w:szCs w:val="19"/>
        </w:rPr>
        <w:t>et al.</w:t>
      </w:r>
      <w:r w:rsidRPr="008C29F7">
        <w:rPr>
          <w:sz w:val="19"/>
          <w:szCs w:val="19"/>
        </w:rPr>
        <w:t xml:space="preserve"> (2015) Mixed ancestry and admixture in Kauais feral chickens: Invasion of domestic genes into ancient Red Junglefowl reservoirs, </w:t>
      </w:r>
      <w:r w:rsidRPr="008C29F7">
        <w:rPr>
          <w:i/>
          <w:sz w:val="19"/>
          <w:szCs w:val="19"/>
        </w:rPr>
        <w:t>Molecular Ecology</w:t>
      </w:r>
      <w:r w:rsidRPr="008C29F7">
        <w:rPr>
          <w:sz w:val="19"/>
          <w:szCs w:val="19"/>
        </w:rPr>
        <w:t xml:space="preserve">, 24(9), p. 2112–24. </w:t>
      </w:r>
    </w:p>
    <w:p w14:paraId="55F5AB8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Gilbert, C. </w:t>
      </w:r>
      <w:r w:rsidRPr="008C29F7">
        <w:rPr>
          <w:i/>
          <w:sz w:val="19"/>
          <w:szCs w:val="19"/>
        </w:rPr>
        <w:t>et al.</w:t>
      </w:r>
      <w:r w:rsidRPr="008C29F7">
        <w:rPr>
          <w:sz w:val="19"/>
          <w:szCs w:val="19"/>
        </w:rPr>
        <w:t xml:space="preserve"> (2009) Parallel germline infiltration of a lentivirus in two Malagasy lemurs., </w:t>
      </w:r>
      <w:r w:rsidRPr="008C29F7">
        <w:rPr>
          <w:i/>
          <w:sz w:val="19"/>
          <w:szCs w:val="19"/>
        </w:rPr>
        <w:t>PLoS genetics</w:t>
      </w:r>
      <w:r w:rsidRPr="008C29F7">
        <w:rPr>
          <w:sz w:val="19"/>
          <w:szCs w:val="19"/>
        </w:rPr>
        <w:t xml:space="preserve">, 5(3), p. e1000425. </w:t>
      </w:r>
    </w:p>
    <w:p w14:paraId="4CC15B0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Ginzburg, L. R., Bingham, P. M. and Yoo, S. (1984) On the theory of speciation induced by transposable elements, </w:t>
      </w:r>
      <w:r w:rsidRPr="008C29F7">
        <w:rPr>
          <w:i/>
          <w:sz w:val="19"/>
          <w:szCs w:val="19"/>
        </w:rPr>
        <w:t>Genetics</w:t>
      </w:r>
      <w:r w:rsidRPr="008C29F7">
        <w:rPr>
          <w:sz w:val="19"/>
          <w:szCs w:val="19"/>
        </w:rPr>
        <w:t>, 107(2), p. 331–41.</w:t>
      </w:r>
    </w:p>
    <w:p w14:paraId="30CE6D0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Gogvadze, E. and Buzdin, A. (2009) Retroelements and their impact on genome evolution and functioning., </w:t>
      </w:r>
      <w:r w:rsidRPr="008C29F7">
        <w:rPr>
          <w:i/>
          <w:sz w:val="19"/>
          <w:szCs w:val="19"/>
        </w:rPr>
        <w:t>Cellular and molecular life sciences</w:t>
      </w:r>
      <w:r w:rsidRPr="008C29F7">
        <w:rPr>
          <w:sz w:val="19"/>
          <w:szCs w:val="19"/>
        </w:rPr>
        <w:t xml:space="preserve">, 66(23), p. 3727–42. </w:t>
      </w:r>
    </w:p>
    <w:p w14:paraId="7A3A13B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Gong, R. </w:t>
      </w:r>
      <w:r w:rsidRPr="008C29F7">
        <w:rPr>
          <w:i/>
          <w:sz w:val="19"/>
          <w:szCs w:val="19"/>
        </w:rPr>
        <w:t>et al.</w:t>
      </w:r>
      <w:r w:rsidRPr="008C29F7">
        <w:rPr>
          <w:sz w:val="19"/>
          <w:szCs w:val="19"/>
        </w:rPr>
        <w:t xml:space="preserve"> (2005) Structural characterization of the fusion core in syncytin, envelope protein of human endogenous retrovirus family W., </w:t>
      </w:r>
      <w:r w:rsidRPr="008C29F7">
        <w:rPr>
          <w:i/>
          <w:sz w:val="19"/>
          <w:szCs w:val="19"/>
        </w:rPr>
        <w:t>Biochemical and biophysical research communications</w:t>
      </w:r>
      <w:r w:rsidRPr="008C29F7">
        <w:rPr>
          <w:sz w:val="19"/>
          <w:szCs w:val="19"/>
        </w:rPr>
        <w:t xml:space="preserve">, 331(4), p. 1193–1200. </w:t>
      </w:r>
    </w:p>
    <w:p w14:paraId="2114243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Gonzalez-Garay, M. (2015) Introduction to Isoform Sequencing Using Pacific Biosciences Technology (IsoSeq), in </w:t>
      </w:r>
      <w:r w:rsidRPr="008C29F7">
        <w:rPr>
          <w:i/>
          <w:sz w:val="19"/>
          <w:szCs w:val="19"/>
        </w:rPr>
        <w:t>Translational Bioinformatics: Transcriptomics and Gene Regulation</w:t>
      </w:r>
      <w:r w:rsidRPr="008C29F7">
        <w:rPr>
          <w:sz w:val="19"/>
          <w:szCs w:val="19"/>
        </w:rPr>
        <w:t>, p. 141–160.</w:t>
      </w:r>
    </w:p>
    <w:p w14:paraId="4AC4753C" w14:textId="22AF629E" w:rsidR="008312BE" w:rsidRPr="008312BE" w:rsidRDefault="008312BE" w:rsidP="008C29F7">
      <w:pPr>
        <w:pStyle w:val="Figure"/>
        <w:spacing w:before="0" w:after="60" w:line="240" w:lineRule="auto"/>
        <w:ind w:left="426" w:hanging="426"/>
        <w:rPr>
          <w:sz w:val="19"/>
          <w:szCs w:val="19"/>
        </w:rPr>
      </w:pPr>
      <w:r>
        <w:rPr>
          <w:sz w:val="19"/>
          <w:szCs w:val="19"/>
        </w:rPr>
        <w:t xml:space="preserve">Goodier, J. L. (2016) Restricting retrotransposons: a review., </w:t>
      </w:r>
      <w:r>
        <w:rPr>
          <w:i/>
          <w:sz w:val="19"/>
          <w:szCs w:val="19"/>
        </w:rPr>
        <w:t>Mobile DNA</w:t>
      </w:r>
      <w:r>
        <w:rPr>
          <w:sz w:val="19"/>
          <w:szCs w:val="19"/>
        </w:rPr>
        <w:t>, 7:16.</w:t>
      </w:r>
    </w:p>
    <w:p w14:paraId="1CBDEA7C" w14:textId="25DDD86C"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Goodwin, T. J. and Poulter, R. T. (2001) The DIRS1 group of retrotransposons., </w:t>
      </w:r>
      <w:r w:rsidRPr="008C29F7">
        <w:rPr>
          <w:i/>
          <w:sz w:val="19"/>
          <w:szCs w:val="19"/>
        </w:rPr>
        <w:t>Molecular Biology and Evolution</w:t>
      </w:r>
      <w:r w:rsidRPr="008C29F7">
        <w:rPr>
          <w:sz w:val="19"/>
          <w:szCs w:val="19"/>
        </w:rPr>
        <w:t xml:space="preserve">, 18(11), p. 2067–82. </w:t>
      </w:r>
    </w:p>
    <w:p w14:paraId="3CD959B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Grawenhoff, J. and Engelman, A. N. (2017) Retroviral integrase protein and intasome nucleoprotein complex structures, </w:t>
      </w:r>
      <w:r w:rsidRPr="008C29F7">
        <w:rPr>
          <w:i/>
          <w:sz w:val="19"/>
          <w:szCs w:val="19"/>
        </w:rPr>
        <w:t>World Journal of Biological Chemistry</w:t>
      </w:r>
      <w:r w:rsidRPr="008C29F7">
        <w:rPr>
          <w:sz w:val="19"/>
          <w:szCs w:val="19"/>
        </w:rPr>
        <w:t xml:space="preserve">, 26(81), p. 32–44. </w:t>
      </w:r>
    </w:p>
    <w:p w14:paraId="79544E1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Greenwold, M. J. </w:t>
      </w:r>
      <w:r w:rsidRPr="008C29F7">
        <w:rPr>
          <w:i/>
          <w:sz w:val="19"/>
          <w:szCs w:val="19"/>
        </w:rPr>
        <w:t>et al.</w:t>
      </w:r>
      <w:r w:rsidRPr="008C29F7">
        <w:rPr>
          <w:sz w:val="19"/>
          <w:szCs w:val="19"/>
        </w:rPr>
        <w:t xml:space="preserve"> (2014) Dynamic evolution of the alpha (</w:t>
      </w:r>
      <w:r w:rsidRPr="008C29F7">
        <w:rPr>
          <w:rFonts w:ascii="Cambria" w:hAnsi="Cambria" w:cs="Cambria"/>
          <w:sz w:val="19"/>
          <w:szCs w:val="19"/>
        </w:rPr>
        <w:t>α</w:t>
      </w:r>
      <w:r w:rsidRPr="008C29F7">
        <w:rPr>
          <w:sz w:val="19"/>
          <w:szCs w:val="19"/>
        </w:rPr>
        <w:t>) and beta (</w:t>
      </w:r>
      <w:r w:rsidRPr="008C29F7">
        <w:rPr>
          <w:rFonts w:ascii="Cambria" w:hAnsi="Cambria" w:cs="Cambria"/>
          <w:sz w:val="19"/>
          <w:szCs w:val="19"/>
        </w:rPr>
        <w:t>β</w:t>
      </w:r>
      <w:r w:rsidRPr="008C29F7">
        <w:rPr>
          <w:sz w:val="19"/>
          <w:szCs w:val="19"/>
        </w:rPr>
        <w:t xml:space="preserve">) keratins has accompanied integument diversification and the adaptation of birds into novel lifestyles, </w:t>
      </w:r>
      <w:r w:rsidRPr="008C29F7">
        <w:rPr>
          <w:i/>
          <w:sz w:val="19"/>
          <w:szCs w:val="19"/>
        </w:rPr>
        <w:t>BMC Evolutionary Biology</w:t>
      </w:r>
      <w:r w:rsidRPr="008C29F7">
        <w:rPr>
          <w:sz w:val="19"/>
          <w:szCs w:val="19"/>
        </w:rPr>
        <w:t xml:space="preserve">, 14(1), p. 249. </w:t>
      </w:r>
    </w:p>
    <w:p w14:paraId="3244F5E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Greenwold, M. J. and Sawyer, R. H. (2010) Genomic organization and molecular phylogenies of the beta (beta) keratin multigene family in the chicken (</w:t>
      </w:r>
      <w:r w:rsidRPr="008C29F7">
        <w:rPr>
          <w:i/>
          <w:sz w:val="19"/>
          <w:szCs w:val="19"/>
        </w:rPr>
        <w:t>Gallus gallus</w:t>
      </w:r>
      <w:r w:rsidRPr="008C29F7">
        <w:rPr>
          <w:sz w:val="19"/>
          <w:szCs w:val="19"/>
        </w:rPr>
        <w:t>) and zebra finch (</w:t>
      </w:r>
      <w:r w:rsidRPr="008C29F7">
        <w:rPr>
          <w:i/>
          <w:sz w:val="19"/>
          <w:szCs w:val="19"/>
        </w:rPr>
        <w:t>Taeniopygia guttata</w:t>
      </w:r>
      <w:r w:rsidRPr="008C29F7">
        <w:rPr>
          <w:sz w:val="19"/>
          <w:szCs w:val="19"/>
        </w:rPr>
        <w:t xml:space="preserve">): implications for feather evolution., </w:t>
      </w:r>
      <w:r w:rsidRPr="008C29F7">
        <w:rPr>
          <w:i/>
          <w:sz w:val="19"/>
          <w:szCs w:val="19"/>
        </w:rPr>
        <w:t>BMC Evolutionary Biology</w:t>
      </w:r>
      <w:r w:rsidRPr="008C29F7">
        <w:rPr>
          <w:sz w:val="19"/>
          <w:szCs w:val="19"/>
        </w:rPr>
        <w:t xml:space="preserve">, 10(1), p. 148. </w:t>
      </w:r>
    </w:p>
    <w:p w14:paraId="1A99F96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Gregory, T. R. (2005) Synergy between sequence and size in Large-scale genomics, </w:t>
      </w:r>
      <w:r w:rsidRPr="008C29F7">
        <w:rPr>
          <w:i/>
          <w:sz w:val="19"/>
          <w:szCs w:val="19"/>
        </w:rPr>
        <w:t>Nature Reviews Genetics</w:t>
      </w:r>
      <w:r w:rsidRPr="008C29F7">
        <w:rPr>
          <w:sz w:val="19"/>
          <w:szCs w:val="19"/>
        </w:rPr>
        <w:t>, 6(9), p. 699–708.</w:t>
      </w:r>
    </w:p>
    <w:p w14:paraId="2000D80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Gregory, T. R. </w:t>
      </w:r>
      <w:r w:rsidRPr="008C29F7">
        <w:rPr>
          <w:i/>
          <w:sz w:val="19"/>
          <w:szCs w:val="19"/>
        </w:rPr>
        <w:t>et al.</w:t>
      </w:r>
      <w:r w:rsidRPr="008C29F7">
        <w:rPr>
          <w:sz w:val="19"/>
          <w:szCs w:val="19"/>
        </w:rPr>
        <w:t xml:space="preserve"> (2009) The smallest avian genomes are found in hummingbirds, </w:t>
      </w:r>
      <w:r w:rsidRPr="008C29F7">
        <w:rPr>
          <w:i/>
          <w:sz w:val="19"/>
          <w:szCs w:val="19"/>
        </w:rPr>
        <w:t>Proceedings of the Royal Society B: Biological Sciences</w:t>
      </w:r>
      <w:r w:rsidRPr="008C29F7">
        <w:rPr>
          <w:sz w:val="19"/>
          <w:szCs w:val="19"/>
        </w:rPr>
        <w:t xml:space="preserve">, 276(1674), p. 3753–7. </w:t>
      </w:r>
    </w:p>
    <w:p w14:paraId="7796D3AE" w14:textId="4F187C4D" w:rsidR="00C32E0C" w:rsidRDefault="00C32E0C" w:rsidP="008C29F7">
      <w:pPr>
        <w:pStyle w:val="Figure"/>
        <w:spacing w:before="0" w:after="60" w:line="240" w:lineRule="auto"/>
        <w:ind w:left="426" w:hanging="426"/>
        <w:rPr>
          <w:sz w:val="19"/>
          <w:szCs w:val="19"/>
        </w:rPr>
      </w:pPr>
      <w:r>
        <w:rPr>
          <w:sz w:val="19"/>
          <w:szCs w:val="19"/>
        </w:rPr>
        <w:t>Gregory, T. R. (2017) Animal Genome Size Database. http://www.genomesize.com.</w:t>
      </w:r>
    </w:p>
    <w:p w14:paraId="5B6B6911" w14:textId="0DBF1BB6"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Gremme, G., Steinbiss, S. and Kurtz, S. (2013) Genome Tools: a comprehensive software library for efficient processing of structured genome annotations, </w:t>
      </w:r>
      <w:r w:rsidRPr="008C29F7">
        <w:rPr>
          <w:i/>
          <w:sz w:val="19"/>
          <w:szCs w:val="19"/>
        </w:rPr>
        <w:t>IEEE/ACM Transactions on Computational Biology and Bioinformatics</w:t>
      </w:r>
      <w:r w:rsidRPr="008C29F7">
        <w:rPr>
          <w:sz w:val="19"/>
          <w:szCs w:val="19"/>
        </w:rPr>
        <w:t>, 10(3), p. 645–56.</w:t>
      </w:r>
    </w:p>
    <w:p w14:paraId="42AA8EB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Griffin, D. K. </w:t>
      </w:r>
      <w:r w:rsidRPr="008C29F7">
        <w:rPr>
          <w:i/>
          <w:sz w:val="19"/>
          <w:szCs w:val="19"/>
        </w:rPr>
        <w:t>et al.</w:t>
      </w:r>
      <w:r w:rsidRPr="008C29F7">
        <w:rPr>
          <w:sz w:val="19"/>
          <w:szCs w:val="19"/>
        </w:rPr>
        <w:t xml:space="preserve"> (2008) Whole genome comparative studies between chicken and turkey and their implications for avian genome evolution., </w:t>
      </w:r>
      <w:r w:rsidRPr="008C29F7">
        <w:rPr>
          <w:i/>
          <w:sz w:val="19"/>
          <w:szCs w:val="19"/>
        </w:rPr>
        <w:t>BMC Genomics</w:t>
      </w:r>
      <w:r w:rsidRPr="008C29F7">
        <w:rPr>
          <w:sz w:val="19"/>
          <w:szCs w:val="19"/>
        </w:rPr>
        <w:t xml:space="preserve">, 9, p. 168. </w:t>
      </w:r>
    </w:p>
    <w:p w14:paraId="2430C3C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Griffin, H. </w:t>
      </w:r>
      <w:r w:rsidRPr="008C29F7">
        <w:rPr>
          <w:i/>
          <w:sz w:val="19"/>
          <w:szCs w:val="19"/>
        </w:rPr>
        <w:t>et al.</w:t>
      </w:r>
      <w:r w:rsidRPr="008C29F7">
        <w:rPr>
          <w:sz w:val="19"/>
          <w:szCs w:val="19"/>
        </w:rPr>
        <w:t xml:space="preserve"> (1989) Plasma lipoprotein metabolism in lean and in fat chickens produced by divergent selection for plasma very low density lipoprotein concentration., </w:t>
      </w:r>
      <w:r w:rsidRPr="008C29F7">
        <w:rPr>
          <w:i/>
          <w:sz w:val="19"/>
          <w:szCs w:val="19"/>
        </w:rPr>
        <w:t>Journal of lipid research</w:t>
      </w:r>
      <w:r w:rsidRPr="008C29F7">
        <w:rPr>
          <w:sz w:val="19"/>
          <w:szCs w:val="19"/>
        </w:rPr>
        <w:t>, 30(8), p. 1243–50.</w:t>
      </w:r>
    </w:p>
    <w:p w14:paraId="7DD3EBA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Griffin, H. D., Windsor, D. and Whitehead, C. C. (1991) Changes in lipoprotein metabolism and body composition in chickens in response to divergent selection for plasma very low density lipoprotein concentration., </w:t>
      </w:r>
      <w:r w:rsidRPr="008C29F7">
        <w:rPr>
          <w:i/>
          <w:sz w:val="19"/>
          <w:szCs w:val="19"/>
        </w:rPr>
        <w:t>British Poultry Science</w:t>
      </w:r>
      <w:r w:rsidRPr="008C29F7">
        <w:rPr>
          <w:sz w:val="19"/>
          <w:szCs w:val="19"/>
        </w:rPr>
        <w:t xml:space="preserve">, 32(1), p. 195–201. </w:t>
      </w:r>
    </w:p>
    <w:p w14:paraId="46046C9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Grunder, A. A. </w:t>
      </w:r>
      <w:r w:rsidRPr="008C29F7">
        <w:rPr>
          <w:i/>
          <w:sz w:val="19"/>
          <w:szCs w:val="19"/>
        </w:rPr>
        <w:t>et al.</w:t>
      </w:r>
      <w:r w:rsidRPr="008C29F7">
        <w:rPr>
          <w:sz w:val="19"/>
          <w:szCs w:val="19"/>
        </w:rPr>
        <w:t xml:space="preserve"> (1995) Characterization of eight endogenous viral (ev) genes of meat chickens in semi-congenic lines., </w:t>
      </w:r>
      <w:r w:rsidRPr="008C29F7">
        <w:rPr>
          <w:i/>
          <w:sz w:val="19"/>
          <w:szCs w:val="19"/>
        </w:rPr>
        <w:t>Poultry Science</w:t>
      </w:r>
      <w:r w:rsidRPr="008C29F7">
        <w:rPr>
          <w:sz w:val="19"/>
          <w:szCs w:val="19"/>
        </w:rPr>
        <w:t xml:space="preserve">, 74(9), p. 1506–14. </w:t>
      </w:r>
    </w:p>
    <w:p w14:paraId="32C7A21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Gudkov, A. </w:t>
      </w:r>
      <w:r w:rsidRPr="008C29F7">
        <w:rPr>
          <w:i/>
          <w:sz w:val="19"/>
          <w:szCs w:val="19"/>
        </w:rPr>
        <w:t>et al.</w:t>
      </w:r>
      <w:r w:rsidRPr="008C29F7">
        <w:rPr>
          <w:sz w:val="19"/>
          <w:szCs w:val="19"/>
        </w:rPr>
        <w:t xml:space="preserve"> (1986) Genetic structure of the endogenous proviruses and expression of the gag gene in Brown Leghorn chickens, </w:t>
      </w:r>
      <w:r w:rsidRPr="008C29F7">
        <w:rPr>
          <w:i/>
          <w:sz w:val="19"/>
          <w:szCs w:val="19"/>
        </w:rPr>
        <w:t>Folia Biologica</w:t>
      </w:r>
      <w:r w:rsidRPr="008C29F7">
        <w:rPr>
          <w:sz w:val="19"/>
          <w:szCs w:val="19"/>
        </w:rPr>
        <w:t>, 32(1), p. 65–72.</w:t>
      </w:r>
    </w:p>
    <w:p w14:paraId="2FA345F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Guo, X. </w:t>
      </w:r>
      <w:r w:rsidRPr="008C29F7">
        <w:rPr>
          <w:i/>
          <w:sz w:val="19"/>
          <w:szCs w:val="19"/>
        </w:rPr>
        <w:t>et al.</w:t>
      </w:r>
      <w:r w:rsidRPr="008C29F7">
        <w:rPr>
          <w:sz w:val="19"/>
          <w:szCs w:val="19"/>
        </w:rPr>
        <w:t xml:space="preserve"> (2016) Whole-genome resequencing of Xishuangbanna fighting chicken to identify signatures of selection, </w:t>
      </w:r>
      <w:r w:rsidRPr="008C29F7">
        <w:rPr>
          <w:i/>
          <w:sz w:val="19"/>
          <w:szCs w:val="19"/>
        </w:rPr>
        <w:t>Genetics Selection Evolution</w:t>
      </w:r>
      <w:r w:rsidRPr="008C29F7">
        <w:rPr>
          <w:sz w:val="19"/>
          <w:szCs w:val="19"/>
        </w:rPr>
        <w:t>, 48(1), p. 62.</w:t>
      </w:r>
    </w:p>
    <w:p w14:paraId="25C10D1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Haley, C. S. and Knott, S. A. (1992) A simple regression method for mapping quantitative trait loci in line crosses using flanking markers., </w:t>
      </w:r>
      <w:r w:rsidRPr="008C29F7">
        <w:rPr>
          <w:i/>
          <w:sz w:val="19"/>
          <w:szCs w:val="19"/>
        </w:rPr>
        <w:t>Heredity</w:t>
      </w:r>
      <w:r w:rsidRPr="008C29F7">
        <w:rPr>
          <w:sz w:val="19"/>
          <w:szCs w:val="19"/>
        </w:rPr>
        <w:t xml:space="preserve">, 69(4), p. 315–24. </w:t>
      </w:r>
    </w:p>
    <w:p w14:paraId="7A203A2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Haley, C. S., Knott, S. A. and Elsen, J. M. (1994) Mapping quantitative trait loci in crosses between outbred lines using least squares, </w:t>
      </w:r>
      <w:r w:rsidRPr="008C29F7">
        <w:rPr>
          <w:i/>
          <w:sz w:val="19"/>
          <w:szCs w:val="19"/>
        </w:rPr>
        <w:t>Genetics</w:t>
      </w:r>
      <w:r w:rsidRPr="008C29F7">
        <w:rPr>
          <w:sz w:val="19"/>
          <w:szCs w:val="19"/>
        </w:rPr>
        <w:t>, 136(3), p. 1195–1207.</w:t>
      </w:r>
    </w:p>
    <w:p w14:paraId="4164656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Hamoen, F. F. </w:t>
      </w:r>
      <w:r w:rsidRPr="008C29F7">
        <w:rPr>
          <w:i/>
          <w:sz w:val="19"/>
          <w:szCs w:val="19"/>
        </w:rPr>
        <w:t>et al.</w:t>
      </w:r>
      <w:r w:rsidRPr="008C29F7">
        <w:rPr>
          <w:sz w:val="19"/>
          <w:szCs w:val="19"/>
        </w:rPr>
        <w:t xml:space="preserve"> (2001) Detection of genes on the Z-chromosome affecting growth and feathering in broilers., </w:t>
      </w:r>
      <w:r w:rsidRPr="008C29F7">
        <w:rPr>
          <w:i/>
          <w:sz w:val="19"/>
          <w:szCs w:val="19"/>
        </w:rPr>
        <w:t>Poultry Science</w:t>
      </w:r>
      <w:r w:rsidRPr="008C29F7">
        <w:rPr>
          <w:sz w:val="19"/>
          <w:szCs w:val="19"/>
        </w:rPr>
        <w:t xml:space="preserve">, 80(5), p. 527–34. </w:t>
      </w:r>
    </w:p>
    <w:p w14:paraId="4392FBE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Han, M. V </w:t>
      </w:r>
      <w:r w:rsidRPr="008C29F7">
        <w:rPr>
          <w:i/>
          <w:sz w:val="19"/>
          <w:szCs w:val="19"/>
        </w:rPr>
        <w:t>et al.</w:t>
      </w:r>
      <w:r w:rsidRPr="008C29F7">
        <w:rPr>
          <w:sz w:val="19"/>
          <w:szCs w:val="19"/>
        </w:rPr>
        <w:t xml:space="preserve"> (2009) Adaptive evolution of young duplicated genes in mammals, </w:t>
      </w:r>
      <w:r w:rsidRPr="008C29F7">
        <w:rPr>
          <w:i/>
          <w:sz w:val="19"/>
          <w:szCs w:val="19"/>
        </w:rPr>
        <w:t>Genome Research</w:t>
      </w:r>
      <w:r w:rsidRPr="008C29F7">
        <w:rPr>
          <w:sz w:val="19"/>
          <w:szCs w:val="19"/>
        </w:rPr>
        <w:t xml:space="preserve">, 19, p. 859–67. </w:t>
      </w:r>
    </w:p>
    <w:p w14:paraId="78D6C4C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Hanken, J. and Wake, D. B. (1993) Miniaturization of Body Size: Organismal Consequences and Evolutionary Significance, </w:t>
      </w:r>
      <w:r w:rsidRPr="008C29F7">
        <w:rPr>
          <w:i/>
          <w:sz w:val="19"/>
          <w:szCs w:val="19"/>
        </w:rPr>
        <w:t>Annual Review of Ecology and Systematics</w:t>
      </w:r>
      <w:r w:rsidRPr="008C29F7">
        <w:rPr>
          <w:sz w:val="19"/>
          <w:szCs w:val="19"/>
        </w:rPr>
        <w:t>, 24(1), p. 501–19.</w:t>
      </w:r>
    </w:p>
    <w:p w14:paraId="6248DE4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Havecker, E., Gao, X. and Voytas, D. (2004) The diversity of LTR retrotransposons, </w:t>
      </w:r>
      <w:r w:rsidRPr="008C29F7">
        <w:rPr>
          <w:i/>
          <w:sz w:val="19"/>
          <w:szCs w:val="19"/>
        </w:rPr>
        <w:t>Genome Biology</w:t>
      </w:r>
      <w:r w:rsidRPr="008C29F7">
        <w:rPr>
          <w:sz w:val="19"/>
          <w:szCs w:val="19"/>
        </w:rPr>
        <w:t xml:space="preserve">, 5(6), p. 225. </w:t>
      </w:r>
    </w:p>
    <w:p w14:paraId="2084936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Havenstein, G. B., Ferket, P. R. and Qureshi, M. a (2003) Growth, livability, and feed conversion of 1957 versus 2001 broilers when fed representative 1957 and 2001 broiler diets., </w:t>
      </w:r>
      <w:r w:rsidRPr="008C29F7">
        <w:rPr>
          <w:i/>
          <w:sz w:val="19"/>
          <w:szCs w:val="19"/>
        </w:rPr>
        <w:t>Poultry Science</w:t>
      </w:r>
      <w:r w:rsidRPr="008C29F7">
        <w:rPr>
          <w:sz w:val="19"/>
          <w:szCs w:val="19"/>
        </w:rPr>
        <w:t xml:space="preserve">, 82(10), p. 1500–8. </w:t>
      </w:r>
    </w:p>
    <w:p w14:paraId="19188E9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Hedges, S. </w:t>
      </w:r>
      <w:r w:rsidRPr="008C29F7">
        <w:rPr>
          <w:i/>
          <w:sz w:val="19"/>
          <w:szCs w:val="19"/>
        </w:rPr>
        <w:t>et al.</w:t>
      </w:r>
      <w:r w:rsidRPr="008C29F7">
        <w:rPr>
          <w:sz w:val="19"/>
          <w:szCs w:val="19"/>
        </w:rPr>
        <w:t xml:space="preserve"> (1996) Continental breakup and the ordinal diversification of birds and mammals, </w:t>
      </w:r>
      <w:r w:rsidRPr="008C29F7">
        <w:rPr>
          <w:i/>
          <w:sz w:val="19"/>
          <w:szCs w:val="19"/>
        </w:rPr>
        <w:t>Nature</w:t>
      </w:r>
      <w:r w:rsidRPr="008C29F7">
        <w:rPr>
          <w:sz w:val="19"/>
          <w:szCs w:val="19"/>
        </w:rPr>
        <w:t xml:space="preserve">, 381, p. 226-9. </w:t>
      </w:r>
    </w:p>
    <w:p w14:paraId="5E2245F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Heidmann, O. </w:t>
      </w:r>
      <w:r w:rsidRPr="008C29F7">
        <w:rPr>
          <w:i/>
          <w:sz w:val="19"/>
          <w:szCs w:val="19"/>
        </w:rPr>
        <w:t>et al.</w:t>
      </w:r>
      <w:r w:rsidRPr="008C29F7">
        <w:rPr>
          <w:sz w:val="19"/>
          <w:szCs w:val="19"/>
        </w:rPr>
        <w:t xml:space="preserve"> (2009) Identification of an endogenous retroviral envelope gene with fusogenic activity and placenta-specific expression in the rabbit: a new “syncytin” in a third order of mammals, </w:t>
      </w:r>
      <w:r w:rsidRPr="008C29F7">
        <w:rPr>
          <w:i/>
          <w:sz w:val="19"/>
          <w:szCs w:val="19"/>
        </w:rPr>
        <w:t>Retrovirology</w:t>
      </w:r>
      <w:r w:rsidRPr="008C29F7">
        <w:rPr>
          <w:sz w:val="19"/>
          <w:szCs w:val="19"/>
        </w:rPr>
        <w:t xml:space="preserve">, 6(1), p. 107. </w:t>
      </w:r>
    </w:p>
    <w:p w14:paraId="63E1EC4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Helm-Bychowski, K. M. and Wilson, A. C. (1986) Rates of nuclear DNA evolution in pheasant-like birds: Evidence from restriction maps, </w:t>
      </w:r>
      <w:r w:rsidRPr="008C29F7">
        <w:rPr>
          <w:i/>
          <w:sz w:val="19"/>
          <w:szCs w:val="19"/>
        </w:rPr>
        <w:t>PNAS</w:t>
      </w:r>
      <w:r w:rsidRPr="008C29F7">
        <w:rPr>
          <w:sz w:val="19"/>
          <w:szCs w:val="19"/>
        </w:rPr>
        <w:t>, 83(3), p. 688–92.</w:t>
      </w:r>
    </w:p>
    <w:p w14:paraId="6D32C67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Henzy, J. E. </w:t>
      </w:r>
      <w:r w:rsidRPr="008C29F7">
        <w:rPr>
          <w:i/>
          <w:sz w:val="19"/>
          <w:szCs w:val="19"/>
        </w:rPr>
        <w:t>et al.</w:t>
      </w:r>
      <w:r w:rsidRPr="008C29F7">
        <w:rPr>
          <w:sz w:val="19"/>
          <w:szCs w:val="19"/>
        </w:rPr>
        <w:t xml:space="preserve"> (2014) A novel recombinant retrovirus in the genomes of modern birds combines features of avian and mammalian retroviruses., </w:t>
      </w:r>
      <w:r w:rsidRPr="008C29F7">
        <w:rPr>
          <w:i/>
          <w:sz w:val="19"/>
          <w:szCs w:val="19"/>
        </w:rPr>
        <w:t>Journal of Virology</w:t>
      </w:r>
      <w:r w:rsidRPr="008C29F7">
        <w:rPr>
          <w:sz w:val="19"/>
          <w:szCs w:val="19"/>
        </w:rPr>
        <w:t xml:space="preserve">, 88(5), p. 2398–405. </w:t>
      </w:r>
    </w:p>
    <w:p w14:paraId="3699CB6E" w14:textId="0A18348F" w:rsidR="00CC16E6" w:rsidRPr="00CC16E6" w:rsidRDefault="00CC16E6" w:rsidP="008C29F7">
      <w:pPr>
        <w:pStyle w:val="Figure"/>
        <w:spacing w:before="0" w:after="60" w:line="240" w:lineRule="auto"/>
        <w:ind w:left="426" w:hanging="426"/>
        <w:rPr>
          <w:sz w:val="19"/>
          <w:szCs w:val="19"/>
        </w:rPr>
      </w:pPr>
      <w:r>
        <w:rPr>
          <w:sz w:val="19"/>
          <w:szCs w:val="19"/>
        </w:rPr>
        <w:t xml:space="preserve">Herniou, E. </w:t>
      </w:r>
      <w:r>
        <w:rPr>
          <w:i/>
          <w:sz w:val="19"/>
          <w:szCs w:val="19"/>
        </w:rPr>
        <w:t>et al.</w:t>
      </w:r>
      <w:r>
        <w:rPr>
          <w:sz w:val="19"/>
          <w:szCs w:val="19"/>
        </w:rPr>
        <w:t xml:space="preserve"> (1998) Retroviral diversity and distribution in the vertebrates., </w:t>
      </w:r>
      <w:r>
        <w:rPr>
          <w:i/>
          <w:sz w:val="19"/>
          <w:szCs w:val="19"/>
        </w:rPr>
        <w:t>Journal of Virology</w:t>
      </w:r>
      <w:r>
        <w:rPr>
          <w:sz w:val="19"/>
          <w:szCs w:val="19"/>
        </w:rPr>
        <w:t>, 72, p. 5955-66.</w:t>
      </w:r>
    </w:p>
    <w:p w14:paraId="4FF5DA64" w14:textId="4C92CB9B"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Hillier, L. </w:t>
      </w:r>
      <w:r w:rsidRPr="008C29F7">
        <w:rPr>
          <w:i/>
          <w:sz w:val="19"/>
          <w:szCs w:val="19"/>
        </w:rPr>
        <w:t>et al.</w:t>
      </w:r>
      <w:r w:rsidRPr="008C29F7">
        <w:rPr>
          <w:sz w:val="19"/>
          <w:szCs w:val="19"/>
        </w:rPr>
        <w:t xml:space="preserve"> (2004) Sequence and comparative analysis of the chicken genome provide unique perspectives on vertebrate evolution., </w:t>
      </w:r>
      <w:r w:rsidRPr="008C29F7">
        <w:rPr>
          <w:i/>
          <w:sz w:val="19"/>
          <w:szCs w:val="19"/>
        </w:rPr>
        <w:t>Nature</w:t>
      </w:r>
      <w:r w:rsidRPr="008C29F7">
        <w:rPr>
          <w:sz w:val="19"/>
          <w:szCs w:val="19"/>
        </w:rPr>
        <w:t xml:space="preserve">, 432(7018), p. 695–716. </w:t>
      </w:r>
    </w:p>
    <w:p w14:paraId="25C809A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Hocking, P. M. and Guggenheim, J. A. (2014) The chick as an animal model of eye disease, </w:t>
      </w:r>
      <w:r w:rsidRPr="008C29F7">
        <w:rPr>
          <w:i/>
          <w:sz w:val="19"/>
          <w:szCs w:val="19"/>
        </w:rPr>
        <w:t>Drug Discovery Today: Disease Models</w:t>
      </w:r>
      <w:r w:rsidRPr="008C29F7">
        <w:rPr>
          <w:sz w:val="19"/>
          <w:szCs w:val="19"/>
        </w:rPr>
        <w:t xml:space="preserve">, 10(4), p. e225–30. </w:t>
      </w:r>
    </w:p>
    <w:p w14:paraId="0627A8B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Howe, K. and Wood, J. M. (2015) Using optical mapping data for the improvement of vertebrate genome assemblies, </w:t>
      </w:r>
      <w:r w:rsidRPr="008C29F7">
        <w:rPr>
          <w:i/>
          <w:sz w:val="19"/>
          <w:szCs w:val="19"/>
        </w:rPr>
        <w:t>GigaScience</w:t>
      </w:r>
      <w:r w:rsidRPr="008C29F7">
        <w:rPr>
          <w:sz w:val="19"/>
          <w:szCs w:val="19"/>
        </w:rPr>
        <w:t xml:space="preserve">, 4(1), p. 10. </w:t>
      </w:r>
    </w:p>
    <w:p w14:paraId="3A7FFB7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 X., Zhu, W., Chen, S., Liu, Y., Sun, Z., Geng, T., Wang, X., </w:t>
      </w:r>
      <w:r w:rsidRPr="008C29F7">
        <w:rPr>
          <w:i/>
          <w:sz w:val="19"/>
          <w:szCs w:val="19"/>
        </w:rPr>
        <w:t>et al.</w:t>
      </w:r>
      <w:r w:rsidRPr="008C29F7">
        <w:rPr>
          <w:sz w:val="19"/>
          <w:szCs w:val="19"/>
        </w:rPr>
        <w:t xml:space="preserve"> (2016) Expression of the env gene from the avian endogenous retrovirus ALVE and regulation by miR-155, </w:t>
      </w:r>
      <w:r w:rsidRPr="008C29F7">
        <w:rPr>
          <w:i/>
          <w:sz w:val="19"/>
          <w:szCs w:val="19"/>
        </w:rPr>
        <w:t>Archives of Virology</w:t>
      </w:r>
      <w:r w:rsidRPr="008C29F7">
        <w:rPr>
          <w:sz w:val="19"/>
          <w:szCs w:val="19"/>
        </w:rPr>
        <w:t xml:space="preserve">, 161(6), p. 1623–32. </w:t>
      </w:r>
    </w:p>
    <w:p w14:paraId="5ADE40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Hu, X., Zhu, W., Chen, S., Liu, Y., Sun, Z., Geng, T., Song, C., </w:t>
      </w:r>
      <w:r w:rsidRPr="008C29F7">
        <w:rPr>
          <w:i/>
          <w:sz w:val="19"/>
          <w:szCs w:val="19"/>
        </w:rPr>
        <w:t>et al.</w:t>
      </w:r>
      <w:r w:rsidRPr="008C29F7">
        <w:rPr>
          <w:sz w:val="19"/>
          <w:szCs w:val="19"/>
        </w:rPr>
        <w:t xml:space="preserve"> (2016) Expression patterns of endogenous avian retrovirus ALVE1 and its response to infection with exogenous avian tumour viruses, </w:t>
      </w:r>
      <w:r w:rsidRPr="008C29F7">
        <w:rPr>
          <w:i/>
          <w:sz w:val="19"/>
          <w:szCs w:val="19"/>
        </w:rPr>
        <w:t>Archives of Virology</w:t>
      </w:r>
      <w:r w:rsidRPr="008C29F7">
        <w:rPr>
          <w:sz w:val="19"/>
          <w:szCs w:val="19"/>
        </w:rPr>
        <w:t xml:space="preserve">. 162(1), p. 89-101. </w:t>
      </w:r>
    </w:p>
    <w:p w14:paraId="1B5D1A3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 Y. </w:t>
      </w:r>
      <w:r w:rsidRPr="008C29F7">
        <w:rPr>
          <w:i/>
          <w:sz w:val="19"/>
          <w:szCs w:val="19"/>
        </w:rPr>
        <w:t>et al.</w:t>
      </w:r>
      <w:r w:rsidRPr="008C29F7">
        <w:rPr>
          <w:sz w:val="19"/>
          <w:szCs w:val="19"/>
        </w:rPr>
        <w:t xml:space="preserve"> (2013) Comparison of the genome-wide DNA methylation profiles between fast-growing and slow-growing broilers., </w:t>
      </w:r>
      <w:r w:rsidRPr="008C29F7">
        <w:rPr>
          <w:i/>
          <w:sz w:val="19"/>
          <w:szCs w:val="19"/>
        </w:rPr>
        <w:t>PloS one</w:t>
      </w:r>
      <w:r w:rsidRPr="008C29F7">
        <w:rPr>
          <w:sz w:val="19"/>
          <w:szCs w:val="19"/>
        </w:rPr>
        <w:t>, 8(2), p. e56411.</w:t>
      </w:r>
    </w:p>
    <w:p w14:paraId="5DC252F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Huang, Y. </w:t>
      </w:r>
      <w:r w:rsidRPr="008C29F7">
        <w:rPr>
          <w:i/>
          <w:sz w:val="19"/>
          <w:szCs w:val="19"/>
        </w:rPr>
        <w:t>et al.</w:t>
      </w:r>
      <w:r w:rsidRPr="008C29F7">
        <w:rPr>
          <w:sz w:val="19"/>
          <w:szCs w:val="19"/>
        </w:rPr>
        <w:t xml:space="preserve"> (2013) The duck genome and transcriptome provide insight into an avian influenza virus reservoir species, </w:t>
      </w:r>
      <w:r w:rsidRPr="008C29F7">
        <w:rPr>
          <w:i/>
          <w:sz w:val="19"/>
          <w:szCs w:val="19"/>
        </w:rPr>
        <w:t>Nature Genetics</w:t>
      </w:r>
      <w:r w:rsidRPr="008C29F7">
        <w:rPr>
          <w:sz w:val="19"/>
          <w:szCs w:val="19"/>
        </w:rPr>
        <w:t xml:space="preserve">, 45(7), p. 776–83. </w:t>
      </w:r>
    </w:p>
    <w:p w14:paraId="02F4C78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Huda, A. </w:t>
      </w:r>
      <w:r w:rsidRPr="008C29F7">
        <w:rPr>
          <w:i/>
          <w:sz w:val="19"/>
          <w:szCs w:val="19"/>
        </w:rPr>
        <w:t>et al.</w:t>
      </w:r>
      <w:r w:rsidRPr="008C29F7">
        <w:rPr>
          <w:sz w:val="19"/>
          <w:szCs w:val="19"/>
        </w:rPr>
        <w:t xml:space="preserve"> (2008) Endogenous retroviruses of the chicken genome., </w:t>
      </w:r>
      <w:r w:rsidRPr="008C29F7">
        <w:rPr>
          <w:i/>
          <w:sz w:val="19"/>
          <w:szCs w:val="19"/>
        </w:rPr>
        <w:t>Biology Direct</w:t>
      </w:r>
      <w:r w:rsidRPr="008C29F7">
        <w:rPr>
          <w:sz w:val="19"/>
          <w:szCs w:val="19"/>
        </w:rPr>
        <w:t xml:space="preserve">, 3(9). </w:t>
      </w:r>
    </w:p>
    <w:p w14:paraId="0397A06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Hughes, A. L. and Hughes, M. K. (1995) Small genomes for better flyers, </w:t>
      </w:r>
      <w:r w:rsidRPr="008C29F7">
        <w:rPr>
          <w:i/>
          <w:sz w:val="19"/>
          <w:szCs w:val="19"/>
        </w:rPr>
        <w:t>Nature</w:t>
      </w:r>
      <w:r w:rsidRPr="008C29F7">
        <w:rPr>
          <w:sz w:val="19"/>
          <w:szCs w:val="19"/>
        </w:rPr>
        <w:t xml:space="preserve">, 5, p. 391. </w:t>
      </w:r>
    </w:p>
    <w:p w14:paraId="6AF1236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Hughes, J. F. and Coffin, J. M. (2001) Evidence for genomic rearrangements mediated by human endogenous retroviruses during primate evolution., </w:t>
      </w:r>
      <w:r w:rsidRPr="008C29F7">
        <w:rPr>
          <w:i/>
          <w:sz w:val="19"/>
          <w:szCs w:val="19"/>
        </w:rPr>
        <w:t>Nature Genetics</w:t>
      </w:r>
      <w:r w:rsidRPr="008C29F7">
        <w:rPr>
          <w:sz w:val="19"/>
          <w:szCs w:val="19"/>
        </w:rPr>
        <w:t xml:space="preserve">, 29(4), p. 487–489. </w:t>
      </w:r>
    </w:p>
    <w:p w14:paraId="3FE8EA2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Hunt, H. </w:t>
      </w:r>
      <w:r w:rsidRPr="008C29F7">
        <w:rPr>
          <w:i/>
          <w:sz w:val="19"/>
          <w:szCs w:val="19"/>
        </w:rPr>
        <w:t>et al.</w:t>
      </w:r>
      <w:r w:rsidRPr="008C29F7">
        <w:rPr>
          <w:sz w:val="19"/>
          <w:szCs w:val="19"/>
        </w:rPr>
        <w:t xml:space="preserve"> (2008) Survey of endogenous virus and TVB* receptor status of commercial chicken stocks supplying specific-pathogen-free eggs., </w:t>
      </w:r>
      <w:r w:rsidRPr="008C29F7">
        <w:rPr>
          <w:i/>
          <w:sz w:val="19"/>
          <w:szCs w:val="19"/>
        </w:rPr>
        <w:t>Avian diseases</w:t>
      </w:r>
      <w:r w:rsidRPr="008C29F7">
        <w:rPr>
          <w:sz w:val="19"/>
          <w:szCs w:val="19"/>
        </w:rPr>
        <w:t xml:space="preserve">, 52(3), p. 433–40. </w:t>
      </w:r>
    </w:p>
    <w:p w14:paraId="656C85F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Hurst, T. and Magiorkinis, G. (2014) Activation of the innate immune response by endogenous retroviruses, </w:t>
      </w:r>
      <w:r w:rsidRPr="008C29F7">
        <w:rPr>
          <w:i/>
          <w:sz w:val="19"/>
          <w:szCs w:val="19"/>
        </w:rPr>
        <w:t>Journal of General Virology</w:t>
      </w:r>
      <w:r w:rsidRPr="008C29F7">
        <w:rPr>
          <w:sz w:val="19"/>
          <w:szCs w:val="19"/>
        </w:rPr>
        <w:t>, 96(6), p. 1207-18.</w:t>
      </w:r>
    </w:p>
    <w:p w14:paraId="0F5BD80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Iraqi, F. and Smith, E. J. (1995) Organization of the sex-linked late-feathering haplotype in chickens., </w:t>
      </w:r>
      <w:r w:rsidRPr="008C29F7">
        <w:rPr>
          <w:i/>
          <w:sz w:val="19"/>
          <w:szCs w:val="19"/>
        </w:rPr>
        <w:t>Animal Genetics</w:t>
      </w:r>
      <w:r w:rsidRPr="008C29F7">
        <w:rPr>
          <w:sz w:val="19"/>
          <w:szCs w:val="19"/>
        </w:rPr>
        <w:t xml:space="preserve">, 26(3), p. 141–6. </w:t>
      </w:r>
    </w:p>
    <w:p w14:paraId="517B5E1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Iraqi, F., Soller, M. and Beckmann, J. S. (1991) Distribution of endogenous viruses in some commercial chicken layer populations., </w:t>
      </w:r>
      <w:r w:rsidRPr="008C29F7">
        <w:rPr>
          <w:i/>
          <w:sz w:val="19"/>
          <w:szCs w:val="19"/>
        </w:rPr>
        <w:t>Poultry Science</w:t>
      </w:r>
      <w:r w:rsidRPr="008C29F7">
        <w:rPr>
          <w:sz w:val="19"/>
          <w:szCs w:val="19"/>
        </w:rPr>
        <w:t>, 70(4), p. 665–79.</w:t>
      </w:r>
    </w:p>
    <w:p w14:paraId="04D527C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Isbel, L. and Whitelaw, E. (2012) Endogenous retroviruses in mammals: an emerging picture of how ERVs modify expression of adjacent genes., </w:t>
      </w:r>
      <w:r w:rsidRPr="008C29F7">
        <w:rPr>
          <w:i/>
          <w:sz w:val="19"/>
          <w:szCs w:val="19"/>
        </w:rPr>
        <w:t>BioEssays</w:t>
      </w:r>
      <w:r w:rsidRPr="008C29F7">
        <w:rPr>
          <w:sz w:val="19"/>
          <w:szCs w:val="19"/>
        </w:rPr>
        <w:t>, 34(9), p. 734–8.</w:t>
      </w:r>
    </w:p>
    <w:p w14:paraId="00645A4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Ito, J. </w:t>
      </w:r>
      <w:r w:rsidRPr="008C29F7">
        <w:rPr>
          <w:i/>
          <w:sz w:val="19"/>
          <w:szCs w:val="19"/>
        </w:rPr>
        <w:t>et al.</w:t>
      </w:r>
      <w:r w:rsidRPr="008C29F7">
        <w:rPr>
          <w:sz w:val="19"/>
          <w:szCs w:val="19"/>
        </w:rPr>
        <w:t xml:space="preserve"> (2013) Refrex-1, a soluble restriction factor against feline endogenous and exogenous retroviruses., </w:t>
      </w:r>
      <w:r w:rsidRPr="008C29F7">
        <w:rPr>
          <w:i/>
          <w:sz w:val="19"/>
          <w:szCs w:val="19"/>
        </w:rPr>
        <w:t>Journal of Virology</w:t>
      </w:r>
      <w:r w:rsidRPr="008C29F7">
        <w:rPr>
          <w:sz w:val="19"/>
          <w:szCs w:val="19"/>
        </w:rPr>
        <w:t xml:space="preserve">, 87(22), p. 12029–40. </w:t>
      </w:r>
    </w:p>
    <w:p w14:paraId="24E762B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Jacques, P.-É., Jeyakani, J. and Bourque, G. (2013) The majority of primate-specific regulatory sequences are derived from transposable elements., </w:t>
      </w:r>
      <w:r w:rsidRPr="008C29F7">
        <w:rPr>
          <w:i/>
          <w:sz w:val="19"/>
          <w:szCs w:val="19"/>
        </w:rPr>
        <w:t>PLoS genetics</w:t>
      </w:r>
      <w:r w:rsidRPr="008C29F7">
        <w:rPr>
          <w:sz w:val="19"/>
          <w:szCs w:val="19"/>
        </w:rPr>
        <w:t xml:space="preserve">, 9(5), p. e1003504. </w:t>
      </w:r>
    </w:p>
    <w:p w14:paraId="5BC26D3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Jadin, L. </w:t>
      </w:r>
      <w:r w:rsidRPr="008C29F7">
        <w:rPr>
          <w:i/>
          <w:sz w:val="19"/>
          <w:szCs w:val="19"/>
        </w:rPr>
        <w:t>et al.</w:t>
      </w:r>
      <w:r w:rsidRPr="008C29F7">
        <w:rPr>
          <w:sz w:val="19"/>
          <w:szCs w:val="19"/>
        </w:rPr>
        <w:t xml:space="preserve"> (2008) Skeletal and hematological anomalies in HYAL2-deficient mice: a second type of mucopolysaccharidosis IX?, </w:t>
      </w:r>
      <w:r w:rsidRPr="008C29F7">
        <w:rPr>
          <w:i/>
          <w:sz w:val="19"/>
          <w:szCs w:val="19"/>
        </w:rPr>
        <w:t>The FASEB Journal</w:t>
      </w:r>
      <w:r w:rsidRPr="008C29F7">
        <w:rPr>
          <w:sz w:val="19"/>
          <w:szCs w:val="19"/>
        </w:rPr>
        <w:t>, 22(12), p. 4316–26.</w:t>
      </w:r>
    </w:p>
    <w:p w14:paraId="4CE550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Janes, D. E. </w:t>
      </w:r>
      <w:r w:rsidRPr="008C29F7">
        <w:rPr>
          <w:i/>
          <w:sz w:val="19"/>
          <w:szCs w:val="19"/>
        </w:rPr>
        <w:t>et al.</w:t>
      </w:r>
      <w:r w:rsidRPr="008C29F7">
        <w:rPr>
          <w:sz w:val="19"/>
          <w:szCs w:val="19"/>
        </w:rPr>
        <w:t xml:space="preserve"> (2010) Genome Evolution in Reptilia, the Sister Group of Mammals, </w:t>
      </w:r>
      <w:r w:rsidRPr="008C29F7">
        <w:rPr>
          <w:i/>
          <w:sz w:val="19"/>
          <w:szCs w:val="19"/>
        </w:rPr>
        <w:t>Annual Review of Genomics: Human Genetics</w:t>
      </w:r>
      <w:r w:rsidRPr="008C29F7">
        <w:rPr>
          <w:sz w:val="19"/>
          <w:szCs w:val="19"/>
        </w:rPr>
        <w:t xml:space="preserve">, 11, p. 239–64. </w:t>
      </w:r>
    </w:p>
    <w:p w14:paraId="144DC65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Jang, H.-M. </w:t>
      </w:r>
      <w:r w:rsidRPr="008C29F7">
        <w:rPr>
          <w:i/>
          <w:sz w:val="19"/>
          <w:szCs w:val="19"/>
        </w:rPr>
        <w:t>et al.</w:t>
      </w:r>
      <w:r w:rsidRPr="008C29F7">
        <w:rPr>
          <w:sz w:val="19"/>
          <w:szCs w:val="19"/>
        </w:rPr>
        <w:t xml:space="preserve"> (2014) Genome resequencing and bioinformatic analysis of SNP containing candidate genes in the autoimmune vitiligo Smyth line chicken model., </w:t>
      </w:r>
      <w:r w:rsidRPr="008C29F7">
        <w:rPr>
          <w:i/>
          <w:sz w:val="19"/>
          <w:szCs w:val="19"/>
        </w:rPr>
        <w:t>BMC Genomics</w:t>
      </w:r>
      <w:r w:rsidRPr="008C29F7">
        <w:rPr>
          <w:sz w:val="19"/>
          <w:szCs w:val="19"/>
        </w:rPr>
        <w:t xml:space="preserve">, 15(1), p. 707. </w:t>
      </w:r>
    </w:p>
    <w:p w14:paraId="06BFE0C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Jarvis, E. D. (2014) Whole-genome analyses resolve early branches in the tree of life of modern birds, </w:t>
      </w:r>
      <w:r w:rsidRPr="008C29F7">
        <w:rPr>
          <w:i/>
          <w:sz w:val="19"/>
          <w:szCs w:val="19"/>
        </w:rPr>
        <w:t>Science</w:t>
      </w:r>
      <w:r w:rsidRPr="008C29F7">
        <w:rPr>
          <w:sz w:val="19"/>
          <w:szCs w:val="19"/>
        </w:rPr>
        <w:t xml:space="preserve">, 346(6215), p. 1126–38. </w:t>
      </w:r>
    </w:p>
    <w:p w14:paraId="0A1E5FC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Jarvis, E. D. </w:t>
      </w:r>
      <w:r w:rsidRPr="008C29F7">
        <w:rPr>
          <w:i/>
          <w:sz w:val="19"/>
          <w:szCs w:val="19"/>
        </w:rPr>
        <w:t>et al.</w:t>
      </w:r>
      <w:r w:rsidRPr="008C29F7">
        <w:rPr>
          <w:sz w:val="19"/>
          <w:szCs w:val="19"/>
        </w:rPr>
        <w:t xml:space="preserve"> (2015) Phylogenomic analyses data of the avian phylogenomics project., </w:t>
      </w:r>
      <w:r w:rsidRPr="008C29F7">
        <w:rPr>
          <w:i/>
          <w:sz w:val="19"/>
          <w:szCs w:val="19"/>
        </w:rPr>
        <w:t>GigaScience</w:t>
      </w:r>
      <w:r w:rsidRPr="008C29F7">
        <w:rPr>
          <w:sz w:val="19"/>
          <w:szCs w:val="19"/>
        </w:rPr>
        <w:t>, 4, p. 4.</w:t>
      </w:r>
    </w:p>
    <w:p w14:paraId="4A4DEF7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Jern, P. and Coffin, J. M. (2008) Effects of retroviruses on host genome function, </w:t>
      </w:r>
      <w:r w:rsidRPr="008C29F7">
        <w:rPr>
          <w:i/>
          <w:sz w:val="19"/>
          <w:szCs w:val="19"/>
        </w:rPr>
        <w:t>Annual review of genetics</w:t>
      </w:r>
      <w:r w:rsidRPr="008C29F7">
        <w:rPr>
          <w:sz w:val="19"/>
          <w:szCs w:val="19"/>
        </w:rPr>
        <w:t xml:space="preserve">, 42, p. 709–32. </w:t>
      </w:r>
    </w:p>
    <w:p w14:paraId="2AE8D10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Jern, P., Sperber, G. O. and Blomberg, J. (2005) Use of endogenous retroviral sequences (ERVs) and structural markers for retroviral phylogenetic inference and taxonomy., </w:t>
      </w:r>
      <w:r w:rsidRPr="008C29F7">
        <w:rPr>
          <w:i/>
          <w:sz w:val="19"/>
          <w:szCs w:val="19"/>
        </w:rPr>
        <w:t>Retrovirology</w:t>
      </w:r>
      <w:r w:rsidRPr="008C29F7">
        <w:rPr>
          <w:sz w:val="19"/>
          <w:szCs w:val="19"/>
        </w:rPr>
        <w:t xml:space="preserve">, 2(50). </w:t>
      </w:r>
    </w:p>
    <w:p w14:paraId="40A875E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Jiao, W.-B. </w:t>
      </w:r>
      <w:r w:rsidRPr="008C29F7">
        <w:rPr>
          <w:i/>
          <w:sz w:val="19"/>
          <w:szCs w:val="19"/>
        </w:rPr>
        <w:t>et al.</w:t>
      </w:r>
      <w:r w:rsidRPr="008C29F7">
        <w:rPr>
          <w:sz w:val="19"/>
          <w:szCs w:val="19"/>
        </w:rPr>
        <w:t xml:space="preserve"> (2017) Improving and correcting the contiguity of long-read genome assemblies of three plant species using optical mapping and chromosome conformation capture data, </w:t>
      </w:r>
      <w:r w:rsidRPr="008C29F7">
        <w:rPr>
          <w:i/>
          <w:sz w:val="19"/>
          <w:szCs w:val="19"/>
        </w:rPr>
        <w:t>Genome Research</w:t>
      </w:r>
      <w:r w:rsidRPr="008C29F7">
        <w:rPr>
          <w:sz w:val="19"/>
          <w:szCs w:val="19"/>
        </w:rPr>
        <w:t xml:space="preserve">, 27(5), p. 778–86. </w:t>
      </w:r>
    </w:p>
    <w:p w14:paraId="19BFEFC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Jurka, J. </w:t>
      </w:r>
      <w:r w:rsidRPr="008C29F7">
        <w:rPr>
          <w:i/>
          <w:sz w:val="19"/>
          <w:szCs w:val="19"/>
        </w:rPr>
        <w:t>et al.</w:t>
      </w:r>
      <w:r w:rsidRPr="008C29F7">
        <w:rPr>
          <w:sz w:val="19"/>
          <w:szCs w:val="19"/>
        </w:rPr>
        <w:t xml:space="preserve"> (2005) Repbase Update, a database of eukaryotic repetitive elements., </w:t>
      </w:r>
      <w:r w:rsidRPr="008C29F7">
        <w:rPr>
          <w:i/>
          <w:sz w:val="19"/>
          <w:szCs w:val="19"/>
        </w:rPr>
        <w:t>Cytogenetic and genome research</w:t>
      </w:r>
      <w:r w:rsidRPr="008C29F7">
        <w:rPr>
          <w:sz w:val="19"/>
          <w:szCs w:val="19"/>
        </w:rPr>
        <w:t xml:space="preserve">, 110, p. 462–7. </w:t>
      </w:r>
    </w:p>
    <w:p w14:paraId="735E0BA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Justice, J. and Beemon, K. L. (2013) Avian retroviral replication., </w:t>
      </w:r>
      <w:r w:rsidRPr="008C29F7">
        <w:rPr>
          <w:i/>
          <w:sz w:val="19"/>
          <w:szCs w:val="19"/>
        </w:rPr>
        <w:t>Current opinion in virology</w:t>
      </w:r>
      <w:r w:rsidRPr="008C29F7">
        <w:rPr>
          <w:sz w:val="19"/>
          <w:szCs w:val="19"/>
        </w:rPr>
        <w:t xml:space="preserve">, 3, p. 1–6. </w:t>
      </w:r>
    </w:p>
    <w:p w14:paraId="79F2745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 S. </w:t>
      </w:r>
      <w:r w:rsidRPr="008C29F7">
        <w:rPr>
          <w:i/>
          <w:sz w:val="19"/>
          <w:szCs w:val="19"/>
        </w:rPr>
        <w:t>et al.</w:t>
      </w:r>
      <w:r w:rsidRPr="008C29F7">
        <w:rPr>
          <w:sz w:val="19"/>
          <w:szCs w:val="19"/>
        </w:rPr>
        <w:t xml:space="preserve"> (2009) Proviral integrations and expression of endogenous avian leucosis virus during long term selection for high and low body weight in two chicken lines., </w:t>
      </w:r>
      <w:r w:rsidRPr="008C29F7">
        <w:rPr>
          <w:i/>
          <w:sz w:val="19"/>
          <w:szCs w:val="19"/>
        </w:rPr>
        <w:t>Retrovirology</w:t>
      </w:r>
      <w:r w:rsidRPr="008C29F7">
        <w:rPr>
          <w:sz w:val="19"/>
          <w:szCs w:val="19"/>
        </w:rPr>
        <w:t xml:space="preserve">, 6, p. 68. </w:t>
      </w:r>
    </w:p>
    <w:p w14:paraId="65650F2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Kaessmann, H., Vinckenbosch, N. and Long, M. (2009) RNA-based gene duplication: mechanistic and evolutionary insights., </w:t>
      </w:r>
      <w:r w:rsidRPr="008C29F7">
        <w:rPr>
          <w:i/>
          <w:sz w:val="19"/>
          <w:szCs w:val="19"/>
        </w:rPr>
        <w:t>Nature Reviews Genetics</w:t>
      </w:r>
      <w:r w:rsidRPr="008C29F7">
        <w:rPr>
          <w:sz w:val="19"/>
          <w:szCs w:val="19"/>
        </w:rPr>
        <w:t xml:space="preserve">, 10(1), p. 19–31. </w:t>
      </w:r>
    </w:p>
    <w:p w14:paraId="71025EB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Käll, L., Krogh, A. and Sonnhammer, E. L. (2004) A Combined Transmembrane Topology and Signal Peptide Prediction Method, </w:t>
      </w:r>
      <w:r w:rsidRPr="008C29F7">
        <w:rPr>
          <w:i/>
          <w:sz w:val="19"/>
          <w:szCs w:val="19"/>
        </w:rPr>
        <w:t>Journal of Molecular Biology</w:t>
      </w:r>
      <w:r w:rsidRPr="008C29F7">
        <w:rPr>
          <w:sz w:val="19"/>
          <w:szCs w:val="19"/>
        </w:rPr>
        <w:t>, 338(5), p. 1027–36.</w:t>
      </w:r>
    </w:p>
    <w:p w14:paraId="02F9A59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Kalyanaraman, A. and Aluru, S. (2006) Efficient algorithms and software for detection of full-length LTR retrotransposons, </w:t>
      </w:r>
      <w:r w:rsidRPr="008C29F7">
        <w:rPr>
          <w:i/>
          <w:sz w:val="19"/>
          <w:szCs w:val="19"/>
        </w:rPr>
        <w:t>Journal of Bioinformatics and Computational Biology</w:t>
      </w:r>
      <w:r w:rsidRPr="008C29F7">
        <w:rPr>
          <w:sz w:val="19"/>
          <w:szCs w:val="19"/>
        </w:rPr>
        <w:t xml:space="preserve">, 4(2), p. 197–216. </w:t>
      </w:r>
    </w:p>
    <w:p w14:paraId="3E529AC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Kan, X.-Z. </w:t>
      </w:r>
      <w:r w:rsidRPr="008C29F7">
        <w:rPr>
          <w:i/>
          <w:sz w:val="19"/>
          <w:szCs w:val="19"/>
        </w:rPr>
        <w:t>et al.</w:t>
      </w:r>
      <w:r w:rsidRPr="008C29F7">
        <w:rPr>
          <w:sz w:val="19"/>
          <w:szCs w:val="19"/>
        </w:rPr>
        <w:t xml:space="preserve"> (2010) Phylogeny of major lineages of galliform birds (Aves: Galliformes) based on complete mitochondrial genomes., </w:t>
      </w:r>
      <w:r w:rsidRPr="008C29F7">
        <w:rPr>
          <w:i/>
          <w:sz w:val="19"/>
          <w:szCs w:val="19"/>
        </w:rPr>
        <w:t>Genetics and molecular research</w:t>
      </w:r>
      <w:r w:rsidRPr="008C29F7">
        <w:rPr>
          <w:sz w:val="19"/>
          <w:szCs w:val="19"/>
        </w:rPr>
        <w:t xml:space="preserve">, 9(3), p. 1625–33. </w:t>
      </w:r>
    </w:p>
    <w:p w14:paraId="02078C2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Kanda, R., Tristem, M. and Coulson, T. (2013) Exploring the effects of immunity and life history on the dynamics of an endogenous retrovirus, </w:t>
      </w:r>
      <w:r w:rsidRPr="008C29F7">
        <w:rPr>
          <w:i/>
          <w:sz w:val="19"/>
          <w:szCs w:val="19"/>
        </w:rPr>
        <w:t>Philosophical Transactions of The Royal Society B: Biological Sciences</w:t>
      </w:r>
      <w:r w:rsidRPr="008C29F7">
        <w:rPr>
          <w:sz w:val="19"/>
          <w:szCs w:val="19"/>
        </w:rPr>
        <w:t xml:space="preserve">, 368(1626). </w:t>
      </w:r>
    </w:p>
    <w:p w14:paraId="76975FF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Kansaku, N. </w:t>
      </w:r>
      <w:r w:rsidRPr="008C29F7">
        <w:rPr>
          <w:i/>
          <w:sz w:val="19"/>
          <w:szCs w:val="19"/>
        </w:rPr>
        <w:t>et al.</w:t>
      </w:r>
      <w:r w:rsidRPr="008C29F7">
        <w:rPr>
          <w:sz w:val="19"/>
          <w:szCs w:val="19"/>
        </w:rPr>
        <w:t xml:space="preserve"> (2011) Sequence Characterization of K-gene Linked Region in Various Chicken Breeds, </w:t>
      </w:r>
      <w:r w:rsidRPr="008C29F7">
        <w:rPr>
          <w:i/>
          <w:sz w:val="19"/>
          <w:szCs w:val="19"/>
        </w:rPr>
        <w:t>Journal of Poultry Science</w:t>
      </w:r>
      <w:r w:rsidRPr="008C29F7">
        <w:rPr>
          <w:sz w:val="19"/>
          <w:szCs w:val="19"/>
        </w:rPr>
        <w:t xml:space="preserve">, 48, p. 181–6. </w:t>
      </w:r>
    </w:p>
    <w:p w14:paraId="28499DB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Kapusta, A. </w:t>
      </w:r>
      <w:r w:rsidRPr="008C29F7">
        <w:rPr>
          <w:i/>
          <w:sz w:val="19"/>
          <w:szCs w:val="19"/>
        </w:rPr>
        <w:t>et al.</w:t>
      </w:r>
      <w:r w:rsidRPr="008C29F7">
        <w:rPr>
          <w:sz w:val="19"/>
          <w:szCs w:val="19"/>
        </w:rPr>
        <w:t xml:space="preserve"> (2013) Transposable elements are major contributors to the origin, diversification, and regulation of vertebrate long noncoding RNAs., </w:t>
      </w:r>
      <w:r w:rsidRPr="008C29F7">
        <w:rPr>
          <w:i/>
          <w:sz w:val="19"/>
          <w:szCs w:val="19"/>
        </w:rPr>
        <w:t>PLoS genetics</w:t>
      </w:r>
      <w:r w:rsidRPr="008C29F7">
        <w:rPr>
          <w:sz w:val="19"/>
          <w:szCs w:val="19"/>
        </w:rPr>
        <w:t xml:space="preserve">, 9(4), p. e1003470. </w:t>
      </w:r>
    </w:p>
    <w:p w14:paraId="2B34403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Kapusta, A. and Suh, A. (2017) Evolution of bird genomes-a transposons-eye view, </w:t>
      </w:r>
      <w:r w:rsidRPr="008C29F7">
        <w:rPr>
          <w:i/>
          <w:sz w:val="19"/>
          <w:szCs w:val="19"/>
        </w:rPr>
        <w:t>Annals of the New York Academy of Sciences</w:t>
      </w:r>
      <w:r w:rsidRPr="008C29F7">
        <w:rPr>
          <w:sz w:val="19"/>
          <w:szCs w:val="19"/>
        </w:rPr>
        <w:t xml:space="preserve">, 1389, p. 164–85. </w:t>
      </w:r>
    </w:p>
    <w:p w14:paraId="0E8F289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Kapusta, A., Suh, A. and Feschotte, C. (2017) Dynamics of genome size evolution in birds and mammals, </w:t>
      </w:r>
      <w:r w:rsidRPr="008C29F7">
        <w:rPr>
          <w:i/>
          <w:sz w:val="19"/>
          <w:szCs w:val="19"/>
        </w:rPr>
        <w:t>PNAS</w:t>
      </w:r>
      <w:r w:rsidRPr="008C29F7">
        <w:rPr>
          <w:sz w:val="19"/>
          <w:szCs w:val="19"/>
        </w:rPr>
        <w:t xml:space="preserve">, p. E1460-9. </w:t>
      </w:r>
    </w:p>
    <w:p w14:paraId="2514D05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Katz, R. A. and Skalka, A. M. (1990) Generation of diversity in retroviruses., </w:t>
      </w:r>
      <w:r w:rsidRPr="008C29F7">
        <w:rPr>
          <w:i/>
          <w:sz w:val="19"/>
          <w:szCs w:val="19"/>
        </w:rPr>
        <w:t>Annual review of genetics</w:t>
      </w:r>
      <w:r w:rsidRPr="008C29F7">
        <w:rPr>
          <w:sz w:val="19"/>
          <w:szCs w:val="19"/>
        </w:rPr>
        <w:t xml:space="preserve">, 24, p. 409–45. </w:t>
      </w:r>
    </w:p>
    <w:p w14:paraId="2A898F3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Katzourakis, A. </w:t>
      </w:r>
      <w:r w:rsidRPr="008C29F7">
        <w:rPr>
          <w:i/>
          <w:sz w:val="19"/>
          <w:szCs w:val="19"/>
        </w:rPr>
        <w:t>et al.</w:t>
      </w:r>
      <w:r w:rsidRPr="008C29F7">
        <w:rPr>
          <w:sz w:val="19"/>
          <w:szCs w:val="19"/>
        </w:rPr>
        <w:t xml:space="preserve"> (2007) Discovery and analysis of the first endogenous lentivirus., </w:t>
      </w:r>
      <w:r w:rsidRPr="008C29F7">
        <w:rPr>
          <w:i/>
          <w:sz w:val="19"/>
          <w:szCs w:val="19"/>
        </w:rPr>
        <w:t>PNAS</w:t>
      </w:r>
      <w:r w:rsidRPr="008C29F7">
        <w:rPr>
          <w:sz w:val="19"/>
          <w:szCs w:val="19"/>
        </w:rPr>
        <w:t xml:space="preserve">, 104(15), p. 6261–5. </w:t>
      </w:r>
    </w:p>
    <w:p w14:paraId="7A491E1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Katzourakis, A. and Gifford, R. J. (2010) Endogenous viral elements in animal genomes., </w:t>
      </w:r>
      <w:r w:rsidRPr="008C29F7">
        <w:rPr>
          <w:i/>
          <w:sz w:val="19"/>
          <w:szCs w:val="19"/>
        </w:rPr>
        <w:t>PLoS genetics</w:t>
      </w:r>
      <w:r w:rsidRPr="008C29F7">
        <w:rPr>
          <w:sz w:val="19"/>
          <w:szCs w:val="19"/>
        </w:rPr>
        <w:t>, 6(11), p. e1001191.</w:t>
      </w:r>
    </w:p>
    <w:p w14:paraId="6214D0D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Katzourakis, A., Rambaut, A. and Pybus, O. G. (2005) The evolutionary dynamics of endogenous retroviruses., </w:t>
      </w:r>
      <w:r w:rsidRPr="008C29F7">
        <w:rPr>
          <w:i/>
          <w:sz w:val="19"/>
          <w:szCs w:val="19"/>
        </w:rPr>
        <w:t>Trends in microbiology</w:t>
      </w:r>
      <w:r w:rsidRPr="008C29F7">
        <w:rPr>
          <w:sz w:val="19"/>
          <w:szCs w:val="19"/>
        </w:rPr>
        <w:t>, 13(10), p. 463–8.</w:t>
      </w:r>
    </w:p>
    <w:p w14:paraId="539BC80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Kawakami, T. </w:t>
      </w:r>
      <w:r w:rsidRPr="008C29F7">
        <w:rPr>
          <w:i/>
          <w:sz w:val="19"/>
          <w:szCs w:val="19"/>
        </w:rPr>
        <w:t>et al.</w:t>
      </w:r>
      <w:r w:rsidRPr="008C29F7">
        <w:rPr>
          <w:sz w:val="19"/>
          <w:szCs w:val="19"/>
        </w:rPr>
        <w:t xml:space="preserve"> (2014) A high-density linkage map enables a second-generation collared flycatcher genome assembly and reveals the patterns of avian recombination rate variation and chromosomal evolution, </w:t>
      </w:r>
      <w:r w:rsidRPr="008C29F7">
        <w:rPr>
          <w:i/>
          <w:sz w:val="19"/>
          <w:szCs w:val="19"/>
        </w:rPr>
        <w:t>Molecular Ecology</w:t>
      </w:r>
      <w:r w:rsidRPr="008C29F7">
        <w:rPr>
          <w:sz w:val="19"/>
          <w:szCs w:val="19"/>
        </w:rPr>
        <w:t>, 23(16), p. 4035–58.</w:t>
      </w:r>
    </w:p>
    <w:p w14:paraId="1A568AA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Kearse, M. </w:t>
      </w:r>
      <w:r w:rsidRPr="008C29F7">
        <w:rPr>
          <w:i/>
          <w:sz w:val="19"/>
          <w:szCs w:val="19"/>
        </w:rPr>
        <w:t>et al.</w:t>
      </w:r>
      <w:r w:rsidRPr="008C29F7">
        <w:rPr>
          <w:sz w:val="19"/>
          <w:szCs w:val="19"/>
        </w:rPr>
        <w:t xml:space="preserve"> (2012) Geneious Basic: an integrated and extendable desktop software platform for the organization and analysis of sequence data, </w:t>
      </w:r>
      <w:r w:rsidRPr="008C29F7">
        <w:rPr>
          <w:i/>
          <w:sz w:val="19"/>
          <w:szCs w:val="19"/>
        </w:rPr>
        <w:t>Bioinformatics</w:t>
      </w:r>
      <w:r w:rsidRPr="008C29F7">
        <w:rPr>
          <w:sz w:val="19"/>
          <w:szCs w:val="19"/>
        </w:rPr>
        <w:t>, 28(12), p. 1647–9.</w:t>
      </w:r>
    </w:p>
    <w:p w14:paraId="051283D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Khosravinia, H. (2009) Effect of the slow (K) or rapid (k +) feathering gene on carcass-related traits of broiler chickens selected for breast and thighs weight, </w:t>
      </w:r>
      <w:r w:rsidRPr="008C29F7">
        <w:rPr>
          <w:i/>
          <w:sz w:val="19"/>
          <w:szCs w:val="19"/>
        </w:rPr>
        <w:t>Russian Journal of Genetics</w:t>
      </w:r>
      <w:r w:rsidRPr="008C29F7">
        <w:rPr>
          <w:sz w:val="19"/>
          <w:szCs w:val="19"/>
        </w:rPr>
        <w:t xml:space="preserve">, 45(1), p. 98–104. </w:t>
      </w:r>
    </w:p>
    <w:p w14:paraId="325867A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Kijima, T. E. and Innan, H. (2010) On the estimation of the insertion time of LTR retrotransposable elements., </w:t>
      </w:r>
      <w:r w:rsidRPr="008C29F7">
        <w:rPr>
          <w:i/>
          <w:sz w:val="19"/>
          <w:szCs w:val="19"/>
        </w:rPr>
        <w:t>Molecular Biology and Evolution</w:t>
      </w:r>
      <w:r w:rsidRPr="008C29F7">
        <w:rPr>
          <w:sz w:val="19"/>
          <w:szCs w:val="19"/>
        </w:rPr>
        <w:t xml:space="preserve">, 27(4), p. 896–904. </w:t>
      </w:r>
    </w:p>
    <w:p w14:paraId="048E6E3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Kim, D. </w:t>
      </w:r>
      <w:r w:rsidRPr="008C29F7">
        <w:rPr>
          <w:i/>
          <w:sz w:val="19"/>
          <w:szCs w:val="19"/>
        </w:rPr>
        <w:t>et al.</w:t>
      </w:r>
      <w:r w:rsidRPr="008C29F7">
        <w:rPr>
          <w:sz w:val="19"/>
          <w:szCs w:val="19"/>
        </w:rPr>
        <w:t xml:space="preserve"> (2013) TopHat2: accurate alignment of transcriptomes in the presence of insertions, deletions and gene fusions., </w:t>
      </w:r>
      <w:r w:rsidRPr="008C29F7">
        <w:rPr>
          <w:i/>
          <w:sz w:val="19"/>
          <w:szCs w:val="19"/>
        </w:rPr>
        <w:t>Genome Biology</w:t>
      </w:r>
      <w:r w:rsidRPr="008C29F7">
        <w:rPr>
          <w:sz w:val="19"/>
          <w:szCs w:val="19"/>
        </w:rPr>
        <w:t xml:space="preserve">, 14(4), p. R36. </w:t>
      </w:r>
    </w:p>
    <w:p w14:paraId="6727961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Kordis, D. (2005) A genomic perspective on the chromodomain-containing retrotransposons: Chromoviruses., </w:t>
      </w:r>
      <w:r w:rsidRPr="008C29F7">
        <w:rPr>
          <w:i/>
          <w:sz w:val="19"/>
          <w:szCs w:val="19"/>
        </w:rPr>
        <w:t>Gene</w:t>
      </w:r>
      <w:r w:rsidRPr="008C29F7">
        <w:rPr>
          <w:sz w:val="19"/>
          <w:szCs w:val="19"/>
        </w:rPr>
        <w:t xml:space="preserve">, 347(2), p. 161–73. </w:t>
      </w:r>
    </w:p>
    <w:p w14:paraId="74B6B7B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Korte, A. and Farlow, A. (2013) The advantages and limitations of trait analysis with GWAS: a review., </w:t>
      </w:r>
      <w:r w:rsidRPr="008C29F7">
        <w:rPr>
          <w:i/>
          <w:sz w:val="19"/>
          <w:szCs w:val="19"/>
        </w:rPr>
        <w:t>Plant methods</w:t>
      </w:r>
      <w:r w:rsidRPr="008C29F7">
        <w:rPr>
          <w:sz w:val="19"/>
          <w:szCs w:val="19"/>
        </w:rPr>
        <w:t>. Plant Methods, 9(1), p. 29.</w:t>
      </w:r>
    </w:p>
    <w:p w14:paraId="20B2D7E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Kozak, C. (2014) Origins of the Endogenous and Infectious Laboratory Mouse Gammaretroviruses, </w:t>
      </w:r>
      <w:r w:rsidRPr="008C29F7">
        <w:rPr>
          <w:i/>
          <w:sz w:val="19"/>
          <w:szCs w:val="19"/>
        </w:rPr>
        <w:t>Viruses</w:t>
      </w:r>
      <w:r w:rsidRPr="008C29F7">
        <w:rPr>
          <w:sz w:val="19"/>
          <w:szCs w:val="19"/>
        </w:rPr>
        <w:t xml:space="preserve">, 7(1), p. 1–26. </w:t>
      </w:r>
    </w:p>
    <w:p w14:paraId="0810718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Kranis, A. </w:t>
      </w:r>
      <w:r w:rsidRPr="008C29F7">
        <w:rPr>
          <w:i/>
          <w:sz w:val="19"/>
          <w:szCs w:val="19"/>
        </w:rPr>
        <w:t>et al.</w:t>
      </w:r>
      <w:r w:rsidRPr="008C29F7">
        <w:rPr>
          <w:sz w:val="19"/>
          <w:szCs w:val="19"/>
        </w:rPr>
        <w:t xml:space="preserve"> (2013) Development of a high density 600K SNP genotyping array for chicken., </w:t>
      </w:r>
      <w:r w:rsidRPr="008C29F7">
        <w:rPr>
          <w:i/>
          <w:sz w:val="19"/>
          <w:szCs w:val="19"/>
        </w:rPr>
        <w:t>BMC Genomics</w:t>
      </w:r>
      <w:r w:rsidRPr="008C29F7">
        <w:rPr>
          <w:sz w:val="19"/>
          <w:szCs w:val="19"/>
        </w:rPr>
        <w:t xml:space="preserve">, 14(1), p. 59. </w:t>
      </w:r>
    </w:p>
    <w:p w14:paraId="79E0615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Krueger, F. (2013) Trim Galore. A wrapper tool around Cutadapt and FastQC to consistently apply quality and adapter trimming to FastQ files, with some extra functionality for MspI-digested RRBS-type (Reduced Representation Buisulfite-Seq) libraries.</w:t>
      </w:r>
    </w:p>
    <w:p w14:paraId="30035F3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Kuehn, L. </w:t>
      </w:r>
      <w:r w:rsidRPr="008C29F7">
        <w:rPr>
          <w:i/>
          <w:sz w:val="19"/>
          <w:szCs w:val="19"/>
        </w:rPr>
        <w:t>et al.</w:t>
      </w:r>
      <w:r w:rsidRPr="008C29F7">
        <w:rPr>
          <w:sz w:val="19"/>
          <w:szCs w:val="19"/>
        </w:rPr>
        <w:t xml:space="preserve"> (2006) Antibody response of chickens to sheep red blood cells: Crosses among divergently selected lines and relaxed sublines, </w:t>
      </w:r>
      <w:r w:rsidRPr="008C29F7">
        <w:rPr>
          <w:i/>
          <w:sz w:val="19"/>
          <w:szCs w:val="19"/>
        </w:rPr>
        <w:t>Poultry Science</w:t>
      </w:r>
      <w:r w:rsidRPr="008C29F7">
        <w:rPr>
          <w:sz w:val="19"/>
          <w:szCs w:val="19"/>
        </w:rPr>
        <w:t>, 85(8), p. 1338.</w:t>
      </w:r>
    </w:p>
    <w:p w14:paraId="0C695AC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Kuhnlein, U. </w:t>
      </w:r>
      <w:r w:rsidRPr="008C29F7">
        <w:rPr>
          <w:i/>
          <w:sz w:val="19"/>
          <w:szCs w:val="19"/>
        </w:rPr>
        <w:t>et al.</w:t>
      </w:r>
      <w:r w:rsidRPr="008C29F7">
        <w:rPr>
          <w:sz w:val="19"/>
          <w:szCs w:val="19"/>
        </w:rPr>
        <w:t xml:space="preserve"> (1989) Influence of Selection for Egg Production and Mareks Disease Resistance on the Incidence of Endogenous Viral Genes in White Leghorns, </w:t>
      </w:r>
      <w:r w:rsidRPr="008C29F7">
        <w:rPr>
          <w:i/>
          <w:sz w:val="19"/>
          <w:szCs w:val="19"/>
        </w:rPr>
        <w:t>Poultry Science</w:t>
      </w:r>
      <w:r w:rsidRPr="008C29F7">
        <w:rPr>
          <w:sz w:val="19"/>
          <w:szCs w:val="19"/>
        </w:rPr>
        <w:t xml:space="preserve">, 68(9), p. 1161–7. </w:t>
      </w:r>
    </w:p>
    <w:p w14:paraId="40CCB0A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Kuo, R. </w:t>
      </w:r>
      <w:r w:rsidRPr="008C29F7">
        <w:rPr>
          <w:i/>
          <w:sz w:val="19"/>
          <w:szCs w:val="19"/>
        </w:rPr>
        <w:t>et al.</w:t>
      </w:r>
      <w:r w:rsidRPr="008C29F7">
        <w:rPr>
          <w:sz w:val="19"/>
          <w:szCs w:val="19"/>
        </w:rPr>
        <w:t xml:space="preserve"> (2017) Normalized long-read RNA sequencing in chicken reveals transcriptome complexity similar to human, </w:t>
      </w:r>
      <w:r w:rsidRPr="008C29F7">
        <w:rPr>
          <w:i/>
          <w:sz w:val="19"/>
          <w:szCs w:val="19"/>
        </w:rPr>
        <w:t>BMC Genomics</w:t>
      </w:r>
      <w:r w:rsidRPr="008C29F7">
        <w:rPr>
          <w:sz w:val="19"/>
          <w:szCs w:val="19"/>
        </w:rPr>
        <w:t>. BMC Genomics, 18(323), p. 1–19.</w:t>
      </w:r>
    </w:p>
    <w:p w14:paraId="07A0E1A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Langille, M. G. I. and Clark, D. V. (2007) Parent genes of retrotransposition-generated gene duplicates in Drosophila melanogaster have distinct expression profiles, </w:t>
      </w:r>
      <w:r w:rsidRPr="008C29F7">
        <w:rPr>
          <w:i/>
          <w:sz w:val="19"/>
          <w:szCs w:val="19"/>
        </w:rPr>
        <w:t>Genomics</w:t>
      </w:r>
      <w:r w:rsidRPr="008C29F7">
        <w:rPr>
          <w:sz w:val="19"/>
          <w:szCs w:val="19"/>
        </w:rPr>
        <w:t xml:space="preserve">, 90(3), p. 334–43. </w:t>
      </w:r>
    </w:p>
    <w:p w14:paraId="41FCF93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Langmead, B. and Salzberg, S. L. (2012) Fast gapped-read alignment with Bowtie 2., </w:t>
      </w:r>
      <w:r w:rsidRPr="008C29F7">
        <w:rPr>
          <w:i/>
          <w:sz w:val="19"/>
          <w:szCs w:val="19"/>
        </w:rPr>
        <w:t>Nature Methods</w:t>
      </w:r>
      <w:r w:rsidRPr="008C29F7">
        <w:rPr>
          <w:sz w:val="19"/>
          <w:szCs w:val="19"/>
        </w:rPr>
        <w:t xml:space="preserve">, 9(4), p. 357–9. </w:t>
      </w:r>
    </w:p>
    <w:p w14:paraId="20F0918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Lavialle, C. </w:t>
      </w:r>
      <w:r w:rsidRPr="008C29F7">
        <w:rPr>
          <w:i/>
          <w:sz w:val="19"/>
          <w:szCs w:val="19"/>
        </w:rPr>
        <w:t>et al.</w:t>
      </w:r>
      <w:r w:rsidRPr="008C29F7">
        <w:rPr>
          <w:sz w:val="19"/>
          <w:szCs w:val="19"/>
        </w:rPr>
        <w:t xml:space="preserve"> (2013) Paleovirology of “syncytins”, retroviral env genes exapted for a role in placentation, </w:t>
      </w:r>
      <w:r w:rsidRPr="008C29F7">
        <w:rPr>
          <w:i/>
          <w:sz w:val="19"/>
          <w:szCs w:val="19"/>
        </w:rPr>
        <w:t>Philosophical Transactions of the Royal Society B: Biological sciences</w:t>
      </w:r>
      <w:r w:rsidRPr="008C29F7">
        <w:rPr>
          <w:sz w:val="19"/>
          <w:szCs w:val="19"/>
        </w:rPr>
        <w:t>, 368(20120507).</w:t>
      </w:r>
    </w:p>
    <w:p w14:paraId="480B17B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Lepperdinger, G., Müllegger, J. and Kreil, G. (2001) Hyal2 - Less active, but more versatile?, </w:t>
      </w:r>
      <w:r w:rsidRPr="008C29F7">
        <w:rPr>
          <w:i/>
          <w:sz w:val="19"/>
          <w:szCs w:val="19"/>
        </w:rPr>
        <w:t>Matrix Biology</w:t>
      </w:r>
      <w:r w:rsidRPr="008C29F7">
        <w:rPr>
          <w:sz w:val="19"/>
          <w:szCs w:val="19"/>
        </w:rPr>
        <w:t xml:space="preserve">, 20(8), p. 509–14. </w:t>
      </w:r>
    </w:p>
    <w:p w14:paraId="6C99D27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Lerat, E. (2010) Identifying repeats and transposable elements in sequenced genomes: how to find your way through the dense forest of programs., </w:t>
      </w:r>
      <w:r w:rsidRPr="008C29F7">
        <w:rPr>
          <w:i/>
          <w:sz w:val="19"/>
          <w:szCs w:val="19"/>
        </w:rPr>
        <w:t>Heredity</w:t>
      </w:r>
      <w:r w:rsidRPr="008C29F7">
        <w:rPr>
          <w:sz w:val="19"/>
          <w:szCs w:val="19"/>
        </w:rPr>
        <w:t xml:space="preserve">, 104(6), p. 520–33. </w:t>
      </w:r>
    </w:p>
    <w:p w14:paraId="642C439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Leung, D. C. and Lorincz, M. C. (2012) Silencing of endogenous retroviruses: when and why do histone marks predominate?, </w:t>
      </w:r>
      <w:r w:rsidRPr="008C29F7">
        <w:rPr>
          <w:i/>
          <w:sz w:val="19"/>
          <w:szCs w:val="19"/>
        </w:rPr>
        <w:t>Trends in biochemical sciences</w:t>
      </w:r>
      <w:r w:rsidRPr="008C29F7">
        <w:rPr>
          <w:sz w:val="19"/>
          <w:szCs w:val="19"/>
        </w:rPr>
        <w:t xml:space="preserve">, 37(4), p. 127–33. </w:t>
      </w:r>
    </w:p>
    <w:p w14:paraId="112B18A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Levin, E. and Smith, E. J. (1990) Molecular Analysis of Endogenous Virus ev21-Slow Feathering Complex of Chickens. 1. Cloning of Proviral-Cell Junction Fragment and Unoccupied Integration Site, </w:t>
      </w:r>
      <w:r w:rsidRPr="008C29F7">
        <w:rPr>
          <w:i/>
          <w:sz w:val="19"/>
          <w:szCs w:val="19"/>
        </w:rPr>
        <w:t>Poultry Science</w:t>
      </w:r>
      <w:r w:rsidRPr="008C29F7">
        <w:rPr>
          <w:sz w:val="19"/>
          <w:szCs w:val="19"/>
        </w:rPr>
        <w:t>, 69, p. 2017–2026.</w:t>
      </w:r>
    </w:p>
    <w:p w14:paraId="3D5EB6F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w:t>
      </w:r>
      <w:r w:rsidRPr="008C29F7">
        <w:rPr>
          <w:i/>
          <w:sz w:val="19"/>
          <w:szCs w:val="19"/>
        </w:rPr>
        <w:t>et al.</w:t>
      </w:r>
      <w:r w:rsidRPr="008C29F7">
        <w:rPr>
          <w:sz w:val="19"/>
          <w:szCs w:val="19"/>
        </w:rPr>
        <w:t xml:space="preserve"> (2009) The Sequence Alignment/Map format and SAMtools, </w:t>
      </w:r>
      <w:r w:rsidRPr="008C29F7">
        <w:rPr>
          <w:i/>
          <w:sz w:val="19"/>
          <w:szCs w:val="19"/>
        </w:rPr>
        <w:t>Bioinformatics</w:t>
      </w:r>
      <w:r w:rsidRPr="008C29F7">
        <w:rPr>
          <w:sz w:val="19"/>
          <w:szCs w:val="19"/>
        </w:rPr>
        <w:t xml:space="preserve">, 25(16), p. 2078-9. </w:t>
      </w:r>
    </w:p>
    <w:p w14:paraId="759DB67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(2011a) A statistical framework for SNP calling, mutation discovery, association mapping and population genetical parameter estimation from sequencing data, </w:t>
      </w:r>
      <w:r w:rsidRPr="008C29F7">
        <w:rPr>
          <w:i/>
          <w:sz w:val="19"/>
          <w:szCs w:val="19"/>
        </w:rPr>
        <w:t>Bioinformatics</w:t>
      </w:r>
      <w:r w:rsidRPr="008C29F7">
        <w:rPr>
          <w:sz w:val="19"/>
          <w:szCs w:val="19"/>
        </w:rPr>
        <w:t xml:space="preserve">, 27(21), p. 2987-93. </w:t>
      </w:r>
    </w:p>
    <w:p w14:paraId="3E6E98F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(2011b) Improving SNP discovery by base alignment quality, </w:t>
      </w:r>
      <w:r w:rsidRPr="008C29F7">
        <w:rPr>
          <w:i/>
          <w:sz w:val="19"/>
          <w:szCs w:val="19"/>
        </w:rPr>
        <w:t>Bioinformatics</w:t>
      </w:r>
      <w:r w:rsidRPr="008C29F7">
        <w:rPr>
          <w:sz w:val="19"/>
          <w:szCs w:val="19"/>
        </w:rPr>
        <w:t xml:space="preserve">, 27(8), p. 1157–8. </w:t>
      </w:r>
    </w:p>
    <w:p w14:paraId="33EE7D5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(2013) Aligning sequence reads, clone sequences and assembly contigs with BWA-MEM, </w:t>
      </w:r>
      <w:r w:rsidRPr="008C29F7">
        <w:rPr>
          <w:i/>
          <w:sz w:val="19"/>
          <w:szCs w:val="19"/>
        </w:rPr>
        <w:t>arXiv</w:t>
      </w:r>
      <w:r w:rsidRPr="008C29F7">
        <w:rPr>
          <w:sz w:val="19"/>
          <w:szCs w:val="19"/>
        </w:rPr>
        <w:t>, 1303.3997.</w:t>
      </w:r>
    </w:p>
    <w:p w14:paraId="5F4A5A8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(2015) BFC: Correcting Illumina sequencing errors, </w:t>
      </w:r>
      <w:r w:rsidRPr="008C29F7">
        <w:rPr>
          <w:i/>
          <w:sz w:val="19"/>
          <w:szCs w:val="19"/>
        </w:rPr>
        <w:t>Bioinformatics</w:t>
      </w:r>
      <w:r w:rsidRPr="008C29F7">
        <w:rPr>
          <w:sz w:val="19"/>
          <w:szCs w:val="19"/>
        </w:rPr>
        <w:t>, 31(17), p. 2885–2887. doi: 10.1093/bioinformatics/btv290.</w:t>
      </w:r>
    </w:p>
    <w:p w14:paraId="427EC4A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H. and Durbin, R. (2009) Fast and accurate short read alignment with Burrows-Wheeler transform., </w:t>
      </w:r>
      <w:r w:rsidRPr="008C29F7">
        <w:rPr>
          <w:i/>
          <w:sz w:val="19"/>
          <w:szCs w:val="19"/>
        </w:rPr>
        <w:t>Bioinformatics</w:t>
      </w:r>
      <w:r w:rsidRPr="008C29F7">
        <w:rPr>
          <w:sz w:val="19"/>
          <w:szCs w:val="19"/>
        </w:rPr>
        <w:t xml:space="preserve">, 25(14), p. 1754–60. </w:t>
      </w:r>
    </w:p>
    <w:p w14:paraId="144C1B6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J. </w:t>
      </w:r>
      <w:r w:rsidRPr="008C29F7">
        <w:rPr>
          <w:i/>
          <w:sz w:val="19"/>
          <w:szCs w:val="19"/>
        </w:rPr>
        <w:t>et al.</w:t>
      </w:r>
      <w:r w:rsidRPr="008C29F7">
        <w:rPr>
          <w:sz w:val="19"/>
          <w:szCs w:val="19"/>
        </w:rPr>
        <w:t xml:space="preserve"> (2012) Mouse endogenous retroviruses can trigger premature transcriptional termination at a distance., </w:t>
      </w:r>
      <w:r w:rsidRPr="008C29F7">
        <w:rPr>
          <w:i/>
          <w:sz w:val="19"/>
          <w:szCs w:val="19"/>
        </w:rPr>
        <w:t>Genome research</w:t>
      </w:r>
      <w:r w:rsidRPr="008C29F7">
        <w:rPr>
          <w:sz w:val="19"/>
          <w:szCs w:val="19"/>
        </w:rPr>
        <w:t xml:space="preserve">, 22(5), p. 870–84. </w:t>
      </w:r>
    </w:p>
    <w:p w14:paraId="46C52B1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 J.-W. </w:t>
      </w:r>
      <w:r w:rsidRPr="008C29F7">
        <w:rPr>
          <w:i/>
          <w:sz w:val="19"/>
          <w:szCs w:val="19"/>
        </w:rPr>
        <w:t>et al.</w:t>
      </w:r>
      <w:r w:rsidRPr="008C29F7">
        <w:rPr>
          <w:sz w:val="19"/>
          <w:szCs w:val="19"/>
        </w:rPr>
        <w:t xml:space="preserve"> (2013) ViralFusionSeq: accurately discover viral integration events and reconstruct fusion transcripts at single-base resolution., </w:t>
      </w:r>
      <w:r w:rsidRPr="008C29F7">
        <w:rPr>
          <w:i/>
          <w:sz w:val="19"/>
          <w:szCs w:val="19"/>
        </w:rPr>
        <w:t>Bioinformatics</w:t>
      </w:r>
      <w:r w:rsidRPr="008C29F7">
        <w:rPr>
          <w:sz w:val="19"/>
          <w:szCs w:val="19"/>
        </w:rPr>
        <w:t xml:space="preserve">, 29(5), p. 649–51. </w:t>
      </w:r>
    </w:p>
    <w:p w14:paraId="1513134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Liu, C. </w:t>
      </w:r>
      <w:r w:rsidRPr="008C29F7">
        <w:rPr>
          <w:i/>
          <w:sz w:val="19"/>
          <w:szCs w:val="19"/>
        </w:rPr>
        <w:t>et al.</w:t>
      </w:r>
      <w:r w:rsidRPr="008C29F7">
        <w:rPr>
          <w:sz w:val="19"/>
          <w:szCs w:val="19"/>
        </w:rPr>
        <w:t xml:space="preserve"> (2011) Detection and molecular characterization of recombinant avian leukosis viruses in commercial egg-type chickens in China., </w:t>
      </w:r>
      <w:r w:rsidRPr="008C29F7">
        <w:rPr>
          <w:i/>
          <w:sz w:val="19"/>
          <w:szCs w:val="19"/>
        </w:rPr>
        <w:t>Avian Pathology,</w:t>
      </w:r>
      <w:r w:rsidRPr="008C29F7">
        <w:rPr>
          <w:sz w:val="19"/>
          <w:szCs w:val="19"/>
        </w:rPr>
        <w:t xml:space="preserve"> 40(3), p. 269–75. </w:t>
      </w:r>
    </w:p>
    <w:p w14:paraId="17D789A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Llorens, C. </w:t>
      </w:r>
      <w:r w:rsidRPr="008C29F7">
        <w:rPr>
          <w:i/>
          <w:sz w:val="19"/>
          <w:szCs w:val="19"/>
        </w:rPr>
        <w:t>et al.</w:t>
      </w:r>
      <w:r w:rsidRPr="008C29F7">
        <w:rPr>
          <w:sz w:val="19"/>
          <w:szCs w:val="19"/>
        </w:rPr>
        <w:t xml:space="preserve"> (2009) Network dynamics of eukaryotic LTR retroelements beyond phylogenetic trees., </w:t>
      </w:r>
      <w:r w:rsidRPr="008C29F7">
        <w:rPr>
          <w:i/>
          <w:sz w:val="19"/>
          <w:szCs w:val="19"/>
        </w:rPr>
        <w:t>Biology Direct</w:t>
      </w:r>
      <w:r w:rsidRPr="008C29F7">
        <w:rPr>
          <w:sz w:val="19"/>
          <w:szCs w:val="19"/>
        </w:rPr>
        <w:t xml:space="preserve">, 4, p. 41. </w:t>
      </w:r>
    </w:p>
    <w:p w14:paraId="42C86CA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Llorens, C. </w:t>
      </w:r>
      <w:r w:rsidRPr="008C29F7">
        <w:rPr>
          <w:i/>
          <w:sz w:val="19"/>
          <w:szCs w:val="19"/>
        </w:rPr>
        <w:t>et al.</w:t>
      </w:r>
      <w:r w:rsidRPr="008C29F7">
        <w:rPr>
          <w:sz w:val="19"/>
          <w:szCs w:val="19"/>
        </w:rPr>
        <w:t xml:space="preserve"> (2011) The Gypsy Database (GyDB) of mobile genetic elements: release 2.0., </w:t>
      </w:r>
      <w:r w:rsidRPr="008C29F7">
        <w:rPr>
          <w:i/>
          <w:sz w:val="19"/>
          <w:szCs w:val="19"/>
        </w:rPr>
        <w:t>Nucleic Acids Research</w:t>
      </w:r>
      <w:r w:rsidRPr="008C29F7">
        <w:rPr>
          <w:sz w:val="19"/>
          <w:szCs w:val="19"/>
        </w:rPr>
        <w:t xml:space="preserve">, 39, p. D70-4. </w:t>
      </w:r>
    </w:p>
    <w:p w14:paraId="1DFC800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Llorens, C., Fares, M. a and Moya, A. (2008) Relationships of gag-pol diversity between Ty3/Gypsy and Retroviridae LTR retroelements and the three king’s hypothesis., </w:t>
      </w:r>
      <w:r w:rsidRPr="008C29F7">
        <w:rPr>
          <w:i/>
          <w:sz w:val="19"/>
          <w:szCs w:val="19"/>
        </w:rPr>
        <w:t>BMC Evolutionary Biology</w:t>
      </w:r>
      <w:r w:rsidRPr="008C29F7">
        <w:rPr>
          <w:sz w:val="19"/>
          <w:szCs w:val="19"/>
        </w:rPr>
        <w:t xml:space="preserve">, 8, p. 276. </w:t>
      </w:r>
    </w:p>
    <w:p w14:paraId="7AC986E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Lowe, T. M. and Eddy, S. R. (1997) tRNAscan-SE: a program for improved detection of transfer RNA genes in genomic sequence., </w:t>
      </w:r>
      <w:r w:rsidRPr="008C29F7">
        <w:rPr>
          <w:i/>
          <w:sz w:val="19"/>
          <w:szCs w:val="19"/>
        </w:rPr>
        <w:t>Nucleic Acids Research</w:t>
      </w:r>
      <w:r w:rsidRPr="008C29F7">
        <w:rPr>
          <w:sz w:val="19"/>
          <w:szCs w:val="19"/>
        </w:rPr>
        <w:t xml:space="preserve">, 25(5), p. 955–64. </w:t>
      </w:r>
    </w:p>
    <w:p w14:paraId="204A3D3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Lucht, J. M. (2015) Public Acceptance of Plant Biotechnology and GM Crops, </w:t>
      </w:r>
      <w:r w:rsidRPr="008C29F7">
        <w:rPr>
          <w:i/>
          <w:sz w:val="19"/>
          <w:szCs w:val="19"/>
        </w:rPr>
        <w:t>Viruses</w:t>
      </w:r>
      <w:r w:rsidRPr="008C29F7">
        <w:rPr>
          <w:sz w:val="19"/>
          <w:szCs w:val="19"/>
        </w:rPr>
        <w:t xml:space="preserve">, 7, p. 4254–81. </w:t>
      </w:r>
    </w:p>
    <w:p w14:paraId="5B1C32D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Luo, C. </w:t>
      </w:r>
      <w:r w:rsidRPr="008C29F7">
        <w:rPr>
          <w:i/>
          <w:sz w:val="19"/>
          <w:szCs w:val="19"/>
        </w:rPr>
        <w:t>et al.</w:t>
      </w:r>
      <w:r w:rsidRPr="008C29F7">
        <w:rPr>
          <w:sz w:val="19"/>
          <w:szCs w:val="19"/>
        </w:rPr>
        <w:t xml:space="preserve"> (2012) Differences of Z chromosome and genomic expression between early- and late-feathering chickens, </w:t>
      </w:r>
      <w:r w:rsidRPr="008C29F7">
        <w:rPr>
          <w:i/>
          <w:sz w:val="19"/>
          <w:szCs w:val="19"/>
        </w:rPr>
        <w:t>Molecular Biology Reports</w:t>
      </w:r>
      <w:r w:rsidRPr="008C29F7">
        <w:rPr>
          <w:sz w:val="19"/>
          <w:szCs w:val="19"/>
        </w:rPr>
        <w:t>, 39(5), p. 6283–8.</w:t>
      </w:r>
    </w:p>
    <w:p w14:paraId="63D7283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Lynch, C. and Tristem, M. (2003) A Co-opted gypsy-type LTR-Retrotransposon Is Conserved in the Genomes of Humans, Sheep, Mice, and Rats, </w:t>
      </w:r>
      <w:r w:rsidRPr="008C29F7">
        <w:rPr>
          <w:i/>
          <w:sz w:val="19"/>
          <w:szCs w:val="19"/>
        </w:rPr>
        <w:t>Current Biology</w:t>
      </w:r>
      <w:r w:rsidRPr="008C29F7">
        <w:rPr>
          <w:sz w:val="19"/>
          <w:szCs w:val="19"/>
        </w:rPr>
        <w:t>, 13, p. 1518–23.</w:t>
      </w:r>
    </w:p>
    <w:p w14:paraId="502F869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Magiorkinis, G. </w:t>
      </w:r>
      <w:r w:rsidRPr="008C29F7">
        <w:rPr>
          <w:i/>
          <w:sz w:val="19"/>
          <w:szCs w:val="19"/>
        </w:rPr>
        <w:t>et al.</w:t>
      </w:r>
      <w:r w:rsidRPr="008C29F7">
        <w:rPr>
          <w:sz w:val="19"/>
          <w:szCs w:val="19"/>
        </w:rPr>
        <w:t xml:space="preserve"> (2012) Env-less endogenous retroviruses are genomic superspreaders., </w:t>
      </w:r>
      <w:r w:rsidRPr="008C29F7">
        <w:rPr>
          <w:i/>
          <w:sz w:val="19"/>
          <w:szCs w:val="19"/>
        </w:rPr>
        <w:t>PNAS</w:t>
      </w:r>
      <w:r w:rsidRPr="008C29F7">
        <w:rPr>
          <w:sz w:val="19"/>
          <w:szCs w:val="19"/>
        </w:rPr>
        <w:t xml:space="preserve">, 109(19), p. 7385–90. </w:t>
      </w:r>
    </w:p>
    <w:p w14:paraId="4A4B7EA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Magiorkinis, G., Belshaw, R. and Katzourakis, A. (2013) “There and back again”: revisiting the pathophysiological roles of human endogenous retroviruses in the post-genomic era,Philosophical Transcations of The Royal Society B: Biological Sciences, 368, p. 20120504. </w:t>
      </w:r>
    </w:p>
    <w:p w14:paraId="4D46120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Mak, A. C. Y. </w:t>
      </w:r>
      <w:r w:rsidRPr="008C29F7">
        <w:rPr>
          <w:i/>
          <w:sz w:val="19"/>
          <w:szCs w:val="19"/>
        </w:rPr>
        <w:t>et al.</w:t>
      </w:r>
      <w:r w:rsidRPr="008C29F7">
        <w:rPr>
          <w:sz w:val="19"/>
          <w:szCs w:val="19"/>
        </w:rPr>
        <w:t xml:space="preserve"> (2016) Genome-wide structural variation detection by genome mapping on nanochannel arrays, </w:t>
      </w:r>
      <w:r w:rsidRPr="008C29F7">
        <w:rPr>
          <w:i/>
          <w:sz w:val="19"/>
          <w:szCs w:val="19"/>
        </w:rPr>
        <w:t>Genetics</w:t>
      </w:r>
      <w:r w:rsidRPr="008C29F7">
        <w:rPr>
          <w:sz w:val="19"/>
          <w:szCs w:val="19"/>
        </w:rPr>
        <w:t xml:space="preserve">, 202(1), p. 351–62. </w:t>
      </w:r>
    </w:p>
    <w:p w14:paraId="142D5B3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Malik, H. and Eickbush, T. (1999) Modular evolution of the integrase domain in the Ty3/Gypsy class of LTR retrotransposons, </w:t>
      </w:r>
      <w:r w:rsidRPr="008C29F7">
        <w:rPr>
          <w:i/>
          <w:sz w:val="19"/>
          <w:szCs w:val="19"/>
        </w:rPr>
        <w:t>Journal of Virology</w:t>
      </w:r>
      <w:r w:rsidRPr="008C29F7">
        <w:rPr>
          <w:sz w:val="19"/>
          <w:szCs w:val="19"/>
        </w:rPr>
        <w:t xml:space="preserve">, 73(6), p. 5186–90. </w:t>
      </w:r>
    </w:p>
    <w:p w14:paraId="2B116FA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Malik, H. S. and Eickbush, T. H. (2001) Phylogenetic analysis of ribonuclease H domains suggests a late, chimeric origin of LTR retrotransposable elements and retroviruses., </w:t>
      </w:r>
      <w:r w:rsidRPr="008C29F7">
        <w:rPr>
          <w:i/>
          <w:sz w:val="19"/>
          <w:szCs w:val="19"/>
        </w:rPr>
        <w:t>Genome Research</w:t>
      </w:r>
      <w:r w:rsidRPr="008C29F7">
        <w:rPr>
          <w:sz w:val="19"/>
          <w:szCs w:val="19"/>
        </w:rPr>
        <w:t xml:space="preserve">, 11(7), p. 1187–97. </w:t>
      </w:r>
    </w:p>
    <w:p w14:paraId="56F51A4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Malik, H. S., Henikoff, S. and Eickbush, T. H. (2000) Poised for Contagion: Evolutionary Origins of the Infectious Abilities of Invertebrate Retroviruses, </w:t>
      </w:r>
      <w:r w:rsidRPr="008C29F7">
        <w:rPr>
          <w:i/>
          <w:sz w:val="19"/>
          <w:szCs w:val="19"/>
        </w:rPr>
        <w:t>Genome Research</w:t>
      </w:r>
      <w:r w:rsidRPr="008C29F7">
        <w:rPr>
          <w:sz w:val="19"/>
          <w:szCs w:val="19"/>
        </w:rPr>
        <w:t xml:space="preserve">, 10(9), p. 1307–18. </w:t>
      </w:r>
    </w:p>
    <w:p w14:paraId="13FD1F7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Marco, A. and Marín, I. (2009) CGIN1: A retroviral contribution to mammalian genomes, </w:t>
      </w:r>
      <w:r w:rsidRPr="008C29F7">
        <w:rPr>
          <w:i/>
          <w:sz w:val="19"/>
          <w:szCs w:val="19"/>
        </w:rPr>
        <w:t>Molecular Biology and Evolution</w:t>
      </w:r>
      <w:r w:rsidRPr="008C29F7">
        <w:rPr>
          <w:sz w:val="19"/>
          <w:szCs w:val="19"/>
        </w:rPr>
        <w:t xml:space="preserve">, 26(10), p. 2167–70. </w:t>
      </w:r>
    </w:p>
    <w:p w14:paraId="70AD92C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Martin, J. </w:t>
      </w:r>
      <w:r w:rsidRPr="008C29F7">
        <w:rPr>
          <w:i/>
          <w:sz w:val="19"/>
          <w:szCs w:val="19"/>
        </w:rPr>
        <w:t>et al.</w:t>
      </w:r>
      <w:r w:rsidRPr="008C29F7">
        <w:rPr>
          <w:sz w:val="19"/>
          <w:szCs w:val="19"/>
        </w:rPr>
        <w:t xml:space="preserve"> (1997) Human Endogenous Retrovirus Type I-Related Viruses Have an Apparently Widespread Distribution within Vertebrates, </w:t>
      </w:r>
      <w:r w:rsidRPr="008C29F7">
        <w:rPr>
          <w:i/>
          <w:sz w:val="19"/>
          <w:szCs w:val="19"/>
        </w:rPr>
        <w:t>Journal of Virology</w:t>
      </w:r>
      <w:r w:rsidRPr="008C29F7">
        <w:rPr>
          <w:sz w:val="19"/>
          <w:szCs w:val="19"/>
        </w:rPr>
        <w:t>, 71(1), p. 437–43.</w:t>
      </w:r>
    </w:p>
    <w:p w14:paraId="4DE538C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Martin, J. </w:t>
      </w:r>
      <w:r w:rsidRPr="008C29F7">
        <w:rPr>
          <w:i/>
          <w:sz w:val="19"/>
          <w:szCs w:val="19"/>
        </w:rPr>
        <w:t>et al.</w:t>
      </w:r>
      <w:r w:rsidRPr="008C29F7">
        <w:rPr>
          <w:sz w:val="19"/>
          <w:szCs w:val="19"/>
        </w:rPr>
        <w:t xml:space="preserve"> (1999) Interclass transmission and phyletic host tracking in murine leukemia virus-related retroviruses, </w:t>
      </w:r>
      <w:r w:rsidRPr="008C29F7">
        <w:rPr>
          <w:i/>
          <w:sz w:val="19"/>
          <w:szCs w:val="19"/>
        </w:rPr>
        <w:t>Journal of Virology</w:t>
      </w:r>
      <w:r w:rsidRPr="008C29F7">
        <w:rPr>
          <w:sz w:val="19"/>
          <w:szCs w:val="19"/>
        </w:rPr>
        <w:t xml:space="preserve">, 73(3), p. 2442–9. </w:t>
      </w:r>
    </w:p>
    <w:p w14:paraId="6DC1268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Martin, J. A. and Wang, Z. (2011) Next-generation transcriptome assembly, </w:t>
      </w:r>
      <w:r w:rsidRPr="008C29F7">
        <w:rPr>
          <w:i/>
          <w:sz w:val="19"/>
          <w:szCs w:val="19"/>
        </w:rPr>
        <w:t>Nature Reviews Genetics</w:t>
      </w:r>
      <w:r w:rsidRPr="008C29F7">
        <w:rPr>
          <w:sz w:val="19"/>
          <w:szCs w:val="19"/>
        </w:rPr>
        <w:t>, 12(10), p. 671–82.</w:t>
      </w:r>
    </w:p>
    <w:p w14:paraId="25F0E8C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Martin, M. (2011) Cutadapt removes adapter sequences from high-throughput sequencing reads.</w:t>
      </w:r>
    </w:p>
    <w:p w14:paraId="0CF537F7" w14:textId="5A197CD8" w:rsidR="0001377A" w:rsidRPr="0001377A" w:rsidRDefault="0001377A" w:rsidP="008C29F7">
      <w:pPr>
        <w:pStyle w:val="Figure"/>
        <w:spacing w:before="0" w:after="60" w:line="240" w:lineRule="auto"/>
        <w:ind w:left="426" w:hanging="426"/>
        <w:rPr>
          <w:sz w:val="19"/>
          <w:szCs w:val="19"/>
        </w:rPr>
      </w:pPr>
      <w:r>
        <w:rPr>
          <w:sz w:val="19"/>
          <w:szCs w:val="19"/>
        </w:rPr>
        <w:t xml:space="preserve">Masabanda, J. S. </w:t>
      </w:r>
      <w:r>
        <w:rPr>
          <w:i/>
          <w:sz w:val="19"/>
          <w:szCs w:val="19"/>
        </w:rPr>
        <w:t>et al.</w:t>
      </w:r>
      <w:r>
        <w:rPr>
          <w:sz w:val="19"/>
          <w:szCs w:val="19"/>
        </w:rPr>
        <w:t xml:space="preserve"> (2004) Molecular Cytogenetic Definition of the Chicken Genome: The First Complete Avian Karyotype, </w:t>
      </w:r>
      <w:r>
        <w:rPr>
          <w:i/>
          <w:sz w:val="19"/>
          <w:szCs w:val="19"/>
        </w:rPr>
        <w:t>Genetics</w:t>
      </w:r>
      <w:r>
        <w:rPr>
          <w:sz w:val="19"/>
          <w:szCs w:val="19"/>
        </w:rPr>
        <w:t>, 166, p. 1367-73.</w:t>
      </w:r>
    </w:p>
    <w:p w14:paraId="261E25EE" w14:textId="58C15C0D"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Mason, A. S. </w:t>
      </w:r>
      <w:r w:rsidRPr="008C29F7">
        <w:rPr>
          <w:i/>
          <w:sz w:val="19"/>
          <w:szCs w:val="19"/>
        </w:rPr>
        <w:t>et al.</w:t>
      </w:r>
      <w:r w:rsidRPr="008C29F7">
        <w:rPr>
          <w:sz w:val="19"/>
          <w:szCs w:val="19"/>
        </w:rPr>
        <w:t xml:space="preserve"> (2016) A new look at the LTR retrotransposon content of the chicken genome, </w:t>
      </w:r>
      <w:r w:rsidRPr="008C29F7">
        <w:rPr>
          <w:i/>
          <w:sz w:val="19"/>
          <w:szCs w:val="19"/>
        </w:rPr>
        <w:t>BMC Genomics</w:t>
      </w:r>
      <w:r w:rsidRPr="008C29F7">
        <w:rPr>
          <w:sz w:val="19"/>
          <w:szCs w:val="19"/>
        </w:rPr>
        <w:t>. BMC Genomics, 17(1), p. 688.</w:t>
      </w:r>
    </w:p>
    <w:p w14:paraId="6DA1F1E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Matsubara, K. </w:t>
      </w:r>
      <w:r w:rsidRPr="008C29F7">
        <w:rPr>
          <w:i/>
          <w:sz w:val="19"/>
          <w:szCs w:val="19"/>
        </w:rPr>
        <w:t>et al.</w:t>
      </w:r>
      <w:r w:rsidRPr="008C29F7">
        <w:rPr>
          <w:sz w:val="19"/>
          <w:szCs w:val="19"/>
        </w:rPr>
        <w:t xml:space="preserve"> (2006) Evidence for different origin of sex chromosomes in snakes, birds, and mammals and step-wise differentiation of snake sex chromosomes, </w:t>
      </w:r>
      <w:r w:rsidRPr="008C29F7">
        <w:rPr>
          <w:i/>
          <w:sz w:val="19"/>
          <w:szCs w:val="19"/>
        </w:rPr>
        <w:t>PNAS</w:t>
      </w:r>
      <w:r w:rsidRPr="008C29F7">
        <w:rPr>
          <w:sz w:val="19"/>
          <w:szCs w:val="19"/>
        </w:rPr>
        <w:t xml:space="preserve">, 103(48), p. 18190-5. </w:t>
      </w:r>
    </w:p>
    <w:p w14:paraId="78CB027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Matsumine, H., Herbst, M. and Ou, S. (1991) Aromatase mRNA in the extragonadal tissues of chickens with the henny-feathering trait is derived from a distinctive promoter structure that contains a segment of a retroviral long terminal repeat, </w:t>
      </w:r>
      <w:r w:rsidRPr="008C29F7">
        <w:rPr>
          <w:i/>
          <w:sz w:val="19"/>
          <w:szCs w:val="19"/>
        </w:rPr>
        <w:t>Journal of Biological Chemistry</w:t>
      </w:r>
      <w:r w:rsidRPr="008C29F7">
        <w:rPr>
          <w:sz w:val="19"/>
          <w:szCs w:val="19"/>
        </w:rPr>
        <w:t xml:space="preserve">, 266(30), p. 19900–7. </w:t>
      </w:r>
    </w:p>
    <w:p w14:paraId="1F2A625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Mattick, J. S., Taft, R. J. and Faulkner, G. J. (2010) A global view of genomic information--moving beyond the gene and the master regulator., </w:t>
      </w:r>
      <w:r w:rsidRPr="008C29F7">
        <w:rPr>
          <w:i/>
          <w:sz w:val="19"/>
          <w:szCs w:val="19"/>
        </w:rPr>
        <w:t>Trends in genetics</w:t>
      </w:r>
      <w:r w:rsidRPr="008C29F7">
        <w:rPr>
          <w:sz w:val="19"/>
          <w:szCs w:val="19"/>
        </w:rPr>
        <w:t xml:space="preserve">, 26(1), p. 21–8. </w:t>
      </w:r>
    </w:p>
    <w:p w14:paraId="380AF4E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McCarthy, E. M. </w:t>
      </w:r>
      <w:r w:rsidRPr="008C29F7">
        <w:rPr>
          <w:i/>
          <w:sz w:val="19"/>
          <w:szCs w:val="19"/>
        </w:rPr>
        <w:t>et al.</w:t>
      </w:r>
      <w:r w:rsidRPr="008C29F7">
        <w:rPr>
          <w:sz w:val="19"/>
          <w:szCs w:val="19"/>
        </w:rPr>
        <w:t xml:space="preserve"> (2002) Long terminal repeat retrotransposons of </w:t>
      </w:r>
      <w:r w:rsidRPr="008C29F7">
        <w:rPr>
          <w:i/>
          <w:sz w:val="19"/>
          <w:szCs w:val="19"/>
        </w:rPr>
        <w:t>Oryza sativa</w:t>
      </w:r>
      <w:r w:rsidRPr="008C29F7">
        <w:rPr>
          <w:sz w:val="19"/>
          <w:szCs w:val="19"/>
        </w:rPr>
        <w:t xml:space="preserve">., </w:t>
      </w:r>
      <w:r w:rsidRPr="008C29F7">
        <w:rPr>
          <w:i/>
          <w:sz w:val="19"/>
          <w:szCs w:val="19"/>
        </w:rPr>
        <w:t>Genome biology</w:t>
      </w:r>
      <w:r w:rsidRPr="008C29F7">
        <w:rPr>
          <w:sz w:val="19"/>
          <w:szCs w:val="19"/>
        </w:rPr>
        <w:t>, 3(10), p. R53.</w:t>
      </w:r>
    </w:p>
    <w:p w14:paraId="1762FBB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McCarthy, E. M. and McDonald, J. F. (2003) LTR_STRUC: a novel search and identification program for LTR retrotransposons, </w:t>
      </w:r>
      <w:r w:rsidRPr="008C29F7">
        <w:rPr>
          <w:i/>
          <w:sz w:val="19"/>
          <w:szCs w:val="19"/>
        </w:rPr>
        <w:t>Bioinformatics</w:t>
      </w:r>
      <w:r w:rsidRPr="008C29F7">
        <w:rPr>
          <w:sz w:val="19"/>
          <w:szCs w:val="19"/>
        </w:rPr>
        <w:t xml:space="preserve">, 19(3), p. 362–7. </w:t>
      </w:r>
    </w:p>
    <w:p w14:paraId="4B5F909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McCarthy, E. M. and McDonald, J. F. (2004) Long terminal repeat retrotransposons of </w:t>
      </w:r>
      <w:r w:rsidRPr="008C29F7">
        <w:rPr>
          <w:i/>
          <w:sz w:val="19"/>
          <w:szCs w:val="19"/>
        </w:rPr>
        <w:t>Mus musculus</w:t>
      </w:r>
      <w:r w:rsidRPr="008C29F7">
        <w:rPr>
          <w:sz w:val="19"/>
          <w:szCs w:val="19"/>
        </w:rPr>
        <w:t xml:space="preserve">., </w:t>
      </w:r>
      <w:r w:rsidRPr="008C29F7">
        <w:rPr>
          <w:i/>
          <w:sz w:val="19"/>
          <w:szCs w:val="19"/>
        </w:rPr>
        <w:t>Genome biology</w:t>
      </w:r>
      <w:r w:rsidRPr="008C29F7">
        <w:rPr>
          <w:sz w:val="19"/>
          <w:szCs w:val="19"/>
        </w:rPr>
        <w:t xml:space="preserve">, 5(3), p. R14. </w:t>
      </w:r>
    </w:p>
    <w:p w14:paraId="2C3AED6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McKay, J. (2009) The Genetics of Modern Commercial Poultry, in Hocking, P. (ed.) </w:t>
      </w:r>
      <w:r w:rsidRPr="008C29F7">
        <w:rPr>
          <w:i/>
          <w:sz w:val="19"/>
          <w:szCs w:val="19"/>
        </w:rPr>
        <w:t>Biology of Breeding Poultry - Poultry Science Symposium Series Volume Twenty-nine</w:t>
      </w:r>
      <w:r w:rsidRPr="008C29F7">
        <w:rPr>
          <w:sz w:val="19"/>
          <w:szCs w:val="19"/>
        </w:rPr>
        <w:t>. CAB International, p. 3–9.</w:t>
      </w:r>
    </w:p>
    <w:p w14:paraId="6BB1C47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Meiklejohn, K. A. </w:t>
      </w:r>
      <w:r w:rsidRPr="008C29F7">
        <w:rPr>
          <w:i/>
          <w:sz w:val="19"/>
          <w:szCs w:val="19"/>
        </w:rPr>
        <w:t>et al.</w:t>
      </w:r>
      <w:r w:rsidRPr="008C29F7">
        <w:rPr>
          <w:sz w:val="19"/>
          <w:szCs w:val="19"/>
        </w:rPr>
        <w:t xml:space="preserve"> (2014) Incongruence among different mitochondrial regions: A case study using complete mitogenomes, </w:t>
      </w:r>
      <w:r w:rsidRPr="008C29F7">
        <w:rPr>
          <w:i/>
          <w:sz w:val="19"/>
          <w:szCs w:val="19"/>
        </w:rPr>
        <w:t>Molecular Phylogenetics and Evolution</w:t>
      </w:r>
      <w:r w:rsidRPr="008C29F7">
        <w:rPr>
          <w:sz w:val="19"/>
          <w:szCs w:val="19"/>
        </w:rPr>
        <w:t xml:space="preserve">, 78(1), p. 314–23. </w:t>
      </w:r>
    </w:p>
    <w:p w14:paraId="1DCAA00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Meisel, R. and Connallon, T. (2013) The faster-X effect: integrating theory and data, </w:t>
      </w:r>
      <w:r w:rsidRPr="008C29F7">
        <w:rPr>
          <w:i/>
          <w:sz w:val="19"/>
          <w:szCs w:val="19"/>
        </w:rPr>
        <w:t>Trends in genetics</w:t>
      </w:r>
      <w:r w:rsidRPr="008C29F7">
        <w:rPr>
          <w:sz w:val="19"/>
          <w:szCs w:val="19"/>
        </w:rPr>
        <w:t>, 29(9), p. 537–44.</w:t>
      </w:r>
    </w:p>
    <w:p w14:paraId="01694EF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Meisler, M. H. and Ting, C.-N. (1993) The Remarkable Evolutionary History of the Human Amylase Genes, </w:t>
      </w:r>
      <w:r w:rsidRPr="008C29F7">
        <w:rPr>
          <w:i/>
          <w:sz w:val="19"/>
          <w:szCs w:val="19"/>
        </w:rPr>
        <w:t>Critical Reviews in Oral Biology &amp; Medicine</w:t>
      </w:r>
      <w:r w:rsidRPr="008C29F7">
        <w:rPr>
          <w:sz w:val="19"/>
          <w:szCs w:val="19"/>
        </w:rPr>
        <w:t xml:space="preserve">, 4(3), p. 503–9. </w:t>
      </w:r>
    </w:p>
    <w:p w14:paraId="4006EBD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Mercer, T. R., Dinger, M. E. and Mattick, J. S. (2009) Long non-coding RNAs: insights into functions, </w:t>
      </w:r>
      <w:r w:rsidRPr="008C29F7">
        <w:rPr>
          <w:i/>
          <w:sz w:val="19"/>
          <w:szCs w:val="19"/>
        </w:rPr>
        <w:t>Nature Reviews Genetics</w:t>
      </w:r>
      <w:r w:rsidRPr="008C29F7">
        <w:rPr>
          <w:sz w:val="19"/>
          <w:szCs w:val="19"/>
        </w:rPr>
        <w:t xml:space="preserve">, 10(3), p. 155–9. </w:t>
      </w:r>
    </w:p>
    <w:p w14:paraId="6493557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Mi, S. </w:t>
      </w:r>
      <w:r w:rsidRPr="008C29F7">
        <w:rPr>
          <w:i/>
          <w:sz w:val="19"/>
          <w:szCs w:val="19"/>
        </w:rPr>
        <w:t>et al.</w:t>
      </w:r>
      <w:r w:rsidRPr="008C29F7">
        <w:rPr>
          <w:sz w:val="19"/>
          <w:szCs w:val="19"/>
        </w:rPr>
        <w:t xml:space="preserve"> (2000) Syncytin is a captive retroviral envelope protein involved in human placental morphogenesis, </w:t>
      </w:r>
      <w:r w:rsidRPr="008C29F7">
        <w:rPr>
          <w:i/>
          <w:sz w:val="19"/>
          <w:szCs w:val="19"/>
        </w:rPr>
        <w:t>Nature</w:t>
      </w:r>
      <w:r w:rsidRPr="008C29F7">
        <w:rPr>
          <w:sz w:val="19"/>
          <w:szCs w:val="19"/>
        </w:rPr>
        <w:t xml:space="preserve">, 403(6771), p. 785–9. </w:t>
      </w:r>
    </w:p>
    <w:p w14:paraId="0343069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Michael, T. P. and VanBuren, R. (2015) Progress, challenges and the future of crop genomes, </w:t>
      </w:r>
      <w:r w:rsidRPr="008C29F7">
        <w:rPr>
          <w:i/>
          <w:sz w:val="19"/>
          <w:szCs w:val="19"/>
        </w:rPr>
        <w:t>Current Opinion in Plant Biology</w:t>
      </w:r>
      <w:r w:rsidRPr="008C29F7">
        <w:rPr>
          <w:sz w:val="19"/>
          <w:szCs w:val="19"/>
        </w:rPr>
        <w:t xml:space="preserve">, 24, p. 71–81. </w:t>
      </w:r>
    </w:p>
    <w:p w14:paraId="3D61479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Mitchell, A. </w:t>
      </w:r>
      <w:r w:rsidRPr="008C29F7">
        <w:rPr>
          <w:i/>
          <w:sz w:val="19"/>
          <w:szCs w:val="19"/>
        </w:rPr>
        <w:t>et al.</w:t>
      </w:r>
      <w:r w:rsidRPr="008C29F7">
        <w:rPr>
          <w:sz w:val="19"/>
          <w:szCs w:val="19"/>
        </w:rPr>
        <w:t xml:space="preserve"> (2015) The InterPro protein families database: the classification resource after 15 years, </w:t>
      </w:r>
      <w:r w:rsidRPr="008C29F7">
        <w:rPr>
          <w:i/>
          <w:sz w:val="19"/>
          <w:szCs w:val="19"/>
        </w:rPr>
        <w:t>Nucleic Acids Research</w:t>
      </w:r>
      <w:r w:rsidRPr="008C29F7">
        <w:rPr>
          <w:sz w:val="19"/>
          <w:szCs w:val="19"/>
        </w:rPr>
        <w:t xml:space="preserve">, 43(D1), p. D213–21. </w:t>
      </w:r>
    </w:p>
    <w:p w14:paraId="5805540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Mohr, D. </w:t>
      </w:r>
      <w:r w:rsidRPr="008C29F7">
        <w:rPr>
          <w:i/>
          <w:sz w:val="19"/>
          <w:szCs w:val="19"/>
        </w:rPr>
        <w:t>et al.</w:t>
      </w:r>
      <w:r w:rsidRPr="008C29F7">
        <w:rPr>
          <w:sz w:val="19"/>
          <w:szCs w:val="19"/>
        </w:rPr>
        <w:t xml:space="preserve"> (2017) Improved de novo Genome Assembly: Synthetic long read sequencing combined with optical mapping produce a high quality mammalian genome at relatively low cost, </w:t>
      </w:r>
      <w:r w:rsidRPr="008C29F7">
        <w:rPr>
          <w:i/>
          <w:sz w:val="19"/>
          <w:szCs w:val="19"/>
        </w:rPr>
        <w:t>bioRxiv</w:t>
      </w:r>
      <w:r w:rsidRPr="008C29F7">
        <w:rPr>
          <w:sz w:val="19"/>
          <w:szCs w:val="19"/>
        </w:rPr>
        <w:t>, p. 128348.</w:t>
      </w:r>
    </w:p>
    <w:p w14:paraId="5F75D3B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Muir, W. M. </w:t>
      </w:r>
      <w:r w:rsidRPr="008C29F7">
        <w:rPr>
          <w:i/>
          <w:sz w:val="19"/>
          <w:szCs w:val="19"/>
        </w:rPr>
        <w:t>et al.</w:t>
      </w:r>
      <w:r w:rsidRPr="008C29F7">
        <w:rPr>
          <w:sz w:val="19"/>
          <w:szCs w:val="19"/>
        </w:rPr>
        <w:t xml:space="preserve"> (2008) Genome-wide assessment of worldwide chicken SNP genetic diversity indicates significant absence of rare alleles in commercial breeds, </w:t>
      </w:r>
      <w:r w:rsidRPr="008C29F7">
        <w:rPr>
          <w:i/>
          <w:sz w:val="19"/>
          <w:szCs w:val="19"/>
        </w:rPr>
        <w:t>PNAS</w:t>
      </w:r>
      <w:r w:rsidRPr="008C29F7">
        <w:rPr>
          <w:sz w:val="19"/>
          <w:szCs w:val="19"/>
        </w:rPr>
        <w:t xml:space="preserve">, 105(45), p. 17312–7. </w:t>
      </w:r>
    </w:p>
    <w:p w14:paraId="46488D7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Nagano, T. </w:t>
      </w:r>
      <w:r w:rsidRPr="008C29F7">
        <w:rPr>
          <w:i/>
          <w:sz w:val="19"/>
          <w:szCs w:val="19"/>
        </w:rPr>
        <w:t>et al.</w:t>
      </w:r>
      <w:r w:rsidRPr="008C29F7">
        <w:rPr>
          <w:sz w:val="19"/>
          <w:szCs w:val="19"/>
        </w:rPr>
        <w:t xml:space="preserve"> (2013) Single-cell Hi-C reveals cell-to-cell variability in chromosome structure, </w:t>
      </w:r>
      <w:r w:rsidRPr="008C29F7">
        <w:rPr>
          <w:i/>
          <w:sz w:val="19"/>
          <w:szCs w:val="19"/>
        </w:rPr>
        <w:t>Nature</w:t>
      </w:r>
      <w:r w:rsidRPr="008C29F7">
        <w:rPr>
          <w:sz w:val="19"/>
          <w:szCs w:val="19"/>
        </w:rPr>
        <w:t xml:space="preserve">, 502(7469), p. 59–64. </w:t>
      </w:r>
    </w:p>
    <w:p w14:paraId="6867001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Nam, K. and Ellegren, H. (2008) The chicken (Gallus gallus) Z chromosome contains at least three nonlinear evolutionary strata, </w:t>
      </w:r>
      <w:r w:rsidRPr="008C29F7">
        <w:rPr>
          <w:i/>
          <w:sz w:val="19"/>
          <w:szCs w:val="19"/>
        </w:rPr>
        <w:t>Genetics</w:t>
      </w:r>
      <w:r w:rsidRPr="008C29F7">
        <w:rPr>
          <w:sz w:val="19"/>
          <w:szCs w:val="19"/>
        </w:rPr>
        <w:t xml:space="preserve">, 180(2), p. 1131–6. </w:t>
      </w:r>
    </w:p>
    <w:p w14:paraId="527B5C9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Narezkina, A. </w:t>
      </w:r>
      <w:r w:rsidRPr="008C29F7">
        <w:rPr>
          <w:i/>
          <w:sz w:val="19"/>
          <w:szCs w:val="19"/>
        </w:rPr>
        <w:t>et al.</w:t>
      </w:r>
      <w:r w:rsidRPr="008C29F7">
        <w:rPr>
          <w:sz w:val="19"/>
          <w:szCs w:val="19"/>
        </w:rPr>
        <w:t xml:space="preserve"> (2004) Genome-Wide Analyses of Avian Sarcoma Virus Integration Sites, </w:t>
      </w:r>
      <w:r w:rsidRPr="008C29F7">
        <w:rPr>
          <w:i/>
          <w:sz w:val="19"/>
          <w:szCs w:val="19"/>
        </w:rPr>
        <w:t>Journal of Virology</w:t>
      </w:r>
      <w:r w:rsidRPr="008C29F7">
        <w:rPr>
          <w:sz w:val="19"/>
          <w:szCs w:val="19"/>
        </w:rPr>
        <w:t xml:space="preserve">, 78(21), p. 11656–63. </w:t>
      </w:r>
    </w:p>
    <w:p w14:paraId="619C6F8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Nätt, D. </w:t>
      </w:r>
      <w:r w:rsidRPr="008C29F7">
        <w:rPr>
          <w:i/>
          <w:sz w:val="19"/>
          <w:szCs w:val="19"/>
        </w:rPr>
        <w:t>et al.</w:t>
      </w:r>
      <w:r w:rsidRPr="008C29F7">
        <w:rPr>
          <w:sz w:val="19"/>
          <w:szCs w:val="19"/>
        </w:rPr>
        <w:t xml:space="preserve"> (2012) Heritable genome-wide variation of gene expression and promoter methylation between wild and domesticated chickens., </w:t>
      </w:r>
      <w:r w:rsidRPr="008C29F7">
        <w:rPr>
          <w:i/>
          <w:sz w:val="19"/>
          <w:szCs w:val="19"/>
        </w:rPr>
        <w:t>BMC Genomics</w:t>
      </w:r>
      <w:r w:rsidRPr="008C29F7">
        <w:rPr>
          <w:sz w:val="19"/>
          <w:szCs w:val="19"/>
        </w:rPr>
        <w:t xml:space="preserve">, 13(1), p. 59. </w:t>
      </w:r>
    </w:p>
    <w:p w14:paraId="496EE030" w14:textId="503B7AED" w:rsidR="000823ED" w:rsidRPr="008C29F7" w:rsidRDefault="000823ED" w:rsidP="004A6A87">
      <w:pPr>
        <w:pStyle w:val="Figure"/>
        <w:spacing w:before="0" w:after="60" w:line="240" w:lineRule="auto"/>
        <w:ind w:left="426" w:hanging="426"/>
        <w:rPr>
          <w:sz w:val="19"/>
          <w:szCs w:val="19"/>
        </w:rPr>
      </w:pPr>
      <w:r w:rsidRPr="008C29F7">
        <w:rPr>
          <w:sz w:val="19"/>
          <w:szCs w:val="19"/>
        </w:rPr>
        <w:t xml:space="preserve">Ng, C. S. </w:t>
      </w:r>
      <w:r w:rsidRPr="008C29F7">
        <w:rPr>
          <w:i/>
          <w:sz w:val="19"/>
          <w:szCs w:val="19"/>
        </w:rPr>
        <w:t>et al.</w:t>
      </w:r>
      <w:r w:rsidRPr="008C29F7">
        <w:rPr>
          <w:sz w:val="19"/>
          <w:szCs w:val="19"/>
        </w:rPr>
        <w:t xml:space="preserve"> (2014) Genomic organization, transcriptomic analysis, and functional characterization of avian</w:t>
      </w:r>
      <w:r w:rsidRPr="008C29F7">
        <w:rPr>
          <w:rFonts w:ascii="Times New Roman" w:hAnsi="Times New Roman" w:cs="Times New Roman"/>
          <w:sz w:val="19"/>
          <w:szCs w:val="19"/>
        </w:rPr>
        <w:t> </w:t>
      </w:r>
      <w:r w:rsidR="004A6A87">
        <w:rPr>
          <w:sz w:val="19"/>
          <w:szCs w:val="19"/>
        </w:rPr>
        <w:t>α</w:t>
      </w:r>
      <w:r w:rsidRPr="008C29F7">
        <w:rPr>
          <w:sz w:val="19"/>
          <w:szCs w:val="19"/>
        </w:rPr>
        <w:t>- and</w:t>
      </w:r>
      <w:r w:rsidRPr="008C29F7">
        <w:rPr>
          <w:rFonts w:ascii="Times New Roman" w:hAnsi="Times New Roman" w:cs="Times New Roman"/>
          <w:sz w:val="19"/>
          <w:szCs w:val="19"/>
        </w:rPr>
        <w:t> </w:t>
      </w:r>
      <w:r w:rsidR="004A6A87">
        <w:rPr>
          <w:sz w:val="19"/>
          <w:szCs w:val="19"/>
        </w:rPr>
        <w:t>β</w:t>
      </w:r>
      <w:r w:rsidRPr="008C29F7">
        <w:rPr>
          <w:sz w:val="19"/>
          <w:szCs w:val="19"/>
        </w:rPr>
        <w:t xml:space="preserve">-keratins in diverse feather forms, </w:t>
      </w:r>
      <w:r w:rsidRPr="008C29F7">
        <w:rPr>
          <w:i/>
          <w:sz w:val="19"/>
          <w:szCs w:val="19"/>
        </w:rPr>
        <w:t>Genome Biology and Evolution</w:t>
      </w:r>
      <w:r w:rsidRPr="008C29F7">
        <w:rPr>
          <w:sz w:val="19"/>
          <w:szCs w:val="19"/>
        </w:rPr>
        <w:t xml:space="preserve">, 6(9), p. 2258–73. </w:t>
      </w:r>
    </w:p>
    <w:p w14:paraId="3D9B64F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Norton, P. A. and Coffin, J. M. (1987) Sarcoma Virus Sequences Essential for Viral Gene Expression, </w:t>
      </w:r>
      <w:r w:rsidRPr="008C29F7">
        <w:rPr>
          <w:i/>
          <w:sz w:val="19"/>
          <w:szCs w:val="19"/>
        </w:rPr>
        <w:t>Journal of Virology</w:t>
      </w:r>
      <w:r w:rsidRPr="008C29F7">
        <w:rPr>
          <w:sz w:val="19"/>
          <w:szCs w:val="19"/>
        </w:rPr>
        <w:t>, 61(4), p. 1171–9.</w:t>
      </w:r>
    </w:p>
    <w:p w14:paraId="0D7DDF5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Nuzhdin, S. V. (1999) Sure facts, speculations, and open questions about the evolution of transposable element copy number, </w:t>
      </w:r>
      <w:r w:rsidRPr="008C29F7">
        <w:rPr>
          <w:i/>
          <w:sz w:val="19"/>
          <w:szCs w:val="19"/>
        </w:rPr>
        <w:t>Genetica</w:t>
      </w:r>
      <w:r w:rsidRPr="008C29F7">
        <w:rPr>
          <w:sz w:val="19"/>
          <w:szCs w:val="19"/>
        </w:rPr>
        <w:t xml:space="preserve">, 107(1–3), p. 129–137. </w:t>
      </w:r>
    </w:p>
    <w:p w14:paraId="60FABA17" w14:textId="47773C52" w:rsidR="004A6A87" w:rsidRPr="004A6A87" w:rsidRDefault="004A6A87" w:rsidP="008C29F7">
      <w:pPr>
        <w:pStyle w:val="Figure"/>
        <w:spacing w:before="0" w:after="60" w:line="240" w:lineRule="auto"/>
        <w:ind w:left="426" w:hanging="426"/>
        <w:rPr>
          <w:sz w:val="19"/>
          <w:szCs w:val="19"/>
        </w:rPr>
      </w:pPr>
      <w:r>
        <w:rPr>
          <w:sz w:val="19"/>
          <w:szCs w:val="19"/>
        </w:rPr>
        <w:t xml:space="preserve">Nystedt, B. </w:t>
      </w:r>
      <w:r>
        <w:rPr>
          <w:i/>
          <w:sz w:val="19"/>
          <w:szCs w:val="19"/>
        </w:rPr>
        <w:t>et al.</w:t>
      </w:r>
      <w:r>
        <w:rPr>
          <w:sz w:val="19"/>
          <w:szCs w:val="19"/>
        </w:rPr>
        <w:t xml:space="preserve"> (2013) The Norway spruce genome sequence and conifer genome evolution, </w:t>
      </w:r>
      <w:r>
        <w:rPr>
          <w:i/>
          <w:sz w:val="19"/>
          <w:szCs w:val="19"/>
        </w:rPr>
        <w:t>Nature</w:t>
      </w:r>
      <w:r>
        <w:rPr>
          <w:sz w:val="19"/>
          <w:szCs w:val="19"/>
        </w:rPr>
        <w:t>, 496(7451), p. 579-84.</w:t>
      </w:r>
    </w:p>
    <w:p w14:paraId="30ED73CE" w14:textId="1F0A1600"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Oh, D. </w:t>
      </w:r>
      <w:r w:rsidRPr="008C29F7">
        <w:rPr>
          <w:i/>
          <w:sz w:val="19"/>
          <w:szCs w:val="19"/>
        </w:rPr>
        <w:t>et al.</w:t>
      </w:r>
      <w:r w:rsidRPr="008C29F7">
        <w:rPr>
          <w:sz w:val="19"/>
          <w:szCs w:val="19"/>
        </w:rPr>
        <w:t xml:space="preserve"> (2016) Whole Genome Re-Sequencing of Three Domesticated Chicken Breeds., </w:t>
      </w:r>
      <w:r w:rsidRPr="008C29F7">
        <w:rPr>
          <w:i/>
          <w:sz w:val="19"/>
          <w:szCs w:val="19"/>
        </w:rPr>
        <w:t>Zoological science</w:t>
      </w:r>
      <w:r w:rsidRPr="008C29F7">
        <w:rPr>
          <w:sz w:val="19"/>
          <w:szCs w:val="19"/>
        </w:rPr>
        <w:t xml:space="preserve">, 33(1), p. 73–7. </w:t>
      </w:r>
    </w:p>
    <w:p w14:paraId="20807AF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Ohashi, K. </w:t>
      </w:r>
      <w:r w:rsidRPr="008C29F7">
        <w:rPr>
          <w:i/>
          <w:sz w:val="19"/>
          <w:szCs w:val="19"/>
        </w:rPr>
        <w:t>et al.</w:t>
      </w:r>
      <w:r w:rsidRPr="008C29F7">
        <w:rPr>
          <w:sz w:val="19"/>
          <w:szCs w:val="19"/>
        </w:rPr>
        <w:t xml:space="preserve"> (1998) Expression of bcl-2 and bcl-x genes in lymphocytes and tumor cell lines derived from MDV-infected chickens., </w:t>
      </w:r>
      <w:r w:rsidRPr="008C29F7">
        <w:rPr>
          <w:i/>
          <w:sz w:val="19"/>
          <w:szCs w:val="19"/>
        </w:rPr>
        <w:t>Acta virologica</w:t>
      </w:r>
      <w:r w:rsidRPr="008C29F7">
        <w:rPr>
          <w:sz w:val="19"/>
          <w:szCs w:val="19"/>
        </w:rPr>
        <w:t>, 43(2–3), p. 128–132.</w:t>
      </w:r>
    </w:p>
    <w:p w14:paraId="7BF9C9A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Oishi, I. </w:t>
      </w:r>
      <w:r w:rsidRPr="008C29F7">
        <w:rPr>
          <w:i/>
          <w:sz w:val="19"/>
          <w:szCs w:val="19"/>
        </w:rPr>
        <w:t>et al.</w:t>
      </w:r>
      <w:r w:rsidRPr="008C29F7">
        <w:rPr>
          <w:sz w:val="19"/>
          <w:szCs w:val="19"/>
        </w:rPr>
        <w:t xml:space="preserve"> (2016) Targeted mutagenesis in chicken using CRISPR/Cas9 system., Nature </w:t>
      </w:r>
      <w:r w:rsidRPr="008C29F7">
        <w:rPr>
          <w:i/>
          <w:sz w:val="19"/>
          <w:szCs w:val="19"/>
        </w:rPr>
        <w:t>Scientific Reports</w:t>
      </w:r>
      <w:r w:rsidRPr="008C29F7">
        <w:rPr>
          <w:sz w:val="19"/>
          <w:szCs w:val="19"/>
        </w:rPr>
        <w:t xml:space="preserve">, 6, p. 23980. </w:t>
      </w:r>
    </w:p>
    <w:p w14:paraId="38BA759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Ono, R. </w:t>
      </w:r>
      <w:r w:rsidRPr="008C29F7">
        <w:rPr>
          <w:i/>
          <w:sz w:val="19"/>
          <w:szCs w:val="19"/>
        </w:rPr>
        <w:t>et al.</w:t>
      </w:r>
      <w:r w:rsidRPr="008C29F7">
        <w:rPr>
          <w:sz w:val="19"/>
          <w:szCs w:val="19"/>
        </w:rPr>
        <w:t xml:space="preserve"> (2006) Deletion of Peg10, an imprinted gene acquired from a retrotransposon, causes early embryonic lethality, </w:t>
      </w:r>
      <w:r w:rsidRPr="008C29F7">
        <w:rPr>
          <w:i/>
          <w:sz w:val="19"/>
          <w:szCs w:val="19"/>
        </w:rPr>
        <w:t>Nature Genetics</w:t>
      </w:r>
      <w:r w:rsidRPr="008C29F7">
        <w:rPr>
          <w:sz w:val="19"/>
          <w:szCs w:val="19"/>
        </w:rPr>
        <w:t xml:space="preserve">, 38(1), p. 101–6. </w:t>
      </w:r>
    </w:p>
    <w:p w14:paraId="643E255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Organ, C. L. </w:t>
      </w:r>
      <w:r w:rsidRPr="008C29F7">
        <w:rPr>
          <w:i/>
          <w:sz w:val="19"/>
          <w:szCs w:val="19"/>
        </w:rPr>
        <w:t>et al.</w:t>
      </w:r>
      <w:r w:rsidRPr="008C29F7">
        <w:rPr>
          <w:sz w:val="19"/>
          <w:szCs w:val="19"/>
        </w:rPr>
        <w:t xml:space="preserve"> (2007) Origin of avian genome size and structure in non-avian dinosaurs, </w:t>
      </w:r>
      <w:r w:rsidRPr="008C29F7">
        <w:rPr>
          <w:i/>
          <w:sz w:val="19"/>
          <w:szCs w:val="19"/>
        </w:rPr>
        <w:t>Nature</w:t>
      </w:r>
      <w:r w:rsidRPr="008C29F7">
        <w:rPr>
          <w:sz w:val="19"/>
          <w:szCs w:val="19"/>
        </w:rPr>
        <w:t xml:space="preserve">, 446(7132), p. 180–4. </w:t>
      </w:r>
    </w:p>
    <w:p w14:paraId="3F2BE56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Ozsolak, F. and Milos, P. M. (2011) RNA sequencing: advances, challenges and opportunities, </w:t>
      </w:r>
      <w:r w:rsidRPr="008C29F7">
        <w:rPr>
          <w:i/>
          <w:sz w:val="19"/>
          <w:szCs w:val="19"/>
        </w:rPr>
        <w:t>Nature Reviews Genetics</w:t>
      </w:r>
      <w:r w:rsidRPr="008C29F7">
        <w:rPr>
          <w:sz w:val="19"/>
          <w:szCs w:val="19"/>
        </w:rPr>
        <w:t xml:space="preserve">, 12(2), p. 87–98. </w:t>
      </w:r>
    </w:p>
    <w:p w14:paraId="120D90D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Paces, J. </w:t>
      </w:r>
      <w:r w:rsidRPr="008C29F7">
        <w:rPr>
          <w:i/>
          <w:sz w:val="19"/>
          <w:szCs w:val="19"/>
        </w:rPr>
        <w:t>et al.</w:t>
      </w:r>
      <w:r w:rsidRPr="008C29F7">
        <w:rPr>
          <w:sz w:val="19"/>
          <w:szCs w:val="19"/>
        </w:rPr>
        <w:t xml:space="preserve"> (2004) HERVd: the Human Endogenous RetroViruses Database: update., </w:t>
      </w:r>
      <w:r w:rsidRPr="008C29F7">
        <w:rPr>
          <w:i/>
          <w:sz w:val="19"/>
          <w:szCs w:val="19"/>
        </w:rPr>
        <w:t>Nucleic Acids Research</w:t>
      </w:r>
      <w:r w:rsidRPr="008C29F7">
        <w:rPr>
          <w:sz w:val="19"/>
          <w:szCs w:val="19"/>
        </w:rPr>
        <w:t>, 32, p. D50.</w:t>
      </w:r>
    </w:p>
    <w:p w14:paraId="2D7A66D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Patel, M. R., Emerman, M. and Malik, H. S. (2012) Paleovirology - Ghosts and gifts of the past, </w:t>
      </w:r>
      <w:r w:rsidRPr="008C29F7">
        <w:rPr>
          <w:i/>
          <w:sz w:val="19"/>
          <w:szCs w:val="19"/>
        </w:rPr>
        <w:t>Current Opinion in Virology</w:t>
      </w:r>
      <w:r w:rsidRPr="008C29F7">
        <w:rPr>
          <w:sz w:val="19"/>
          <w:szCs w:val="19"/>
        </w:rPr>
        <w:t xml:space="preserve">, 1(4), p. 304–9. </w:t>
      </w:r>
    </w:p>
    <w:p w14:paraId="4BC72A2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Pavlidis, H. O. </w:t>
      </w:r>
      <w:r w:rsidRPr="008C29F7">
        <w:rPr>
          <w:i/>
          <w:sz w:val="19"/>
          <w:szCs w:val="19"/>
        </w:rPr>
        <w:t>et al.</w:t>
      </w:r>
      <w:r w:rsidRPr="008C29F7">
        <w:rPr>
          <w:sz w:val="19"/>
          <w:szCs w:val="19"/>
        </w:rPr>
        <w:t xml:space="preserve"> (2007) Divergent selection for ascites incidence in chickens, </w:t>
      </w:r>
      <w:r w:rsidRPr="008C29F7">
        <w:rPr>
          <w:i/>
          <w:sz w:val="19"/>
          <w:szCs w:val="19"/>
        </w:rPr>
        <w:t>Poultry Science</w:t>
      </w:r>
      <w:r w:rsidRPr="008C29F7">
        <w:rPr>
          <w:sz w:val="19"/>
          <w:szCs w:val="19"/>
        </w:rPr>
        <w:t xml:space="preserve">, 86(12), p. 2517–29. </w:t>
      </w:r>
    </w:p>
    <w:p w14:paraId="32AA00C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Payne, L. N. </w:t>
      </w:r>
      <w:r w:rsidRPr="008C29F7">
        <w:rPr>
          <w:i/>
          <w:sz w:val="19"/>
          <w:szCs w:val="19"/>
        </w:rPr>
        <w:t>et al.</w:t>
      </w:r>
      <w:r w:rsidRPr="008C29F7">
        <w:rPr>
          <w:sz w:val="19"/>
          <w:szCs w:val="19"/>
        </w:rPr>
        <w:t xml:space="preserve"> (1991) A novel subgroup of exogenous avian leukosis virus in chickens, </w:t>
      </w:r>
      <w:r w:rsidRPr="008C29F7">
        <w:rPr>
          <w:i/>
          <w:sz w:val="19"/>
          <w:szCs w:val="19"/>
        </w:rPr>
        <w:t>Journal of General Virology</w:t>
      </w:r>
      <w:r w:rsidRPr="008C29F7">
        <w:rPr>
          <w:sz w:val="19"/>
          <w:szCs w:val="19"/>
        </w:rPr>
        <w:t xml:space="preserve">, 72(4), p. 801–7. </w:t>
      </w:r>
    </w:p>
    <w:p w14:paraId="3EEC928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Payne, L. N. </w:t>
      </w:r>
      <w:r w:rsidRPr="008C29F7">
        <w:rPr>
          <w:i/>
          <w:sz w:val="19"/>
          <w:szCs w:val="19"/>
        </w:rPr>
        <w:t>et al.</w:t>
      </w:r>
      <w:r w:rsidRPr="008C29F7">
        <w:rPr>
          <w:sz w:val="19"/>
          <w:szCs w:val="19"/>
        </w:rPr>
        <w:t xml:space="preserve"> (1992) Host range of Rous sarcoma virus pseudotype RSV(HPRS-103) in 12 avian species: Support for a new avian retrovirus envelope subgroup, designated J, </w:t>
      </w:r>
      <w:r w:rsidRPr="008C29F7">
        <w:rPr>
          <w:i/>
          <w:sz w:val="19"/>
          <w:szCs w:val="19"/>
        </w:rPr>
        <w:t>Journal of General Virology</w:t>
      </w:r>
      <w:r w:rsidRPr="008C29F7">
        <w:rPr>
          <w:sz w:val="19"/>
          <w:szCs w:val="19"/>
        </w:rPr>
        <w:t xml:space="preserve">, 73(11), p. 2995–7. </w:t>
      </w:r>
    </w:p>
    <w:p w14:paraId="14BD524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Payne, L. N. (1998) Retrovirus-induced disease in poultry., </w:t>
      </w:r>
      <w:r w:rsidRPr="008C29F7">
        <w:rPr>
          <w:i/>
          <w:sz w:val="19"/>
          <w:szCs w:val="19"/>
        </w:rPr>
        <w:t>Poultry Science</w:t>
      </w:r>
      <w:r w:rsidRPr="008C29F7">
        <w:rPr>
          <w:sz w:val="19"/>
          <w:szCs w:val="19"/>
        </w:rPr>
        <w:t xml:space="preserve">, 77(8), p. 1204–12. </w:t>
      </w:r>
    </w:p>
    <w:p w14:paraId="3E0956F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Payne, L. N. and Nair, V. (2012) The long view: 40 years of avian leukosis research., </w:t>
      </w:r>
      <w:r w:rsidRPr="008C29F7">
        <w:rPr>
          <w:i/>
          <w:sz w:val="19"/>
          <w:szCs w:val="19"/>
        </w:rPr>
        <w:t>Avian Pathology</w:t>
      </w:r>
      <w:r w:rsidRPr="008C29F7">
        <w:rPr>
          <w:sz w:val="19"/>
          <w:szCs w:val="19"/>
        </w:rPr>
        <w:t xml:space="preserve">, 41(1), p. 11–9. </w:t>
      </w:r>
    </w:p>
    <w:p w14:paraId="075A02E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Peterson-Burch, B. D. and Voytas, D. F. (2002) Genes of the Pseudoviridae (Ty1/copia retrotransposons)., </w:t>
      </w:r>
      <w:r w:rsidRPr="008C29F7">
        <w:rPr>
          <w:i/>
          <w:sz w:val="19"/>
          <w:szCs w:val="19"/>
        </w:rPr>
        <w:t>Molecular Biology and Evolution</w:t>
      </w:r>
      <w:r w:rsidRPr="008C29F7">
        <w:rPr>
          <w:sz w:val="19"/>
          <w:szCs w:val="19"/>
        </w:rPr>
        <w:t>, 19(11), p. 1832–45.</w:t>
      </w:r>
    </w:p>
    <w:p w14:paraId="232ECC4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Phillips, M. J. </w:t>
      </w:r>
      <w:r w:rsidRPr="008C29F7">
        <w:rPr>
          <w:i/>
          <w:sz w:val="19"/>
          <w:szCs w:val="19"/>
        </w:rPr>
        <w:t>et al.</w:t>
      </w:r>
      <w:r w:rsidRPr="008C29F7">
        <w:rPr>
          <w:sz w:val="19"/>
          <w:szCs w:val="19"/>
        </w:rPr>
        <w:t xml:space="preserve"> (2010) Tinamous and moa flock together: Mitochondrial genome sequence analysis reveals independent losses of flight among ratites, </w:t>
      </w:r>
      <w:r w:rsidRPr="008C29F7">
        <w:rPr>
          <w:i/>
          <w:sz w:val="19"/>
          <w:szCs w:val="19"/>
        </w:rPr>
        <w:t>Systematic Biology</w:t>
      </w:r>
      <w:r w:rsidRPr="008C29F7">
        <w:rPr>
          <w:sz w:val="19"/>
          <w:szCs w:val="19"/>
        </w:rPr>
        <w:t xml:space="preserve">, 59(1), p. 90–107. </w:t>
      </w:r>
    </w:p>
    <w:p w14:paraId="555EE67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Piednoël, M. </w:t>
      </w:r>
      <w:r w:rsidRPr="008C29F7">
        <w:rPr>
          <w:i/>
          <w:sz w:val="19"/>
          <w:szCs w:val="19"/>
        </w:rPr>
        <w:t>et al.</w:t>
      </w:r>
      <w:r w:rsidRPr="008C29F7">
        <w:rPr>
          <w:sz w:val="19"/>
          <w:szCs w:val="19"/>
        </w:rPr>
        <w:t xml:space="preserve"> (2011) Eukaryote DIRS1-like retrotransposons: an overview., </w:t>
      </w:r>
      <w:r w:rsidRPr="008C29F7">
        <w:rPr>
          <w:i/>
          <w:sz w:val="19"/>
          <w:szCs w:val="19"/>
        </w:rPr>
        <w:t>BMC genomics</w:t>
      </w:r>
      <w:r w:rsidRPr="008C29F7">
        <w:rPr>
          <w:sz w:val="19"/>
          <w:szCs w:val="19"/>
        </w:rPr>
        <w:t xml:space="preserve">, 12(1), p. 621. </w:t>
      </w:r>
    </w:p>
    <w:p w14:paraId="34BCC2B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Polavarapu, N., Bowen, N. J. and McDonald, J. F. (2006) Identification, characterization and comparative genomics of chimpanzee endogenous retroviruses., </w:t>
      </w:r>
      <w:r w:rsidRPr="008C29F7">
        <w:rPr>
          <w:i/>
          <w:sz w:val="19"/>
          <w:szCs w:val="19"/>
        </w:rPr>
        <w:t>Genome Biology</w:t>
      </w:r>
      <w:r w:rsidRPr="008C29F7">
        <w:rPr>
          <w:sz w:val="19"/>
          <w:szCs w:val="19"/>
        </w:rPr>
        <w:t xml:space="preserve">, 7(6), p. R51. </w:t>
      </w:r>
    </w:p>
    <w:p w14:paraId="4887C6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Pond, S. L. K. </w:t>
      </w:r>
      <w:r w:rsidRPr="008C29F7">
        <w:rPr>
          <w:i/>
          <w:sz w:val="19"/>
          <w:szCs w:val="19"/>
        </w:rPr>
        <w:t>et al.</w:t>
      </w:r>
      <w:r w:rsidRPr="008C29F7">
        <w:rPr>
          <w:sz w:val="19"/>
          <w:szCs w:val="19"/>
        </w:rPr>
        <w:t xml:space="preserve"> (2008) A Maximum Likelihood Method for Detecting Directional Evolution in Protein Sequences and Its Application to Influenza A Virus, </w:t>
      </w:r>
      <w:r w:rsidRPr="008C29F7">
        <w:rPr>
          <w:i/>
          <w:sz w:val="19"/>
          <w:szCs w:val="19"/>
        </w:rPr>
        <w:t>Molecular biology and evolution</w:t>
      </w:r>
      <w:r w:rsidRPr="008C29F7">
        <w:rPr>
          <w:sz w:val="19"/>
          <w:szCs w:val="19"/>
        </w:rPr>
        <w:t xml:space="preserve">, 25(9), p. 1809-24. </w:t>
      </w:r>
    </w:p>
    <w:p w14:paraId="1BD6B6F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Pond, S. L. K. and Frost, S. D. W. (2005) Datamonkey: rapid detection of selective pressure on individual sites of codon alignments, </w:t>
      </w:r>
      <w:r w:rsidRPr="008C29F7">
        <w:rPr>
          <w:i/>
          <w:sz w:val="19"/>
          <w:szCs w:val="19"/>
        </w:rPr>
        <w:t>Bioinformatics</w:t>
      </w:r>
      <w:r w:rsidRPr="008C29F7">
        <w:rPr>
          <w:sz w:val="19"/>
          <w:szCs w:val="19"/>
        </w:rPr>
        <w:t xml:space="preserve">, 21(10), p. 2531–3. </w:t>
      </w:r>
    </w:p>
    <w:p w14:paraId="173566B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Pontier, D. B. and Gribnau, J. (2011) Xist regulation and function eXplored, </w:t>
      </w:r>
      <w:r w:rsidRPr="008C29F7">
        <w:rPr>
          <w:i/>
          <w:sz w:val="19"/>
          <w:szCs w:val="19"/>
        </w:rPr>
        <w:t>Human Genetics</w:t>
      </w:r>
      <w:r w:rsidRPr="008C29F7">
        <w:rPr>
          <w:sz w:val="19"/>
          <w:szCs w:val="19"/>
        </w:rPr>
        <w:t xml:space="preserve">, 130(2), p. 223–36. </w:t>
      </w:r>
    </w:p>
    <w:p w14:paraId="76B142A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Pontius, J. U. </w:t>
      </w:r>
      <w:r w:rsidRPr="008C29F7">
        <w:rPr>
          <w:i/>
          <w:sz w:val="19"/>
          <w:szCs w:val="19"/>
        </w:rPr>
        <w:t>et al.</w:t>
      </w:r>
      <w:r w:rsidRPr="008C29F7">
        <w:rPr>
          <w:sz w:val="19"/>
          <w:szCs w:val="19"/>
        </w:rPr>
        <w:t xml:space="preserve"> (2007) Initial sequence and comparative analysis of the cat genome, </w:t>
      </w:r>
      <w:r w:rsidRPr="008C29F7">
        <w:rPr>
          <w:i/>
          <w:sz w:val="19"/>
          <w:szCs w:val="19"/>
        </w:rPr>
        <w:t>Genome Research</w:t>
      </w:r>
      <w:r w:rsidRPr="008C29F7">
        <w:rPr>
          <w:sz w:val="19"/>
          <w:szCs w:val="19"/>
        </w:rPr>
        <w:t xml:space="preserve">, 17(11), p. 1675–89. </w:t>
      </w:r>
    </w:p>
    <w:p w14:paraId="0957F7C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Poulter, R. T. M. and Goodwin, T. J. D. (2005) DIRS-1 and the other tyrosine recombinase retrotransposons., </w:t>
      </w:r>
      <w:r w:rsidRPr="008C29F7">
        <w:rPr>
          <w:i/>
          <w:sz w:val="19"/>
          <w:szCs w:val="19"/>
        </w:rPr>
        <w:t>Cytogenetic and genome research</w:t>
      </w:r>
      <w:r w:rsidRPr="008C29F7">
        <w:rPr>
          <w:sz w:val="19"/>
          <w:szCs w:val="19"/>
        </w:rPr>
        <w:t>, 110(1–4), p. 575–88.</w:t>
      </w:r>
    </w:p>
    <w:p w14:paraId="0EC8B2B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Promislow, D. E., Jordan, I. K. and McDonald, J. F. (1999) Genomic demography: a life-history analysis of transposable element evolution., Proceedings of The Royal Society B: Biological Sciences, 266(1428), p. 1555–60. </w:t>
      </w:r>
    </w:p>
    <w:p w14:paraId="447C8C7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Pruitt, K. </w:t>
      </w:r>
      <w:r w:rsidRPr="008C29F7">
        <w:rPr>
          <w:i/>
          <w:sz w:val="19"/>
          <w:szCs w:val="19"/>
        </w:rPr>
        <w:t>et al.</w:t>
      </w:r>
      <w:r w:rsidRPr="008C29F7">
        <w:rPr>
          <w:sz w:val="19"/>
          <w:szCs w:val="19"/>
        </w:rPr>
        <w:t xml:space="preserve"> (2002) The Reference Sequence (RefSeq) Database, in </w:t>
      </w:r>
      <w:r w:rsidRPr="008C29F7">
        <w:rPr>
          <w:i/>
          <w:sz w:val="19"/>
          <w:szCs w:val="19"/>
        </w:rPr>
        <w:t>The NCBI Handbook</w:t>
      </w:r>
      <w:r w:rsidRPr="008C29F7">
        <w:rPr>
          <w:sz w:val="19"/>
          <w:szCs w:val="19"/>
        </w:rPr>
        <w:t>. Bethseda (MD): National Library of Medicine (US), National Center for Biotechnology Information.</w:t>
      </w:r>
    </w:p>
    <w:p w14:paraId="792497D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Quinlan, A. R. and Hall, I. M. (2010) BEDTools: a flexible suite of utilities for comparing genomic features., </w:t>
      </w:r>
      <w:r w:rsidRPr="008C29F7">
        <w:rPr>
          <w:i/>
          <w:sz w:val="19"/>
          <w:szCs w:val="19"/>
        </w:rPr>
        <w:t>Bioinformatics</w:t>
      </w:r>
      <w:r w:rsidRPr="008C29F7">
        <w:rPr>
          <w:sz w:val="19"/>
          <w:szCs w:val="19"/>
        </w:rPr>
        <w:t xml:space="preserve">, 26(6), p. 841–2. </w:t>
      </w:r>
    </w:p>
    <w:p w14:paraId="0BE2670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Reiss, D. </w:t>
      </w:r>
      <w:r w:rsidRPr="008C29F7">
        <w:rPr>
          <w:i/>
          <w:sz w:val="19"/>
          <w:szCs w:val="19"/>
        </w:rPr>
        <w:t>et al.</w:t>
      </w:r>
      <w:r w:rsidRPr="008C29F7">
        <w:rPr>
          <w:sz w:val="19"/>
          <w:szCs w:val="19"/>
        </w:rPr>
        <w:t xml:space="preserve"> (2010) Variable DNA methylation of transposable elements: the case study of mouse Early Transposons., </w:t>
      </w:r>
      <w:r w:rsidRPr="008C29F7">
        <w:rPr>
          <w:i/>
          <w:sz w:val="19"/>
          <w:szCs w:val="19"/>
        </w:rPr>
        <w:t>Epigenetics</w:t>
      </w:r>
      <w:r w:rsidRPr="008C29F7">
        <w:rPr>
          <w:sz w:val="19"/>
          <w:szCs w:val="19"/>
        </w:rPr>
        <w:t>, 5(1), p. 68–79. A</w:t>
      </w:r>
    </w:p>
    <w:p w14:paraId="07965EE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Reiss, D. and Mager, D. L. (2007) Stochastic epigenetic silencing of retrotransposons: does stability come with age?, </w:t>
      </w:r>
      <w:r w:rsidRPr="008C29F7">
        <w:rPr>
          <w:i/>
          <w:sz w:val="19"/>
          <w:szCs w:val="19"/>
        </w:rPr>
        <w:t>Gene</w:t>
      </w:r>
      <w:r w:rsidRPr="008C29F7">
        <w:rPr>
          <w:sz w:val="19"/>
          <w:szCs w:val="19"/>
        </w:rPr>
        <w:t>, 390(1–2), p. 130–5.</w:t>
      </w:r>
    </w:p>
    <w:p w14:paraId="2EC410C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Rho, M. </w:t>
      </w:r>
      <w:r w:rsidRPr="008C29F7">
        <w:rPr>
          <w:i/>
          <w:sz w:val="19"/>
          <w:szCs w:val="19"/>
        </w:rPr>
        <w:t>et al.</w:t>
      </w:r>
      <w:r w:rsidRPr="008C29F7">
        <w:rPr>
          <w:sz w:val="19"/>
          <w:szCs w:val="19"/>
        </w:rPr>
        <w:t xml:space="preserve"> (2007) De novo identification of LTR retrotransposons in eukaryotic genomes., </w:t>
      </w:r>
      <w:r w:rsidRPr="008C29F7">
        <w:rPr>
          <w:i/>
          <w:sz w:val="19"/>
          <w:szCs w:val="19"/>
        </w:rPr>
        <w:t>BMC Genomics</w:t>
      </w:r>
      <w:r w:rsidRPr="008C29F7">
        <w:rPr>
          <w:sz w:val="19"/>
          <w:szCs w:val="19"/>
        </w:rPr>
        <w:t xml:space="preserve">, 8, p. 90. </w:t>
      </w:r>
    </w:p>
    <w:p w14:paraId="32C446A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Rice, P., Longden, I. and Bleasby, A. (2000) EMBOSS: the European molecular biology open software suite, </w:t>
      </w:r>
      <w:r w:rsidRPr="008C29F7">
        <w:rPr>
          <w:i/>
          <w:sz w:val="19"/>
          <w:szCs w:val="19"/>
        </w:rPr>
        <w:t>Trends in genetics</w:t>
      </w:r>
      <w:r w:rsidRPr="008C29F7">
        <w:rPr>
          <w:sz w:val="19"/>
          <w:szCs w:val="19"/>
        </w:rPr>
        <w:t xml:space="preserve">, 16(6), p. 276–7. </w:t>
      </w:r>
    </w:p>
    <w:p w14:paraId="2ED6925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Rigal, M. and Mathieu, O. (2011) A “mille-feuille” of silencing: epigenetic control of transposable elements., </w:t>
      </w:r>
      <w:r w:rsidRPr="008C29F7">
        <w:rPr>
          <w:i/>
          <w:sz w:val="19"/>
          <w:szCs w:val="19"/>
        </w:rPr>
        <w:t>Biochimica et biophysica acta</w:t>
      </w:r>
      <w:r w:rsidRPr="008C29F7">
        <w:rPr>
          <w:sz w:val="19"/>
          <w:szCs w:val="19"/>
        </w:rPr>
        <w:t xml:space="preserve">, 1809(8), p. 452–8. </w:t>
      </w:r>
    </w:p>
    <w:p w14:paraId="78B9C7A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Roberts, V. (2009) </w:t>
      </w:r>
      <w:r w:rsidRPr="008C29F7">
        <w:rPr>
          <w:i/>
          <w:sz w:val="19"/>
          <w:szCs w:val="19"/>
        </w:rPr>
        <w:t>British Poultry Standards</w:t>
      </w:r>
      <w:r w:rsidRPr="008C29F7">
        <w:rPr>
          <w:sz w:val="19"/>
          <w:szCs w:val="19"/>
        </w:rPr>
        <w:t xml:space="preserve">. </w:t>
      </w:r>
    </w:p>
    <w:p w14:paraId="0A2C87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Robinson, H. L. </w:t>
      </w:r>
      <w:r w:rsidRPr="008C29F7">
        <w:rPr>
          <w:i/>
          <w:sz w:val="19"/>
          <w:szCs w:val="19"/>
        </w:rPr>
        <w:t>et al.</w:t>
      </w:r>
      <w:r w:rsidRPr="008C29F7">
        <w:rPr>
          <w:sz w:val="19"/>
          <w:szCs w:val="19"/>
        </w:rPr>
        <w:t xml:space="preserve"> (1981) Host Susceptibility to endogenous viruses: defective, glycoprotein-expressing proviruses interfere with infections., </w:t>
      </w:r>
      <w:r w:rsidRPr="008C29F7">
        <w:rPr>
          <w:i/>
          <w:sz w:val="19"/>
          <w:szCs w:val="19"/>
        </w:rPr>
        <w:t>Journal of Virology</w:t>
      </w:r>
      <w:r w:rsidRPr="008C29F7">
        <w:rPr>
          <w:sz w:val="19"/>
          <w:szCs w:val="19"/>
        </w:rPr>
        <w:t xml:space="preserve">, 40(3), p. 745–51. </w:t>
      </w:r>
    </w:p>
    <w:p w14:paraId="6956A724" w14:textId="620B0CE1"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Romanish, M. T. </w:t>
      </w:r>
      <w:r w:rsidRPr="008C29F7">
        <w:rPr>
          <w:i/>
          <w:sz w:val="19"/>
          <w:szCs w:val="19"/>
        </w:rPr>
        <w:t>et al.</w:t>
      </w:r>
      <w:r w:rsidRPr="008C29F7">
        <w:rPr>
          <w:sz w:val="19"/>
          <w:szCs w:val="19"/>
        </w:rPr>
        <w:t xml:space="preserve"> (2007) Repeated recruitment of LTR retrotransposons as promoters by the anti-apoptotic locus NAIP during mammalian evolution., </w:t>
      </w:r>
      <w:r w:rsidRPr="008C29F7">
        <w:rPr>
          <w:i/>
          <w:sz w:val="19"/>
          <w:szCs w:val="19"/>
        </w:rPr>
        <w:t>PLoS genetics</w:t>
      </w:r>
      <w:r w:rsidR="004A6A87">
        <w:rPr>
          <w:sz w:val="19"/>
          <w:szCs w:val="19"/>
        </w:rPr>
        <w:t>, 3(1), p. e10</w:t>
      </w:r>
      <w:r w:rsidRPr="008C29F7">
        <w:rPr>
          <w:sz w:val="19"/>
          <w:szCs w:val="19"/>
        </w:rPr>
        <w:t>.</w:t>
      </w:r>
    </w:p>
    <w:p w14:paraId="3C56FD0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Romanish, M. T., Cohen, C. J. and Mager, D. L. (2010) Potential mechanisms of endogenous retroviral-mediated genomic instability in human cancer, </w:t>
      </w:r>
      <w:r w:rsidRPr="008C29F7">
        <w:rPr>
          <w:i/>
          <w:sz w:val="19"/>
          <w:szCs w:val="19"/>
        </w:rPr>
        <w:t>Seminars in Cancer Biology</w:t>
      </w:r>
      <w:r w:rsidRPr="008C29F7">
        <w:rPr>
          <w:sz w:val="19"/>
          <w:szCs w:val="19"/>
        </w:rPr>
        <w:t xml:space="preserve">, 20(4), p. 246–53. </w:t>
      </w:r>
    </w:p>
    <w:p w14:paraId="7035AD1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Roth, G., Nishikawa, K. C. and Wake, D. B. (1997) Genome size, secondary simplification, and the evolution of the brain in salamanders., </w:t>
      </w:r>
      <w:r w:rsidRPr="008C29F7">
        <w:rPr>
          <w:i/>
          <w:sz w:val="19"/>
          <w:szCs w:val="19"/>
        </w:rPr>
        <w:t>Brain, behavior and evolution</w:t>
      </w:r>
      <w:r w:rsidRPr="008C29F7">
        <w:rPr>
          <w:sz w:val="19"/>
          <w:szCs w:val="19"/>
        </w:rPr>
        <w:t xml:space="preserve">, 50(1), p. 50–9. </w:t>
      </w:r>
    </w:p>
    <w:p w14:paraId="563D2F8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Rowe, H. M. </w:t>
      </w:r>
      <w:r w:rsidRPr="008C29F7">
        <w:rPr>
          <w:i/>
          <w:sz w:val="19"/>
          <w:szCs w:val="19"/>
        </w:rPr>
        <w:t>et al.</w:t>
      </w:r>
      <w:r w:rsidRPr="008C29F7">
        <w:rPr>
          <w:sz w:val="19"/>
          <w:szCs w:val="19"/>
        </w:rPr>
        <w:t xml:space="preserve"> (2013) De novo DNA methylation of endogenous retroviruses is shaped by KRAB-ZFPs/KAP1 and ESET., </w:t>
      </w:r>
      <w:r w:rsidRPr="008C29F7">
        <w:rPr>
          <w:i/>
          <w:sz w:val="19"/>
          <w:szCs w:val="19"/>
        </w:rPr>
        <w:t>Development</w:t>
      </w:r>
      <w:r w:rsidRPr="008C29F7">
        <w:rPr>
          <w:sz w:val="19"/>
          <w:szCs w:val="19"/>
        </w:rPr>
        <w:t xml:space="preserve">, 140(3), p. 519–29. </w:t>
      </w:r>
    </w:p>
    <w:p w14:paraId="045448E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Rowe, H. M. and Trono, D. (2011) Dynamic control of endogenous retroviruses during development., </w:t>
      </w:r>
      <w:r w:rsidRPr="008C29F7">
        <w:rPr>
          <w:i/>
          <w:sz w:val="19"/>
          <w:szCs w:val="19"/>
        </w:rPr>
        <w:t>Virology</w:t>
      </w:r>
      <w:r w:rsidRPr="008C29F7">
        <w:rPr>
          <w:sz w:val="19"/>
          <w:szCs w:val="19"/>
        </w:rPr>
        <w:t xml:space="preserve">, 411(2), p. 273–87. </w:t>
      </w:r>
    </w:p>
    <w:p w14:paraId="307D5BA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Rozen, S. and Skaletsky, H. (2000) </w:t>
      </w:r>
      <w:r w:rsidRPr="008C29F7">
        <w:rPr>
          <w:i/>
          <w:sz w:val="19"/>
          <w:szCs w:val="19"/>
        </w:rPr>
        <w:t>Primer3 on the WWW for general users and for biologist programmers.</w:t>
      </w:r>
      <w:r w:rsidRPr="008C29F7">
        <w:rPr>
          <w:sz w:val="19"/>
          <w:szCs w:val="19"/>
        </w:rPr>
        <w:t xml:space="preserve">, </w:t>
      </w:r>
      <w:r w:rsidRPr="008C29F7">
        <w:rPr>
          <w:i/>
          <w:sz w:val="19"/>
          <w:szCs w:val="19"/>
        </w:rPr>
        <w:t>Methods in molecular biology (Clifton, N.J.)</w:t>
      </w:r>
      <w:r w:rsidRPr="008C29F7">
        <w:rPr>
          <w:sz w:val="19"/>
          <w:szCs w:val="19"/>
        </w:rPr>
        <w:t xml:space="preserve">. </w:t>
      </w:r>
    </w:p>
    <w:p w14:paraId="5431BCB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Rubin, C.-J. </w:t>
      </w:r>
      <w:r w:rsidRPr="008C29F7">
        <w:rPr>
          <w:i/>
          <w:sz w:val="19"/>
          <w:szCs w:val="19"/>
        </w:rPr>
        <w:t>et al.</w:t>
      </w:r>
      <w:r w:rsidRPr="008C29F7">
        <w:rPr>
          <w:sz w:val="19"/>
          <w:szCs w:val="19"/>
        </w:rPr>
        <w:t xml:space="preserve"> (2010) Whole-genome resequencing reveals loci under selection during chicken domestication., </w:t>
      </w:r>
      <w:r w:rsidRPr="008C29F7">
        <w:rPr>
          <w:i/>
          <w:sz w:val="19"/>
          <w:szCs w:val="19"/>
        </w:rPr>
        <w:t>Nature</w:t>
      </w:r>
      <w:r w:rsidRPr="008C29F7">
        <w:rPr>
          <w:sz w:val="19"/>
          <w:szCs w:val="19"/>
        </w:rPr>
        <w:t xml:space="preserve">, 464(7288), p. 587–91. </w:t>
      </w:r>
    </w:p>
    <w:p w14:paraId="1321379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Ruddell, A. (1995) Transcription regulatory elements of the avian retroviral long terminal repeat., </w:t>
      </w:r>
      <w:r w:rsidRPr="008C29F7">
        <w:rPr>
          <w:i/>
          <w:sz w:val="19"/>
          <w:szCs w:val="19"/>
        </w:rPr>
        <w:t>Virology</w:t>
      </w:r>
      <w:r w:rsidRPr="008C29F7">
        <w:rPr>
          <w:sz w:val="19"/>
          <w:szCs w:val="19"/>
        </w:rPr>
        <w:t xml:space="preserve">, 206(1), p. 1–7. </w:t>
      </w:r>
    </w:p>
    <w:p w14:paraId="7C5E221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Rutherford, K. </w:t>
      </w:r>
      <w:r w:rsidRPr="008C29F7">
        <w:rPr>
          <w:i/>
          <w:sz w:val="19"/>
          <w:szCs w:val="19"/>
        </w:rPr>
        <w:t>et al.</w:t>
      </w:r>
      <w:r w:rsidRPr="008C29F7">
        <w:rPr>
          <w:sz w:val="19"/>
          <w:szCs w:val="19"/>
        </w:rPr>
        <w:t xml:space="preserve"> (2016) Discovery of an expended set of avian leukosis subroup E proviruses in chickens using Vermillion, a novel sequence capture and analysis pipeline, </w:t>
      </w:r>
      <w:r w:rsidRPr="008C29F7">
        <w:rPr>
          <w:i/>
          <w:sz w:val="19"/>
          <w:szCs w:val="19"/>
        </w:rPr>
        <w:t>Poultry Science</w:t>
      </w:r>
      <w:r w:rsidRPr="008C29F7">
        <w:rPr>
          <w:sz w:val="19"/>
          <w:szCs w:val="19"/>
        </w:rPr>
        <w:t xml:space="preserve">, 95, p. 2250–8. </w:t>
      </w:r>
    </w:p>
    <w:p w14:paraId="424E0FA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Rutherford, K., McLean, N. and Benkel, B. (2013) A Rapid Profiling Assay for Avian Leukosis Virus Sub-group E Proviruses in Chickens., </w:t>
      </w:r>
      <w:r w:rsidRPr="008C29F7">
        <w:rPr>
          <w:i/>
          <w:sz w:val="19"/>
          <w:szCs w:val="19"/>
        </w:rPr>
        <w:t>Avian Diseases</w:t>
      </w:r>
      <w:r w:rsidRPr="008C29F7">
        <w:rPr>
          <w:sz w:val="19"/>
          <w:szCs w:val="19"/>
        </w:rPr>
        <w:t xml:space="preserve">, 58(1),  p. 34-8.. </w:t>
      </w:r>
    </w:p>
    <w:p w14:paraId="47BBC1C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Sabour, M. P. </w:t>
      </w:r>
      <w:r w:rsidRPr="008C29F7">
        <w:rPr>
          <w:i/>
          <w:sz w:val="19"/>
          <w:szCs w:val="19"/>
        </w:rPr>
        <w:t>et al.</w:t>
      </w:r>
      <w:r w:rsidRPr="008C29F7">
        <w:rPr>
          <w:sz w:val="19"/>
          <w:szCs w:val="19"/>
        </w:rPr>
        <w:t xml:space="preserve"> (1992) Endogenous Viral Gene Distribution in Populations of Meat-Type Chickens, </w:t>
      </w:r>
      <w:r w:rsidRPr="008C29F7">
        <w:rPr>
          <w:i/>
          <w:sz w:val="19"/>
          <w:szCs w:val="19"/>
        </w:rPr>
        <w:t>Poultry Science</w:t>
      </w:r>
      <w:r w:rsidRPr="008C29F7">
        <w:rPr>
          <w:sz w:val="19"/>
          <w:szCs w:val="19"/>
        </w:rPr>
        <w:t xml:space="preserve">, 71(8), p. 1259–70. </w:t>
      </w:r>
    </w:p>
    <w:p w14:paraId="0906B58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Sacco, M. </w:t>
      </w:r>
      <w:r w:rsidRPr="008C29F7">
        <w:rPr>
          <w:i/>
          <w:sz w:val="19"/>
          <w:szCs w:val="19"/>
        </w:rPr>
        <w:t>et al.</w:t>
      </w:r>
      <w:r w:rsidRPr="008C29F7">
        <w:rPr>
          <w:sz w:val="19"/>
          <w:szCs w:val="19"/>
        </w:rPr>
        <w:t xml:space="preserve"> (2004) Assessing the roles of endogenous retrovirus EAV-HP in avian leukosis virus subgroup J emergence and tolerance, </w:t>
      </w:r>
      <w:r w:rsidRPr="008C29F7">
        <w:rPr>
          <w:i/>
          <w:sz w:val="19"/>
          <w:szCs w:val="19"/>
        </w:rPr>
        <w:t>Journal of Virology</w:t>
      </w:r>
      <w:r w:rsidRPr="008C29F7">
        <w:rPr>
          <w:sz w:val="19"/>
          <w:szCs w:val="19"/>
        </w:rPr>
        <w:t xml:space="preserve">, 78(19), p. 10525–35. </w:t>
      </w:r>
    </w:p>
    <w:p w14:paraId="616EF70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Sacco, M. A. and Nair, V. K. (2014) Prototype EAV Endogenous Retroviruses of the Gallus Genus., </w:t>
      </w:r>
      <w:r w:rsidRPr="008C29F7">
        <w:rPr>
          <w:i/>
          <w:sz w:val="19"/>
          <w:szCs w:val="19"/>
        </w:rPr>
        <w:t>The Journal of general virology</w:t>
      </w:r>
      <w:r w:rsidRPr="008C29F7">
        <w:rPr>
          <w:sz w:val="19"/>
          <w:szCs w:val="19"/>
        </w:rPr>
        <w:t>, 5, p. 1–27.</w:t>
      </w:r>
    </w:p>
    <w:p w14:paraId="7906979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Sacco, M. and Flannery, D. (2000) Avian endogenous retrovirus EAV-HP shares regions of identity with avian leukosis virus subgroup J and the avian retrotransposon ART-CH, </w:t>
      </w:r>
      <w:r w:rsidRPr="008C29F7">
        <w:rPr>
          <w:i/>
          <w:sz w:val="19"/>
          <w:szCs w:val="19"/>
        </w:rPr>
        <w:t>Journal of Virology</w:t>
      </w:r>
      <w:r w:rsidRPr="008C29F7">
        <w:rPr>
          <w:sz w:val="19"/>
          <w:szCs w:val="19"/>
        </w:rPr>
        <w:t>, 74(3), p. 1296–1306.</w:t>
      </w:r>
    </w:p>
    <w:p w14:paraId="0CF328F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Sacco, M., Howes, K. and Venugopal, K. (2001) Intact EAV-HP endogenous retrovirus in Sonnerat’s jungle fowl, </w:t>
      </w:r>
      <w:r w:rsidRPr="008C29F7">
        <w:rPr>
          <w:i/>
          <w:sz w:val="19"/>
          <w:szCs w:val="19"/>
        </w:rPr>
        <w:t>Journal of Virology</w:t>
      </w:r>
      <w:r w:rsidRPr="008C29F7">
        <w:rPr>
          <w:sz w:val="19"/>
          <w:szCs w:val="19"/>
        </w:rPr>
        <w:t xml:space="preserve">, 75(4), p. 2029–32. </w:t>
      </w:r>
    </w:p>
    <w:p w14:paraId="677872B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Sacco, M. and Venugopal, K. (2001) Segregation of EAV-HP ancient endogenous retroviruses within the chicken population, </w:t>
      </w:r>
      <w:r w:rsidRPr="008C29F7">
        <w:rPr>
          <w:i/>
          <w:sz w:val="19"/>
          <w:szCs w:val="19"/>
        </w:rPr>
        <w:t>Journal of Virology</w:t>
      </w:r>
      <w:r w:rsidRPr="008C29F7">
        <w:rPr>
          <w:sz w:val="19"/>
          <w:szCs w:val="19"/>
        </w:rPr>
        <w:t xml:space="preserve">, 75(23), p. 11935-8. </w:t>
      </w:r>
    </w:p>
    <w:p w14:paraId="12D5932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Schatz, M. C., Witkowski, J. and McCombie, W. R. (2012) Current challenges in de novo plant genome sequencing and assembly, </w:t>
      </w:r>
      <w:r w:rsidRPr="008C29F7">
        <w:rPr>
          <w:i/>
          <w:sz w:val="19"/>
          <w:szCs w:val="19"/>
        </w:rPr>
        <w:t>Genome Biology</w:t>
      </w:r>
      <w:r w:rsidRPr="008C29F7">
        <w:rPr>
          <w:sz w:val="19"/>
          <w:szCs w:val="19"/>
        </w:rPr>
        <w:t>, 13(4), p. 243.</w:t>
      </w:r>
    </w:p>
    <w:p w14:paraId="267BDDC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Schelhorn, S.-E. </w:t>
      </w:r>
      <w:r w:rsidRPr="008C29F7">
        <w:rPr>
          <w:i/>
          <w:sz w:val="19"/>
          <w:szCs w:val="19"/>
        </w:rPr>
        <w:t>et al.</w:t>
      </w:r>
      <w:r w:rsidRPr="008C29F7">
        <w:rPr>
          <w:sz w:val="19"/>
          <w:szCs w:val="19"/>
        </w:rPr>
        <w:t xml:space="preserve"> (2013) Sensitive detection of viral transcripts in human tumor transcriptomes., </w:t>
      </w:r>
      <w:r w:rsidRPr="008C29F7">
        <w:rPr>
          <w:i/>
          <w:sz w:val="19"/>
          <w:szCs w:val="19"/>
        </w:rPr>
        <w:t>PLoS computational biology</w:t>
      </w:r>
      <w:r w:rsidRPr="008C29F7">
        <w:rPr>
          <w:sz w:val="19"/>
          <w:szCs w:val="19"/>
        </w:rPr>
        <w:t xml:space="preserve">, 9(10), p. e1003228. </w:t>
      </w:r>
    </w:p>
    <w:p w14:paraId="78F79FC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Sekita, Y. </w:t>
      </w:r>
      <w:r w:rsidRPr="008C29F7">
        <w:rPr>
          <w:i/>
          <w:sz w:val="19"/>
          <w:szCs w:val="19"/>
        </w:rPr>
        <w:t>et al.</w:t>
      </w:r>
      <w:r w:rsidRPr="008C29F7">
        <w:rPr>
          <w:sz w:val="19"/>
          <w:szCs w:val="19"/>
        </w:rPr>
        <w:t xml:space="preserve"> (2008) Role of retrotransposon-derived imprinted gene, Rtl1, in the feto-maternal interface of mouse placenta, </w:t>
      </w:r>
      <w:r w:rsidRPr="008C29F7">
        <w:rPr>
          <w:i/>
          <w:sz w:val="19"/>
          <w:szCs w:val="19"/>
        </w:rPr>
        <w:t>Nature Genetics</w:t>
      </w:r>
      <w:r w:rsidRPr="008C29F7">
        <w:rPr>
          <w:sz w:val="19"/>
          <w:szCs w:val="19"/>
        </w:rPr>
        <w:t xml:space="preserve">, 40(2), p. 243–8. </w:t>
      </w:r>
    </w:p>
    <w:p w14:paraId="4EB9DE5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Semagn, K. </w:t>
      </w:r>
      <w:r w:rsidRPr="008C29F7">
        <w:rPr>
          <w:i/>
          <w:sz w:val="19"/>
          <w:szCs w:val="19"/>
        </w:rPr>
        <w:t>et al.</w:t>
      </w:r>
      <w:r w:rsidRPr="008C29F7">
        <w:rPr>
          <w:sz w:val="19"/>
          <w:szCs w:val="19"/>
        </w:rPr>
        <w:t xml:space="preserve"> (2014) Single nucleotide polymorphism genotyping using Kompetitive Allele Specific PCR (KASP): Overview of the technology and its application in crop improvement, </w:t>
      </w:r>
      <w:r w:rsidRPr="008C29F7">
        <w:rPr>
          <w:i/>
          <w:sz w:val="19"/>
          <w:szCs w:val="19"/>
        </w:rPr>
        <w:t>Molecular Breeding</w:t>
      </w:r>
      <w:r w:rsidRPr="008C29F7">
        <w:rPr>
          <w:sz w:val="19"/>
          <w:szCs w:val="19"/>
        </w:rPr>
        <w:t xml:space="preserve">, 33(1), p. 1–14. </w:t>
      </w:r>
    </w:p>
    <w:p w14:paraId="4B92FD2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Serrao, E. </w:t>
      </w:r>
      <w:r w:rsidRPr="008C29F7">
        <w:rPr>
          <w:i/>
          <w:sz w:val="19"/>
          <w:szCs w:val="19"/>
        </w:rPr>
        <w:t>et al.</w:t>
      </w:r>
      <w:r w:rsidRPr="008C29F7">
        <w:rPr>
          <w:sz w:val="19"/>
          <w:szCs w:val="19"/>
        </w:rPr>
        <w:t xml:space="preserve"> (2015) Key determinants of target DNA recognition by retroviral intasomes., </w:t>
      </w:r>
      <w:r w:rsidRPr="008C29F7">
        <w:rPr>
          <w:i/>
          <w:sz w:val="19"/>
          <w:szCs w:val="19"/>
        </w:rPr>
        <w:t>Retrovirology</w:t>
      </w:r>
      <w:r w:rsidRPr="008C29F7">
        <w:rPr>
          <w:sz w:val="19"/>
          <w:szCs w:val="19"/>
        </w:rPr>
        <w:t xml:space="preserve">, 12, p. 39. </w:t>
      </w:r>
    </w:p>
    <w:p w14:paraId="61079E2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Shedlock, A. M. (2006) Phylogenomic Investigation of CR1 LINE Diversity in Reptiles, </w:t>
      </w:r>
      <w:r w:rsidRPr="008C29F7">
        <w:rPr>
          <w:i/>
          <w:sz w:val="19"/>
          <w:szCs w:val="19"/>
        </w:rPr>
        <w:t>Systematic Biology</w:t>
      </w:r>
      <w:r w:rsidRPr="008C29F7">
        <w:rPr>
          <w:sz w:val="19"/>
          <w:szCs w:val="19"/>
        </w:rPr>
        <w:t xml:space="preserve">, 55(6), p. 902–11. </w:t>
      </w:r>
    </w:p>
    <w:p w14:paraId="7C4C4E0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Shedlock, A. M. </w:t>
      </w:r>
      <w:r w:rsidRPr="008C29F7">
        <w:rPr>
          <w:i/>
          <w:sz w:val="19"/>
          <w:szCs w:val="19"/>
        </w:rPr>
        <w:t>et al.</w:t>
      </w:r>
      <w:r w:rsidRPr="008C29F7">
        <w:rPr>
          <w:sz w:val="19"/>
          <w:szCs w:val="19"/>
        </w:rPr>
        <w:t xml:space="preserve"> (2007) Phylogenomics of nonavian reptiles and the structure of the ancestral amniote genome, </w:t>
      </w:r>
      <w:r w:rsidRPr="008C29F7">
        <w:rPr>
          <w:i/>
          <w:sz w:val="19"/>
          <w:szCs w:val="19"/>
        </w:rPr>
        <w:t>PNAS</w:t>
      </w:r>
      <w:r w:rsidRPr="008C29F7">
        <w:rPr>
          <w:sz w:val="19"/>
          <w:szCs w:val="19"/>
        </w:rPr>
        <w:t>, 104(8), p. 2767–72.</w:t>
      </w:r>
    </w:p>
    <w:p w14:paraId="165B7F4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Shi, L. </w:t>
      </w:r>
      <w:r w:rsidRPr="008C29F7">
        <w:rPr>
          <w:i/>
          <w:sz w:val="19"/>
          <w:szCs w:val="19"/>
        </w:rPr>
        <w:t>et al.</w:t>
      </w:r>
      <w:r w:rsidRPr="008C29F7">
        <w:rPr>
          <w:sz w:val="19"/>
          <w:szCs w:val="19"/>
        </w:rPr>
        <w:t xml:space="preserve"> (2016) Long-read sequencing and de novo assembly of a Chinese genome, </w:t>
      </w:r>
      <w:r w:rsidRPr="008C29F7">
        <w:rPr>
          <w:i/>
          <w:sz w:val="19"/>
          <w:szCs w:val="19"/>
        </w:rPr>
        <w:t>Nature Communications</w:t>
      </w:r>
      <w:r w:rsidRPr="008C29F7">
        <w:rPr>
          <w:sz w:val="19"/>
          <w:szCs w:val="19"/>
        </w:rPr>
        <w:t xml:space="preserve">, 7, p. 12065. </w:t>
      </w:r>
    </w:p>
    <w:p w14:paraId="4F2D800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Smeds, L. </w:t>
      </w:r>
      <w:r w:rsidRPr="008C29F7">
        <w:rPr>
          <w:i/>
          <w:sz w:val="19"/>
          <w:szCs w:val="19"/>
        </w:rPr>
        <w:t>et al.</w:t>
      </w:r>
      <w:r w:rsidRPr="008C29F7">
        <w:rPr>
          <w:sz w:val="19"/>
          <w:szCs w:val="19"/>
        </w:rPr>
        <w:t xml:space="preserve"> (2014) Genomic identification and characterization of the pseudoautosomal region in highly differentiated avian sex chromosomes., </w:t>
      </w:r>
      <w:r w:rsidRPr="008C29F7">
        <w:rPr>
          <w:i/>
          <w:sz w:val="19"/>
          <w:szCs w:val="19"/>
        </w:rPr>
        <w:t>Nature communications</w:t>
      </w:r>
      <w:r w:rsidRPr="008C29F7">
        <w:rPr>
          <w:sz w:val="19"/>
          <w:szCs w:val="19"/>
        </w:rPr>
        <w:t xml:space="preserve">, 5, p. 5448. </w:t>
      </w:r>
    </w:p>
    <w:p w14:paraId="1F94AAB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Smit, A., Hubley, R. and Green, P. (2013) RepeatMasker Open-4.0.3.</w:t>
      </w:r>
    </w:p>
    <w:p w14:paraId="2564F33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A. and Benkel, B. F. (2008) A diagnostic assay for the endogenous ALV-type provirus </w:t>
      </w:r>
      <w:r w:rsidRPr="008C29F7">
        <w:rPr>
          <w:i/>
          <w:sz w:val="19"/>
          <w:szCs w:val="19"/>
        </w:rPr>
        <w:t>ALVE-NSAC-</w:t>
      </w:r>
      <w:r w:rsidRPr="008C29F7">
        <w:rPr>
          <w:sz w:val="19"/>
          <w:szCs w:val="19"/>
        </w:rPr>
        <w:t xml:space="preserve"> 3 of chickens, </w:t>
      </w:r>
      <w:r w:rsidRPr="008C29F7">
        <w:rPr>
          <w:i/>
          <w:sz w:val="19"/>
          <w:szCs w:val="19"/>
        </w:rPr>
        <w:t>Animal Genetics</w:t>
      </w:r>
      <w:r w:rsidRPr="008C29F7">
        <w:rPr>
          <w:sz w:val="19"/>
          <w:szCs w:val="19"/>
        </w:rPr>
        <w:t xml:space="preserve">, 39(5), p. 574–5. </w:t>
      </w:r>
    </w:p>
    <w:p w14:paraId="2CD421B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A and Benkel, B. F. (2009) Novel avian leukosis virus-related endogenous proviruses from layer chickens: characterization and development of locus-specific assays., </w:t>
      </w:r>
      <w:r w:rsidRPr="008C29F7">
        <w:rPr>
          <w:i/>
          <w:sz w:val="19"/>
          <w:szCs w:val="19"/>
        </w:rPr>
        <w:t>Poultry Science</w:t>
      </w:r>
      <w:r w:rsidRPr="008C29F7">
        <w:rPr>
          <w:sz w:val="19"/>
          <w:szCs w:val="19"/>
        </w:rPr>
        <w:t xml:space="preserve">, 88(8), p. 1580–5. </w:t>
      </w:r>
    </w:p>
    <w:p w14:paraId="611DFF95" w14:textId="0EB040E5"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E. J. </w:t>
      </w:r>
      <w:r w:rsidRPr="008C29F7">
        <w:rPr>
          <w:i/>
          <w:sz w:val="19"/>
          <w:szCs w:val="19"/>
        </w:rPr>
        <w:t>et al.</w:t>
      </w:r>
      <w:r w:rsidRPr="008C29F7">
        <w:rPr>
          <w:sz w:val="19"/>
          <w:szCs w:val="19"/>
        </w:rPr>
        <w:t xml:space="preserve"> (1991) The Influence of ev6 on the Immune Response to Avian Leukosis Virus Infection in Rapid-Feathering Progeny of S</w:t>
      </w:r>
      <w:r w:rsidR="004A6A87">
        <w:rPr>
          <w:sz w:val="19"/>
          <w:szCs w:val="19"/>
        </w:rPr>
        <w:t>low- and Rapid-Feathering Dams,</w:t>
      </w:r>
      <w:r w:rsidRPr="008C29F7">
        <w:rPr>
          <w:i/>
          <w:sz w:val="19"/>
          <w:szCs w:val="19"/>
        </w:rPr>
        <w:t>Poultry Science</w:t>
      </w:r>
      <w:r w:rsidR="004A6A87">
        <w:rPr>
          <w:sz w:val="19"/>
          <w:szCs w:val="19"/>
        </w:rPr>
        <w:t>,70(8),p.</w:t>
      </w:r>
      <w:r w:rsidRPr="008C29F7">
        <w:rPr>
          <w:sz w:val="19"/>
          <w:szCs w:val="19"/>
        </w:rPr>
        <w:t>1673</w:t>
      </w:r>
      <w:r w:rsidR="004A6A87">
        <w:rPr>
          <w:sz w:val="19"/>
          <w:szCs w:val="19"/>
        </w:rPr>
        <w:t>-</w:t>
      </w:r>
      <w:r w:rsidRPr="008C29F7">
        <w:rPr>
          <w:sz w:val="19"/>
          <w:szCs w:val="19"/>
        </w:rPr>
        <w:t xml:space="preserve">8. </w:t>
      </w:r>
    </w:p>
    <w:p w14:paraId="56E2E75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E. J., Fadly, A. M. and Crittenden, L. B. (1990a) Interactions Between Endogenous Virus Loci ev6 and ev21.: 1. Immune Response to Exogenous Avian Leukosis Virus Infection, </w:t>
      </w:r>
      <w:r w:rsidRPr="008C29F7">
        <w:rPr>
          <w:i/>
          <w:sz w:val="19"/>
          <w:szCs w:val="19"/>
        </w:rPr>
        <w:t>Poultry Science</w:t>
      </w:r>
      <w:r w:rsidRPr="008C29F7">
        <w:rPr>
          <w:sz w:val="19"/>
          <w:szCs w:val="19"/>
        </w:rPr>
        <w:t xml:space="preserve">, 69(8), p. 1244–1250. </w:t>
      </w:r>
    </w:p>
    <w:p w14:paraId="59D3051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E. J., Fadly, A. M. and Crittenden, L. B. (1990b) Interactions Between Endogenous Virus Loci ev6 and ev21.: 2. Congenital Transmission of EV21 Viral Product to Female Progeny from Slow-Feathering Dams, </w:t>
      </w:r>
      <w:r w:rsidRPr="008C29F7">
        <w:rPr>
          <w:i/>
          <w:sz w:val="19"/>
          <w:szCs w:val="19"/>
        </w:rPr>
        <w:t>Poultry Science</w:t>
      </w:r>
      <w:r w:rsidRPr="008C29F7">
        <w:rPr>
          <w:sz w:val="19"/>
          <w:szCs w:val="19"/>
        </w:rPr>
        <w:t xml:space="preserve">, 69(8), p. 1251–6. </w:t>
      </w:r>
    </w:p>
    <w:p w14:paraId="0F7764E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E. J., Fadly, A. and Okazaki, W. (1979) An enzyme-linked immunosorbent assay for detecting avian leukosis-sarcoma viruses., </w:t>
      </w:r>
      <w:r w:rsidRPr="008C29F7">
        <w:rPr>
          <w:i/>
          <w:sz w:val="19"/>
          <w:szCs w:val="19"/>
        </w:rPr>
        <w:t>Avian diseases</w:t>
      </w:r>
      <w:r w:rsidRPr="008C29F7">
        <w:rPr>
          <w:sz w:val="19"/>
          <w:szCs w:val="19"/>
        </w:rPr>
        <w:t xml:space="preserve">, 23(3), p. 698–707. </w:t>
      </w:r>
    </w:p>
    <w:p w14:paraId="7266BD1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Smith, L. M. </w:t>
      </w:r>
      <w:r w:rsidRPr="008C29F7">
        <w:rPr>
          <w:i/>
          <w:sz w:val="19"/>
          <w:szCs w:val="19"/>
        </w:rPr>
        <w:t>et al.</w:t>
      </w:r>
      <w:r w:rsidRPr="008C29F7">
        <w:rPr>
          <w:sz w:val="19"/>
          <w:szCs w:val="19"/>
        </w:rPr>
        <w:t xml:space="preserve"> (1999) Novel endogenous retroviral sequences in the chicken genome closely related to HPRS-103 (subgroup J) avian leukosis virus, </w:t>
      </w:r>
      <w:r w:rsidRPr="008C29F7">
        <w:rPr>
          <w:i/>
          <w:sz w:val="19"/>
          <w:szCs w:val="19"/>
        </w:rPr>
        <w:t>Journal of General Virology</w:t>
      </w:r>
      <w:r w:rsidRPr="008C29F7">
        <w:rPr>
          <w:sz w:val="19"/>
          <w:szCs w:val="19"/>
        </w:rPr>
        <w:t>, 80(1), p. 261–8.</w:t>
      </w:r>
    </w:p>
    <w:p w14:paraId="6A703C7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Sperber, G. O. </w:t>
      </w:r>
      <w:r w:rsidRPr="008C29F7">
        <w:rPr>
          <w:i/>
          <w:sz w:val="19"/>
          <w:szCs w:val="19"/>
        </w:rPr>
        <w:t>et al.</w:t>
      </w:r>
      <w:r w:rsidRPr="008C29F7">
        <w:rPr>
          <w:sz w:val="19"/>
          <w:szCs w:val="19"/>
        </w:rPr>
        <w:t xml:space="preserve"> (2007) Automated recognition of retroviral sequences in genomic data--RetroTector., </w:t>
      </w:r>
      <w:r w:rsidRPr="008C29F7">
        <w:rPr>
          <w:i/>
          <w:sz w:val="19"/>
          <w:szCs w:val="19"/>
        </w:rPr>
        <w:t>Nucleic Acids Research</w:t>
      </w:r>
      <w:r w:rsidRPr="008C29F7">
        <w:rPr>
          <w:sz w:val="19"/>
          <w:szCs w:val="19"/>
        </w:rPr>
        <w:t xml:space="preserve">, 35(15), p. 4964–76. </w:t>
      </w:r>
    </w:p>
    <w:p w14:paraId="6ECDAFC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Sreekumar, G. P. </w:t>
      </w:r>
      <w:r w:rsidRPr="008C29F7">
        <w:rPr>
          <w:i/>
          <w:sz w:val="19"/>
          <w:szCs w:val="19"/>
        </w:rPr>
        <w:t>et al.</w:t>
      </w:r>
      <w:r w:rsidRPr="008C29F7">
        <w:rPr>
          <w:sz w:val="19"/>
          <w:szCs w:val="19"/>
        </w:rPr>
        <w:t xml:space="preserve"> (2000) Analysis of the effect of endogenous viral genes in the Smyth line chicken model for autoimmune vitiligo., </w:t>
      </w:r>
      <w:r w:rsidRPr="008C29F7">
        <w:rPr>
          <w:i/>
          <w:sz w:val="19"/>
          <w:szCs w:val="19"/>
        </w:rPr>
        <w:t>The American journal of pathology</w:t>
      </w:r>
      <w:r w:rsidRPr="008C29F7">
        <w:rPr>
          <w:sz w:val="19"/>
          <w:szCs w:val="19"/>
        </w:rPr>
        <w:t xml:space="preserve">, 156(3), p. 1099–1107. </w:t>
      </w:r>
    </w:p>
    <w:p w14:paraId="63DD1E6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Stamatakis, A. (2014) RAxML version 8: A tool for phylogenetic analysis and post-analysis of large phylogenies, </w:t>
      </w:r>
      <w:r w:rsidRPr="008C29F7">
        <w:rPr>
          <w:i/>
          <w:sz w:val="19"/>
          <w:szCs w:val="19"/>
        </w:rPr>
        <w:t>Bioinformatics</w:t>
      </w:r>
      <w:r w:rsidRPr="008C29F7">
        <w:rPr>
          <w:sz w:val="19"/>
          <w:szCs w:val="19"/>
        </w:rPr>
        <w:t xml:space="preserve">, 30(9), p. 1312–3. </w:t>
      </w:r>
    </w:p>
    <w:p w14:paraId="34E3A5B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Steinbiss, S. </w:t>
      </w:r>
      <w:r w:rsidRPr="008C29F7">
        <w:rPr>
          <w:i/>
          <w:sz w:val="19"/>
          <w:szCs w:val="19"/>
        </w:rPr>
        <w:t>et al.</w:t>
      </w:r>
      <w:r w:rsidRPr="008C29F7">
        <w:rPr>
          <w:sz w:val="19"/>
          <w:szCs w:val="19"/>
        </w:rPr>
        <w:t xml:space="preserve"> (2009) Fine-grained annotation and classification of de novo predicted LTR retrotransposons., </w:t>
      </w:r>
      <w:r w:rsidRPr="008C29F7">
        <w:rPr>
          <w:i/>
          <w:sz w:val="19"/>
          <w:szCs w:val="19"/>
        </w:rPr>
        <w:t>Nucleic Acids Research</w:t>
      </w:r>
      <w:r w:rsidRPr="008C29F7">
        <w:rPr>
          <w:sz w:val="19"/>
          <w:szCs w:val="19"/>
        </w:rPr>
        <w:t xml:space="preserve">, 37(21), p. 7002–13. </w:t>
      </w:r>
    </w:p>
    <w:p w14:paraId="1C583618" w14:textId="24468444"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Steinbiss, S., Kastens, S. and Kurtz, S. (2012) LTRsift: a graphical user interface for semi-automatic classification and postprocessing of de novo detected LTR retrotransposons, </w:t>
      </w:r>
      <w:r w:rsidRPr="008C29F7">
        <w:rPr>
          <w:i/>
          <w:sz w:val="19"/>
          <w:szCs w:val="19"/>
        </w:rPr>
        <w:t>Mobile DNA</w:t>
      </w:r>
      <w:r w:rsidR="004A6A87">
        <w:rPr>
          <w:sz w:val="19"/>
          <w:szCs w:val="19"/>
        </w:rPr>
        <w:t>, 3</w:t>
      </w:r>
      <w:r w:rsidRPr="008C29F7">
        <w:rPr>
          <w:sz w:val="19"/>
          <w:szCs w:val="19"/>
        </w:rPr>
        <w:t>, p. 18.</w:t>
      </w:r>
    </w:p>
    <w:p w14:paraId="7F1FF26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Stoye, J. P. (2001) Endogenous retroviruses: still active after all these years?, </w:t>
      </w:r>
      <w:r w:rsidRPr="008C29F7">
        <w:rPr>
          <w:i/>
          <w:sz w:val="19"/>
          <w:szCs w:val="19"/>
        </w:rPr>
        <w:t>Current biology</w:t>
      </w:r>
      <w:r w:rsidRPr="008C29F7">
        <w:rPr>
          <w:sz w:val="19"/>
          <w:szCs w:val="19"/>
        </w:rPr>
        <w:t>, 11(22), p. R914-6.</w:t>
      </w:r>
    </w:p>
    <w:p w14:paraId="07A4839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Stoye, J. P. (2012) Studies of endogenous retroviruses reveal a continuing evolutionary saga., </w:t>
      </w:r>
      <w:r w:rsidRPr="008C29F7">
        <w:rPr>
          <w:i/>
          <w:sz w:val="19"/>
          <w:szCs w:val="19"/>
        </w:rPr>
        <w:t>Nature reviews. Microbiology</w:t>
      </w:r>
      <w:r w:rsidRPr="008C29F7">
        <w:rPr>
          <w:sz w:val="19"/>
          <w:szCs w:val="19"/>
        </w:rPr>
        <w:t xml:space="preserve">, 10(6), p. 395–406. </w:t>
      </w:r>
    </w:p>
    <w:p w14:paraId="4D59D81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Subramaniam, S. (1998) The biology workbench - A seamless database and analysis environment for the biologist, </w:t>
      </w:r>
      <w:r w:rsidRPr="008C29F7">
        <w:rPr>
          <w:i/>
          <w:sz w:val="19"/>
          <w:szCs w:val="19"/>
        </w:rPr>
        <w:t>Proteins: Structure, Function and Genetics</w:t>
      </w:r>
      <w:r w:rsidRPr="008C29F7">
        <w:rPr>
          <w:sz w:val="19"/>
          <w:szCs w:val="19"/>
        </w:rPr>
        <w:t xml:space="preserve">, 32(1), p. 1–2. </w:t>
      </w:r>
    </w:p>
    <w:p w14:paraId="0AC454E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Suh, A. </w:t>
      </w:r>
      <w:r w:rsidRPr="008C29F7">
        <w:rPr>
          <w:i/>
          <w:sz w:val="19"/>
          <w:szCs w:val="19"/>
        </w:rPr>
        <w:t>et al.</w:t>
      </w:r>
      <w:r w:rsidRPr="008C29F7">
        <w:rPr>
          <w:sz w:val="19"/>
          <w:szCs w:val="19"/>
        </w:rPr>
        <w:t xml:space="preserve"> (2011) Mesozoic retroposons reveal parrots as the closest living relatives of passerine birds, </w:t>
      </w:r>
      <w:r w:rsidRPr="008C29F7">
        <w:rPr>
          <w:i/>
          <w:sz w:val="19"/>
          <w:szCs w:val="19"/>
        </w:rPr>
        <w:t>Nature Communications</w:t>
      </w:r>
      <w:r w:rsidRPr="008C29F7">
        <w:rPr>
          <w:sz w:val="19"/>
          <w:szCs w:val="19"/>
        </w:rPr>
        <w:t xml:space="preserve">, 2(1), p. 443. </w:t>
      </w:r>
    </w:p>
    <w:p w14:paraId="28F92A1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Suh, A. (2016) The phylogenomic forest of bird trees contains a hard polytomy at the root of Neoaves, </w:t>
      </w:r>
      <w:r w:rsidRPr="008C29F7">
        <w:rPr>
          <w:i/>
          <w:sz w:val="19"/>
          <w:szCs w:val="19"/>
        </w:rPr>
        <w:t>Zoologica Scripta</w:t>
      </w:r>
      <w:r w:rsidRPr="008C29F7">
        <w:rPr>
          <w:sz w:val="19"/>
          <w:szCs w:val="19"/>
        </w:rPr>
        <w:t xml:space="preserve">, 45, p. 50–62. </w:t>
      </w:r>
    </w:p>
    <w:p w14:paraId="79D13D0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Suh, A., Smeds, L. and Ellegren, H. (2015) The Dynamics of Incomplete Lineage Sorting across the Ancient Adaptive Radiation of Neoavian Birds., </w:t>
      </w:r>
      <w:r w:rsidRPr="008C29F7">
        <w:rPr>
          <w:i/>
          <w:sz w:val="19"/>
          <w:szCs w:val="19"/>
        </w:rPr>
        <w:t>PLoS biology</w:t>
      </w:r>
      <w:r w:rsidRPr="008C29F7">
        <w:rPr>
          <w:sz w:val="19"/>
          <w:szCs w:val="19"/>
        </w:rPr>
        <w:t>, 13(8), p. e1002224.</w:t>
      </w:r>
    </w:p>
    <w:p w14:paraId="6B1E181E"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Sun, C. </w:t>
      </w:r>
      <w:r w:rsidRPr="008C29F7">
        <w:rPr>
          <w:i/>
          <w:sz w:val="19"/>
          <w:szCs w:val="19"/>
        </w:rPr>
        <w:t>et al.</w:t>
      </w:r>
      <w:r w:rsidRPr="008C29F7">
        <w:rPr>
          <w:sz w:val="19"/>
          <w:szCs w:val="19"/>
        </w:rPr>
        <w:t xml:space="preserve"> (2012) LTR retrotransposons contribute to genomic gigantism in plethodontid salamanders, </w:t>
      </w:r>
      <w:r w:rsidRPr="008C29F7">
        <w:rPr>
          <w:i/>
          <w:sz w:val="19"/>
          <w:szCs w:val="19"/>
        </w:rPr>
        <w:t>Genome Biology and Evolution</w:t>
      </w:r>
      <w:r w:rsidRPr="008C29F7">
        <w:rPr>
          <w:sz w:val="19"/>
          <w:szCs w:val="19"/>
        </w:rPr>
        <w:t xml:space="preserve">, 4(2), p. 168–183. </w:t>
      </w:r>
    </w:p>
    <w:p w14:paraId="7C901F1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Sun, Y. H. </w:t>
      </w:r>
      <w:r w:rsidRPr="008C29F7">
        <w:rPr>
          <w:i/>
          <w:sz w:val="19"/>
          <w:szCs w:val="19"/>
        </w:rPr>
        <w:t>et al.</w:t>
      </w:r>
      <w:r w:rsidRPr="008C29F7">
        <w:rPr>
          <w:sz w:val="19"/>
          <w:szCs w:val="19"/>
        </w:rPr>
        <w:t xml:space="preserve"> (2017) Domestic chickens activate a piRNA defense against avian leukosis virus, </w:t>
      </w:r>
      <w:r w:rsidRPr="008C29F7">
        <w:rPr>
          <w:i/>
          <w:sz w:val="19"/>
          <w:szCs w:val="19"/>
        </w:rPr>
        <w:t>eLife</w:t>
      </w:r>
      <w:r w:rsidRPr="008C29F7">
        <w:rPr>
          <w:sz w:val="19"/>
          <w:szCs w:val="19"/>
        </w:rPr>
        <w:t xml:space="preserve">, 6, p. 1–24. </w:t>
      </w:r>
    </w:p>
    <w:p w14:paraId="4006DB9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Swanstrom, R. </w:t>
      </w:r>
      <w:r w:rsidRPr="008C29F7">
        <w:rPr>
          <w:i/>
          <w:sz w:val="19"/>
          <w:szCs w:val="19"/>
        </w:rPr>
        <w:t>et al.</w:t>
      </w:r>
      <w:r w:rsidRPr="008C29F7">
        <w:rPr>
          <w:sz w:val="19"/>
          <w:szCs w:val="19"/>
        </w:rPr>
        <w:t xml:space="preserve"> (1983) Transduction of a cellular oncogene: the genesis of Rous sarcoma virus., </w:t>
      </w:r>
      <w:r w:rsidRPr="008C29F7">
        <w:rPr>
          <w:i/>
          <w:sz w:val="19"/>
          <w:szCs w:val="19"/>
        </w:rPr>
        <w:t>PNAS</w:t>
      </w:r>
      <w:r w:rsidRPr="008C29F7">
        <w:rPr>
          <w:sz w:val="19"/>
          <w:szCs w:val="19"/>
        </w:rPr>
        <w:t xml:space="preserve">, 80(9), p. 2519–23. </w:t>
      </w:r>
    </w:p>
    <w:p w14:paraId="62228538"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Tarlinton, R. E., Meers, J. and Young, P. R. (2006) Retroviral invasion of the koala genome., </w:t>
      </w:r>
      <w:r w:rsidRPr="008C29F7">
        <w:rPr>
          <w:i/>
          <w:sz w:val="19"/>
          <w:szCs w:val="19"/>
        </w:rPr>
        <w:t>Nature</w:t>
      </w:r>
      <w:r w:rsidRPr="008C29F7">
        <w:rPr>
          <w:sz w:val="19"/>
          <w:szCs w:val="19"/>
        </w:rPr>
        <w:t xml:space="preserve">, 442(7098), p. 79–81. </w:t>
      </w:r>
    </w:p>
    <w:p w14:paraId="615DA7F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Taylor, D. J. </w:t>
      </w:r>
      <w:r w:rsidRPr="008C29F7">
        <w:rPr>
          <w:i/>
          <w:sz w:val="19"/>
          <w:szCs w:val="19"/>
        </w:rPr>
        <w:t>et al.</w:t>
      </w:r>
      <w:r w:rsidRPr="008C29F7">
        <w:rPr>
          <w:sz w:val="19"/>
          <w:szCs w:val="19"/>
        </w:rPr>
        <w:t xml:space="preserve"> (2011) Evolutionary maintenance of filovirus-like genes in bat genomes, </w:t>
      </w:r>
      <w:r w:rsidRPr="008C29F7">
        <w:rPr>
          <w:i/>
          <w:sz w:val="19"/>
          <w:szCs w:val="19"/>
        </w:rPr>
        <w:t>BMC Evolutionary Biology</w:t>
      </w:r>
      <w:r w:rsidRPr="008C29F7">
        <w:rPr>
          <w:sz w:val="19"/>
          <w:szCs w:val="19"/>
        </w:rPr>
        <w:t xml:space="preserve">, 11(1), p. 336. </w:t>
      </w:r>
    </w:p>
    <w:p w14:paraId="610244F0"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Thorvaldsdóttir, H., Robinson, J. T. and Mesirov, J. P. (2013) Integrative Genomics Viewer (IGV): High-performance genomics data visualization and exploration, </w:t>
      </w:r>
      <w:r w:rsidRPr="008C29F7">
        <w:rPr>
          <w:i/>
          <w:sz w:val="19"/>
          <w:szCs w:val="19"/>
        </w:rPr>
        <w:t>Briefings in Bioinformatics</w:t>
      </w:r>
      <w:r w:rsidRPr="008C29F7">
        <w:rPr>
          <w:sz w:val="19"/>
          <w:szCs w:val="19"/>
        </w:rPr>
        <w:t xml:space="preserve">, 14(2), p. 178–192. </w:t>
      </w:r>
    </w:p>
    <w:p w14:paraId="2F1B959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Tixier-Boichard, M. and Boulliou-Robic, A. (1997) A deleted retroviral insertion at the ev21-K complex locus in Indonesian chickens, </w:t>
      </w:r>
      <w:r w:rsidRPr="008C29F7">
        <w:rPr>
          <w:i/>
          <w:sz w:val="19"/>
          <w:szCs w:val="19"/>
        </w:rPr>
        <w:t>Poultry Science</w:t>
      </w:r>
      <w:r w:rsidRPr="008C29F7">
        <w:rPr>
          <w:sz w:val="19"/>
          <w:szCs w:val="19"/>
        </w:rPr>
        <w:t xml:space="preserve">, 76, p. 733–42. </w:t>
      </w:r>
    </w:p>
    <w:p w14:paraId="504672A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Tixier-Boichard, M. H. </w:t>
      </w:r>
      <w:r w:rsidRPr="008C29F7">
        <w:rPr>
          <w:i/>
          <w:sz w:val="19"/>
          <w:szCs w:val="19"/>
        </w:rPr>
        <w:t>et al.</w:t>
      </w:r>
      <w:r w:rsidRPr="008C29F7">
        <w:rPr>
          <w:sz w:val="19"/>
          <w:szCs w:val="19"/>
        </w:rPr>
        <w:t xml:space="preserve"> (1994) Screening Chickens for Endogenous Virus ev21 Viral Element by the Polymerase Chain Reaction, </w:t>
      </w:r>
      <w:r w:rsidRPr="008C29F7">
        <w:rPr>
          <w:i/>
          <w:sz w:val="19"/>
          <w:szCs w:val="19"/>
        </w:rPr>
        <w:t>Poultry Science</w:t>
      </w:r>
      <w:r w:rsidRPr="008C29F7">
        <w:rPr>
          <w:sz w:val="19"/>
          <w:szCs w:val="19"/>
        </w:rPr>
        <w:t xml:space="preserve">, 73(10), p. 1612–6. </w:t>
      </w:r>
    </w:p>
    <w:p w14:paraId="39A89435" w14:textId="19DA934A"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Trapnell, C. </w:t>
      </w:r>
      <w:r w:rsidRPr="008C29F7">
        <w:rPr>
          <w:i/>
          <w:sz w:val="19"/>
          <w:szCs w:val="19"/>
        </w:rPr>
        <w:t>et al.</w:t>
      </w:r>
      <w:r w:rsidRPr="008C29F7">
        <w:rPr>
          <w:sz w:val="19"/>
          <w:szCs w:val="19"/>
        </w:rPr>
        <w:t xml:space="preserve"> (2010) Transcript assembly and quantification by RNA-Seq reveals unannotated transcripts and isoform switching during cell differentiation., </w:t>
      </w:r>
      <w:r w:rsidRPr="008C29F7">
        <w:rPr>
          <w:i/>
          <w:sz w:val="19"/>
          <w:szCs w:val="19"/>
        </w:rPr>
        <w:t>Nature Biotechnology</w:t>
      </w:r>
      <w:r w:rsidR="004A6A87">
        <w:rPr>
          <w:sz w:val="19"/>
          <w:szCs w:val="19"/>
        </w:rPr>
        <w:t>, 28</w:t>
      </w:r>
      <w:r w:rsidRPr="008C29F7">
        <w:rPr>
          <w:sz w:val="19"/>
          <w:szCs w:val="19"/>
        </w:rPr>
        <w:t xml:space="preserve">, p. 511–5. </w:t>
      </w:r>
    </w:p>
    <w:p w14:paraId="134A898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Ulfah, M. </w:t>
      </w:r>
      <w:r w:rsidRPr="008C29F7">
        <w:rPr>
          <w:i/>
          <w:sz w:val="19"/>
          <w:szCs w:val="19"/>
        </w:rPr>
        <w:t>et al.</w:t>
      </w:r>
      <w:r w:rsidRPr="008C29F7">
        <w:rPr>
          <w:sz w:val="19"/>
          <w:szCs w:val="19"/>
        </w:rPr>
        <w:t xml:space="preserve"> (2016) Genetic features of red and green junglefowls and relationship with Indonesian native chickens Sumatera and Kedu Hitam, </w:t>
      </w:r>
      <w:r w:rsidRPr="008C29F7">
        <w:rPr>
          <w:i/>
          <w:sz w:val="19"/>
          <w:szCs w:val="19"/>
        </w:rPr>
        <w:t>BMC Genomics</w:t>
      </w:r>
      <w:r w:rsidRPr="008C29F7">
        <w:rPr>
          <w:sz w:val="19"/>
          <w:szCs w:val="19"/>
        </w:rPr>
        <w:t>, 17(1), p. 320.</w:t>
      </w:r>
    </w:p>
    <w:p w14:paraId="2D8BA6F6" w14:textId="7AFE3186"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Varela, M. </w:t>
      </w:r>
      <w:r w:rsidRPr="008C29F7">
        <w:rPr>
          <w:i/>
          <w:sz w:val="19"/>
          <w:szCs w:val="19"/>
        </w:rPr>
        <w:t>et al.</w:t>
      </w:r>
      <w:r w:rsidRPr="008C29F7">
        <w:rPr>
          <w:sz w:val="19"/>
          <w:szCs w:val="19"/>
        </w:rPr>
        <w:t xml:space="preserve"> (2009) Friendly Viruses, </w:t>
      </w:r>
      <w:r w:rsidRPr="008C29F7">
        <w:rPr>
          <w:i/>
          <w:sz w:val="19"/>
          <w:szCs w:val="19"/>
        </w:rPr>
        <w:t>Annals of the New York Academy of Sciences</w:t>
      </w:r>
      <w:r w:rsidR="004A6A87">
        <w:rPr>
          <w:sz w:val="19"/>
          <w:szCs w:val="19"/>
        </w:rPr>
        <w:t>,1178,p.</w:t>
      </w:r>
      <w:r w:rsidRPr="008C29F7">
        <w:rPr>
          <w:sz w:val="19"/>
          <w:szCs w:val="19"/>
        </w:rPr>
        <w:t xml:space="preserve">157–72. </w:t>
      </w:r>
    </w:p>
    <w:p w14:paraId="619102C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Varriale, A. (2014) DNA Methylation, Epigenetics, and Evolution in Vertebrates: Facts and Challenges, </w:t>
      </w:r>
      <w:r w:rsidRPr="008C29F7">
        <w:rPr>
          <w:i/>
          <w:sz w:val="19"/>
          <w:szCs w:val="19"/>
        </w:rPr>
        <w:t>International Journal of Evolutionary Biology</w:t>
      </w:r>
      <w:r w:rsidRPr="008C29F7">
        <w:rPr>
          <w:sz w:val="19"/>
          <w:szCs w:val="19"/>
        </w:rPr>
        <w:t xml:space="preserve">, 2014:475981. </w:t>
      </w:r>
    </w:p>
    <w:p w14:paraId="1325981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Venugopal, K. (1999) Avian leukosis virus subgroup J: a rapidly evolving group of oncogenic retroviruses., </w:t>
      </w:r>
      <w:r w:rsidRPr="008C29F7">
        <w:rPr>
          <w:i/>
          <w:sz w:val="19"/>
          <w:szCs w:val="19"/>
        </w:rPr>
        <w:t>Research in veterinary science</w:t>
      </w:r>
      <w:r w:rsidRPr="008C29F7">
        <w:rPr>
          <w:sz w:val="19"/>
          <w:szCs w:val="19"/>
        </w:rPr>
        <w:t xml:space="preserve">, 67(2), p. 113–9. </w:t>
      </w:r>
    </w:p>
    <w:p w14:paraId="244787F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Vezzoli, G., Soldati, L. and Gambaro, G. (2009) Roles of calcium-sensing receptor (CaSR) in renal mineral ion transport, </w:t>
      </w:r>
      <w:r w:rsidRPr="008C29F7">
        <w:rPr>
          <w:i/>
          <w:sz w:val="19"/>
          <w:szCs w:val="19"/>
        </w:rPr>
        <w:t>Current pharmaceutical biotechnology</w:t>
      </w:r>
      <w:r w:rsidRPr="008C29F7">
        <w:rPr>
          <w:sz w:val="19"/>
          <w:szCs w:val="19"/>
        </w:rPr>
        <w:t>, 10(3), p. 302–310.</w:t>
      </w:r>
    </w:p>
    <w:p w14:paraId="6738B72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Vitte, C. and Panaud, O. (2005) LTR retrotransposons and flowering plant genome size: Emergence of the increase/decrease model, </w:t>
      </w:r>
      <w:r w:rsidRPr="008C29F7">
        <w:rPr>
          <w:i/>
          <w:sz w:val="19"/>
          <w:szCs w:val="19"/>
        </w:rPr>
        <w:t>Cytogenetic and Genome Research</w:t>
      </w:r>
      <w:r w:rsidRPr="008C29F7">
        <w:rPr>
          <w:sz w:val="19"/>
          <w:szCs w:val="19"/>
        </w:rPr>
        <w:t xml:space="preserve">, 110(1–4), p. 91–107. </w:t>
      </w:r>
    </w:p>
    <w:p w14:paraId="05D6F62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Volff, J.-N. (2009) Cellular genes derived from Gypsy/Ty3 retrotransposons in mammalian genomes., </w:t>
      </w:r>
      <w:r w:rsidRPr="008C29F7">
        <w:rPr>
          <w:i/>
          <w:sz w:val="19"/>
          <w:szCs w:val="19"/>
        </w:rPr>
        <w:t>Annals of the New York Academy of Sciences</w:t>
      </w:r>
      <w:r w:rsidRPr="008C29F7">
        <w:rPr>
          <w:sz w:val="19"/>
          <w:szCs w:val="19"/>
        </w:rPr>
        <w:t xml:space="preserve">, 1178, p. 233–43. </w:t>
      </w:r>
    </w:p>
    <w:p w14:paraId="22AE561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Volff, J. N. (2006) Turning junk into gold: Domestication of transposable elements and the creation of new genes in eukaryotes, </w:t>
      </w:r>
      <w:r w:rsidRPr="008C29F7">
        <w:rPr>
          <w:i/>
          <w:sz w:val="19"/>
          <w:szCs w:val="19"/>
        </w:rPr>
        <w:t>BioEssays</w:t>
      </w:r>
      <w:r w:rsidRPr="008C29F7">
        <w:rPr>
          <w:sz w:val="19"/>
          <w:szCs w:val="19"/>
        </w:rPr>
        <w:t xml:space="preserve">, 28(9), p. 913–22. </w:t>
      </w:r>
    </w:p>
    <w:p w14:paraId="1528957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Waltari, E. and Edwards, S. V (2002) Evolutionary dynamics of intron size, genome size, and physiological correlates in archosaurs., </w:t>
      </w:r>
      <w:r w:rsidRPr="008C29F7">
        <w:rPr>
          <w:i/>
          <w:sz w:val="19"/>
          <w:szCs w:val="19"/>
        </w:rPr>
        <w:t>The American Naturalist</w:t>
      </w:r>
      <w:r w:rsidRPr="008C29F7">
        <w:rPr>
          <w:sz w:val="19"/>
          <w:szCs w:val="19"/>
        </w:rPr>
        <w:t xml:space="preserve">, 160(5), p. 539–52. </w:t>
      </w:r>
    </w:p>
    <w:p w14:paraId="50FB583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Wang, K. C. and Chang, H. Y. (2011) Molecular Mechanisms of Long Noncoding RNAs, </w:t>
      </w:r>
      <w:r w:rsidRPr="008C29F7">
        <w:rPr>
          <w:i/>
          <w:sz w:val="19"/>
          <w:szCs w:val="19"/>
        </w:rPr>
        <w:t>Molecular Cell</w:t>
      </w:r>
      <w:r w:rsidRPr="008C29F7">
        <w:rPr>
          <w:sz w:val="19"/>
          <w:szCs w:val="19"/>
        </w:rPr>
        <w:t xml:space="preserve">, 43(6), p. 904–14. </w:t>
      </w:r>
    </w:p>
    <w:p w14:paraId="5574093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Wang, Q., Jia, P. and Zhao, Z. (2013) VirusFinder: software for efficient and accurate detection of viruses and their integration sites in host genomes through next generation sequencing data., </w:t>
      </w:r>
      <w:r w:rsidRPr="008C29F7">
        <w:rPr>
          <w:i/>
          <w:sz w:val="19"/>
          <w:szCs w:val="19"/>
        </w:rPr>
        <w:t>PloS one</w:t>
      </w:r>
      <w:r w:rsidRPr="008C29F7">
        <w:rPr>
          <w:sz w:val="19"/>
          <w:szCs w:val="19"/>
        </w:rPr>
        <w:t>, 8(5), p. e64465..</w:t>
      </w:r>
    </w:p>
    <w:p w14:paraId="5F92C85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Wang, Q., Jia, P. and Zhao, Z. (2015) VERSE: a novel approach to detect virus integration in host genomes through reference genome customization, </w:t>
      </w:r>
      <w:r w:rsidRPr="008C29F7">
        <w:rPr>
          <w:i/>
          <w:sz w:val="19"/>
          <w:szCs w:val="19"/>
        </w:rPr>
        <w:t>Genome Medicine</w:t>
      </w:r>
      <w:r w:rsidRPr="008C29F7">
        <w:rPr>
          <w:sz w:val="19"/>
          <w:szCs w:val="19"/>
        </w:rPr>
        <w:t xml:space="preserve">, 7(1), p. 2. </w:t>
      </w:r>
    </w:p>
    <w:p w14:paraId="1D1C9C6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Wang, Z. </w:t>
      </w:r>
      <w:r w:rsidRPr="008C29F7">
        <w:rPr>
          <w:i/>
          <w:sz w:val="19"/>
          <w:szCs w:val="19"/>
        </w:rPr>
        <w:t>et al.</w:t>
      </w:r>
      <w:r w:rsidRPr="008C29F7">
        <w:rPr>
          <w:sz w:val="19"/>
          <w:szCs w:val="19"/>
        </w:rPr>
        <w:t xml:space="preserve"> (2013) An EAV-HP insertion in 5 Flanking region of SLCO1B3 causes blue eggshell in the chicken., </w:t>
      </w:r>
      <w:r w:rsidRPr="008C29F7">
        <w:rPr>
          <w:i/>
          <w:sz w:val="19"/>
          <w:szCs w:val="19"/>
        </w:rPr>
        <w:t>PLoS genetics</w:t>
      </w:r>
      <w:r w:rsidRPr="008C29F7">
        <w:rPr>
          <w:sz w:val="19"/>
          <w:szCs w:val="19"/>
        </w:rPr>
        <w:t xml:space="preserve">, 9(1), p. e1003183. </w:t>
      </w:r>
    </w:p>
    <w:p w14:paraId="6DA808D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Warr, A. </w:t>
      </w:r>
      <w:r w:rsidRPr="008C29F7">
        <w:rPr>
          <w:i/>
          <w:sz w:val="19"/>
          <w:szCs w:val="19"/>
        </w:rPr>
        <w:t>et al.</w:t>
      </w:r>
      <w:r w:rsidRPr="008C29F7">
        <w:rPr>
          <w:sz w:val="19"/>
          <w:szCs w:val="19"/>
        </w:rPr>
        <w:t xml:space="preserve"> (2015) Identification of low-confidence regions in the pig reference genome (Sscrofa10.2), </w:t>
      </w:r>
      <w:r w:rsidRPr="008C29F7">
        <w:rPr>
          <w:i/>
          <w:sz w:val="19"/>
          <w:szCs w:val="19"/>
        </w:rPr>
        <w:t>Frontiers in Genetics</w:t>
      </w:r>
      <w:r w:rsidRPr="008C29F7">
        <w:rPr>
          <w:sz w:val="19"/>
          <w:szCs w:val="19"/>
        </w:rPr>
        <w:t xml:space="preserve">, 6, p. 1–8. </w:t>
      </w:r>
    </w:p>
    <w:p w14:paraId="6268AEAB"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lastRenderedPageBreak/>
        <w:t xml:space="preserve">Warren, W. C. </w:t>
      </w:r>
      <w:r w:rsidRPr="008C29F7">
        <w:rPr>
          <w:i/>
          <w:sz w:val="19"/>
          <w:szCs w:val="19"/>
        </w:rPr>
        <w:t>et al.</w:t>
      </w:r>
      <w:r w:rsidRPr="008C29F7">
        <w:rPr>
          <w:sz w:val="19"/>
          <w:szCs w:val="19"/>
        </w:rPr>
        <w:t xml:space="preserve"> (2010) The genome of a songbird., </w:t>
      </w:r>
      <w:r w:rsidRPr="008C29F7">
        <w:rPr>
          <w:i/>
          <w:sz w:val="19"/>
          <w:szCs w:val="19"/>
        </w:rPr>
        <w:t>Nature</w:t>
      </w:r>
      <w:r w:rsidRPr="008C29F7">
        <w:rPr>
          <w:sz w:val="19"/>
          <w:szCs w:val="19"/>
        </w:rPr>
        <w:t>, 464(7289), p. 757–62.</w:t>
      </w:r>
    </w:p>
    <w:p w14:paraId="6501D2B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Warren, W. C. </w:t>
      </w:r>
      <w:r w:rsidRPr="008C29F7">
        <w:rPr>
          <w:i/>
          <w:sz w:val="19"/>
          <w:szCs w:val="19"/>
        </w:rPr>
        <w:t>et al.</w:t>
      </w:r>
      <w:r w:rsidRPr="008C29F7">
        <w:rPr>
          <w:sz w:val="19"/>
          <w:szCs w:val="19"/>
        </w:rPr>
        <w:t xml:space="preserve"> (2017) A New Chicken Genome Assembly Provides Insight into Avian Genome Structure., </w:t>
      </w:r>
      <w:r w:rsidRPr="008C29F7">
        <w:rPr>
          <w:i/>
          <w:sz w:val="19"/>
          <w:szCs w:val="19"/>
        </w:rPr>
        <w:t>G3</w:t>
      </w:r>
      <w:r w:rsidRPr="008C29F7">
        <w:rPr>
          <w:sz w:val="19"/>
          <w:szCs w:val="19"/>
        </w:rPr>
        <w:t xml:space="preserve">, 7(1), p. 109-17. </w:t>
      </w:r>
    </w:p>
    <w:p w14:paraId="11FE060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Weber, M. and Schübeler, D. (2007) Genomic patterns of DNA methylation: targets and function of an epigenetic mark., </w:t>
      </w:r>
      <w:r w:rsidRPr="008C29F7">
        <w:rPr>
          <w:i/>
          <w:sz w:val="19"/>
          <w:szCs w:val="19"/>
        </w:rPr>
        <w:t>Current opinion in cell biology</w:t>
      </w:r>
      <w:r w:rsidRPr="008C29F7">
        <w:rPr>
          <w:sz w:val="19"/>
          <w:szCs w:val="19"/>
        </w:rPr>
        <w:t xml:space="preserve">, 19(3), p. 273–80. </w:t>
      </w:r>
    </w:p>
    <w:p w14:paraId="593A404A"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Weiss, R. (2006) The discovery of endogenous retroviruses., </w:t>
      </w:r>
      <w:r w:rsidRPr="008C29F7">
        <w:rPr>
          <w:i/>
          <w:sz w:val="19"/>
          <w:szCs w:val="19"/>
        </w:rPr>
        <w:t>Retrovirology</w:t>
      </w:r>
      <w:r w:rsidRPr="008C29F7">
        <w:rPr>
          <w:sz w:val="19"/>
          <w:szCs w:val="19"/>
        </w:rPr>
        <w:t xml:space="preserve">, 3(67). </w:t>
      </w:r>
    </w:p>
    <w:p w14:paraId="2AC1397D"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Weissensteiner, M. H. </w:t>
      </w:r>
      <w:r w:rsidRPr="008C29F7">
        <w:rPr>
          <w:i/>
          <w:sz w:val="19"/>
          <w:szCs w:val="19"/>
        </w:rPr>
        <w:t>et al.</w:t>
      </w:r>
      <w:r w:rsidRPr="008C29F7">
        <w:rPr>
          <w:sz w:val="19"/>
          <w:szCs w:val="19"/>
        </w:rPr>
        <w:t xml:space="preserve"> (2017) Combination of short-read, long-read, and optical mapping assemblies reveals large-scale tandem repeat arrays with population genetic implications, </w:t>
      </w:r>
      <w:r w:rsidRPr="008C29F7">
        <w:rPr>
          <w:i/>
          <w:sz w:val="19"/>
          <w:szCs w:val="19"/>
        </w:rPr>
        <w:t>Genome Research</w:t>
      </w:r>
      <w:r w:rsidRPr="008C29F7">
        <w:rPr>
          <w:sz w:val="19"/>
          <w:szCs w:val="19"/>
        </w:rPr>
        <w:t xml:space="preserve">, p. 697–708. </w:t>
      </w:r>
    </w:p>
    <w:p w14:paraId="51C74BB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Wheeler, T. </w:t>
      </w:r>
      <w:r w:rsidRPr="008C29F7">
        <w:rPr>
          <w:i/>
          <w:sz w:val="19"/>
          <w:szCs w:val="19"/>
        </w:rPr>
        <w:t>et al.</w:t>
      </w:r>
      <w:r w:rsidRPr="008C29F7">
        <w:rPr>
          <w:sz w:val="19"/>
          <w:szCs w:val="19"/>
        </w:rPr>
        <w:t xml:space="preserve"> (2013) Dfam: a database of repetitive DNA based on profile hidden Markov models, </w:t>
      </w:r>
      <w:r w:rsidRPr="008C29F7">
        <w:rPr>
          <w:i/>
          <w:sz w:val="19"/>
          <w:szCs w:val="19"/>
        </w:rPr>
        <w:t>Nucleic Acids Research</w:t>
      </w:r>
      <w:r w:rsidRPr="008C29F7">
        <w:rPr>
          <w:sz w:val="19"/>
          <w:szCs w:val="19"/>
        </w:rPr>
        <w:t>, 41(D1), p. D70-82.</w:t>
      </w:r>
    </w:p>
    <w:p w14:paraId="65B1C85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Wimmers, K. </w:t>
      </w:r>
      <w:r w:rsidRPr="008C29F7">
        <w:rPr>
          <w:i/>
          <w:sz w:val="19"/>
          <w:szCs w:val="19"/>
        </w:rPr>
        <w:t>et al.</w:t>
      </w:r>
      <w:r w:rsidRPr="008C29F7">
        <w:rPr>
          <w:sz w:val="19"/>
          <w:szCs w:val="19"/>
        </w:rPr>
        <w:t xml:space="preserve"> (1996) Molecular analysis of a new variant of the ev21 insertion/K-gene complex in the super slow feathering Nunukan chicken, </w:t>
      </w:r>
      <w:r w:rsidRPr="008C29F7">
        <w:rPr>
          <w:i/>
          <w:sz w:val="19"/>
          <w:szCs w:val="19"/>
        </w:rPr>
        <w:t>Journal of Animal Breeding and Genetics</w:t>
      </w:r>
      <w:r w:rsidRPr="008C29F7">
        <w:rPr>
          <w:sz w:val="19"/>
          <w:szCs w:val="19"/>
        </w:rPr>
        <w:t>, 113(4–5), p. 323-9.</w:t>
      </w:r>
    </w:p>
    <w:p w14:paraId="705F5EEF"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Worley, K. C. (2017) A golden goat genome, </w:t>
      </w:r>
      <w:r w:rsidRPr="008C29F7">
        <w:rPr>
          <w:i/>
          <w:sz w:val="19"/>
          <w:szCs w:val="19"/>
        </w:rPr>
        <w:t>Nature Genetics</w:t>
      </w:r>
      <w:r w:rsidRPr="008C29F7">
        <w:rPr>
          <w:sz w:val="19"/>
          <w:szCs w:val="19"/>
        </w:rPr>
        <w:t>, 49(4), p. 485–6.</w:t>
      </w:r>
    </w:p>
    <w:p w14:paraId="15C9F2E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Wragg, D. </w:t>
      </w:r>
      <w:r w:rsidRPr="008C29F7">
        <w:rPr>
          <w:i/>
          <w:sz w:val="19"/>
          <w:szCs w:val="19"/>
        </w:rPr>
        <w:t>et al.</w:t>
      </w:r>
      <w:r w:rsidRPr="008C29F7">
        <w:rPr>
          <w:sz w:val="19"/>
          <w:szCs w:val="19"/>
        </w:rPr>
        <w:t xml:space="preserve"> (2013) Endogenous Retrovirus EAV-HP Linked to Blue Egg Phenotype in Mapuche Fowl., </w:t>
      </w:r>
      <w:r w:rsidRPr="008C29F7">
        <w:rPr>
          <w:i/>
          <w:sz w:val="19"/>
          <w:szCs w:val="19"/>
        </w:rPr>
        <w:t>PloS one</w:t>
      </w:r>
      <w:r w:rsidRPr="008C29F7">
        <w:rPr>
          <w:sz w:val="19"/>
          <w:szCs w:val="19"/>
        </w:rPr>
        <w:t xml:space="preserve">, 8(8), p. e71393. </w:t>
      </w:r>
    </w:p>
    <w:p w14:paraId="7F78805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Wragg, D. </w:t>
      </w:r>
      <w:r w:rsidRPr="008C29F7">
        <w:rPr>
          <w:i/>
          <w:sz w:val="19"/>
          <w:szCs w:val="19"/>
        </w:rPr>
        <w:t>et al.</w:t>
      </w:r>
      <w:r w:rsidRPr="008C29F7">
        <w:rPr>
          <w:sz w:val="19"/>
          <w:szCs w:val="19"/>
        </w:rPr>
        <w:t xml:space="preserve"> (2015) Genome-wide analysis reveals the extent of EAV-HP integration in domestic chicken, </w:t>
      </w:r>
      <w:r w:rsidRPr="008C29F7">
        <w:rPr>
          <w:i/>
          <w:sz w:val="19"/>
          <w:szCs w:val="19"/>
        </w:rPr>
        <w:t>BMC Genomics</w:t>
      </w:r>
      <w:r w:rsidRPr="008C29F7">
        <w:rPr>
          <w:sz w:val="19"/>
          <w:szCs w:val="19"/>
        </w:rPr>
        <w:t xml:space="preserve">, 16(1), p. 784. </w:t>
      </w:r>
    </w:p>
    <w:p w14:paraId="4CDFEC6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Wright, A. E. </w:t>
      </w:r>
      <w:r w:rsidRPr="008C29F7">
        <w:rPr>
          <w:i/>
          <w:sz w:val="19"/>
          <w:szCs w:val="19"/>
        </w:rPr>
        <w:t>et al.</w:t>
      </w:r>
      <w:r w:rsidRPr="008C29F7">
        <w:rPr>
          <w:sz w:val="19"/>
          <w:szCs w:val="19"/>
        </w:rPr>
        <w:t xml:space="preserve"> (2015) Variation in promiscuity and sexual selection drives avian rate of Faster-Z evolution, </w:t>
      </w:r>
      <w:r w:rsidRPr="008C29F7">
        <w:rPr>
          <w:i/>
          <w:sz w:val="19"/>
          <w:szCs w:val="19"/>
        </w:rPr>
        <w:t>Molecular Ecology</w:t>
      </w:r>
      <w:r w:rsidRPr="008C29F7">
        <w:rPr>
          <w:sz w:val="19"/>
          <w:szCs w:val="19"/>
        </w:rPr>
        <w:t xml:space="preserve">, 24(6), p. 1218–35. </w:t>
      </w:r>
    </w:p>
    <w:p w14:paraId="457C4BB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Wright, N. A., Gregory, T. R. and Witt, C. C. (2014) Metabolic “engines” of flight drive genome size reduction in birds, </w:t>
      </w:r>
      <w:r w:rsidRPr="008C29F7">
        <w:rPr>
          <w:i/>
          <w:sz w:val="19"/>
          <w:szCs w:val="19"/>
        </w:rPr>
        <w:t>Proceedings of the Royal Society B: Biological Sciences</w:t>
      </w:r>
      <w:r w:rsidRPr="008C29F7">
        <w:rPr>
          <w:sz w:val="19"/>
          <w:szCs w:val="19"/>
        </w:rPr>
        <w:t>, 281(1779), p. 20132780.</w:t>
      </w:r>
    </w:p>
    <w:p w14:paraId="4C7246DC"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Wu, X. </w:t>
      </w:r>
      <w:r w:rsidRPr="008C29F7">
        <w:rPr>
          <w:i/>
          <w:sz w:val="19"/>
          <w:szCs w:val="19"/>
        </w:rPr>
        <w:t>et al.</w:t>
      </w:r>
      <w:r w:rsidRPr="008C29F7">
        <w:rPr>
          <w:sz w:val="19"/>
          <w:szCs w:val="19"/>
        </w:rPr>
        <w:t xml:space="preserve"> (2005) Weak Palindromic Consensus Sequences Are a Common Feature Found at the Integration Target Sites of Many Retroviruses, </w:t>
      </w:r>
      <w:r w:rsidRPr="008C29F7">
        <w:rPr>
          <w:i/>
          <w:sz w:val="19"/>
          <w:szCs w:val="19"/>
        </w:rPr>
        <w:t>Journal of Virology</w:t>
      </w:r>
      <w:r w:rsidRPr="008C29F7">
        <w:rPr>
          <w:sz w:val="19"/>
          <w:szCs w:val="19"/>
        </w:rPr>
        <w:t xml:space="preserve">, 79(8), p. 5211–4. </w:t>
      </w:r>
    </w:p>
    <w:p w14:paraId="57153E6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Xiao, Y. </w:t>
      </w:r>
      <w:r w:rsidRPr="008C29F7">
        <w:rPr>
          <w:i/>
          <w:sz w:val="19"/>
          <w:szCs w:val="19"/>
        </w:rPr>
        <w:t>et al.</w:t>
      </w:r>
      <w:r w:rsidRPr="008C29F7">
        <w:rPr>
          <w:sz w:val="19"/>
          <w:szCs w:val="19"/>
        </w:rPr>
        <w:t xml:space="preserve"> (2015) Predicting the Functions of Long Noncoding RNAs Using RNA-Seq Based on Bayesian Network, </w:t>
      </w:r>
      <w:r w:rsidRPr="008C29F7">
        <w:rPr>
          <w:i/>
          <w:sz w:val="19"/>
          <w:szCs w:val="19"/>
        </w:rPr>
        <w:t>BioMed Research International</w:t>
      </w:r>
      <w:r w:rsidRPr="008C29F7">
        <w:rPr>
          <w:sz w:val="19"/>
          <w:szCs w:val="19"/>
        </w:rPr>
        <w:t xml:space="preserve">, 2015, p. 839590. </w:t>
      </w:r>
    </w:p>
    <w:p w14:paraId="65082FD6"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Xu, Z. and Wang, H. (2007) LTR_FINDER: an efficient tool for the prediction of full-length LTR retrotransposons., </w:t>
      </w:r>
      <w:r w:rsidRPr="008C29F7">
        <w:rPr>
          <w:i/>
          <w:sz w:val="19"/>
          <w:szCs w:val="19"/>
        </w:rPr>
        <w:t>Nucleic Acids Research</w:t>
      </w:r>
      <w:r w:rsidRPr="008C29F7">
        <w:rPr>
          <w:sz w:val="19"/>
          <w:szCs w:val="19"/>
        </w:rPr>
        <w:t xml:space="preserve">, 35, p. W265-8. </w:t>
      </w:r>
    </w:p>
    <w:p w14:paraId="062021F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Youngson, N. A. </w:t>
      </w:r>
      <w:r w:rsidRPr="008C29F7">
        <w:rPr>
          <w:i/>
          <w:sz w:val="19"/>
          <w:szCs w:val="19"/>
        </w:rPr>
        <w:t>et al.</w:t>
      </w:r>
      <w:r w:rsidRPr="008C29F7">
        <w:rPr>
          <w:sz w:val="19"/>
          <w:szCs w:val="19"/>
        </w:rPr>
        <w:t xml:space="preserve"> (2005) A small family of sushi-class retrotransposon-derived genes in mammals and their relation to genomic imprinting, </w:t>
      </w:r>
      <w:r w:rsidRPr="008C29F7">
        <w:rPr>
          <w:i/>
          <w:sz w:val="19"/>
          <w:szCs w:val="19"/>
        </w:rPr>
        <w:t>Journal of Molecular Evolution</w:t>
      </w:r>
      <w:r w:rsidRPr="008C29F7">
        <w:rPr>
          <w:sz w:val="19"/>
          <w:szCs w:val="19"/>
        </w:rPr>
        <w:t xml:space="preserve">, 61(4), p. 481–90. </w:t>
      </w:r>
    </w:p>
    <w:p w14:paraId="19C32EC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Yu, Y. </w:t>
      </w:r>
      <w:r w:rsidRPr="008C29F7">
        <w:rPr>
          <w:i/>
          <w:sz w:val="19"/>
          <w:szCs w:val="19"/>
        </w:rPr>
        <w:t>et al.</w:t>
      </w:r>
      <w:r w:rsidRPr="008C29F7">
        <w:rPr>
          <w:sz w:val="19"/>
          <w:szCs w:val="19"/>
        </w:rPr>
        <w:t xml:space="preserve"> (2008) Quantitative evaluation of DNA methylation patterns for ALVE and TVB genes in a neoplastic disease susceptible and resistant chicken model., </w:t>
      </w:r>
      <w:r w:rsidRPr="008C29F7">
        <w:rPr>
          <w:i/>
          <w:sz w:val="19"/>
          <w:szCs w:val="19"/>
        </w:rPr>
        <w:t>PloS one</w:t>
      </w:r>
      <w:r w:rsidRPr="008C29F7">
        <w:rPr>
          <w:sz w:val="19"/>
          <w:szCs w:val="19"/>
        </w:rPr>
        <w:t>, 3(3), p. e1731.</w:t>
      </w:r>
    </w:p>
    <w:p w14:paraId="6FE5AD41"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H., Bacon, L. D. and Fadly, A. M. (2008) Development of an endogenous virus-free line of chickens susceptible to all subgroups of avian leukosis virus., </w:t>
      </w:r>
      <w:r w:rsidRPr="008C29F7">
        <w:rPr>
          <w:i/>
          <w:sz w:val="19"/>
          <w:szCs w:val="19"/>
        </w:rPr>
        <w:t>Avian diseases</w:t>
      </w:r>
      <w:r w:rsidRPr="008C29F7">
        <w:rPr>
          <w:sz w:val="19"/>
          <w:szCs w:val="19"/>
        </w:rPr>
        <w:t xml:space="preserve">, 52(3), p. 412–8. </w:t>
      </w:r>
    </w:p>
    <w:p w14:paraId="59347C37"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L. </w:t>
      </w:r>
      <w:r w:rsidRPr="008C29F7">
        <w:rPr>
          <w:i/>
          <w:sz w:val="19"/>
          <w:szCs w:val="19"/>
        </w:rPr>
        <w:t>et al.</w:t>
      </w:r>
      <w:r w:rsidRPr="008C29F7">
        <w:rPr>
          <w:sz w:val="19"/>
          <w:szCs w:val="19"/>
        </w:rPr>
        <w:t xml:space="preserve"> (2012) Genetic effect of the prolactin receptor gene on egg production traits in chickens, </w:t>
      </w:r>
      <w:r w:rsidRPr="008C29F7">
        <w:rPr>
          <w:i/>
          <w:sz w:val="19"/>
          <w:szCs w:val="19"/>
        </w:rPr>
        <w:t>Genetics and Molecular Research</w:t>
      </w:r>
      <w:r w:rsidRPr="008C29F7">
        <w:rPr>
          <w:sz w:val="19"/>
          <w:szCs w:val="19"/>
        </w:rPr>
        <w:t>, 11(4), p. 4307–15.</w:t>
      </w:r>
    </w:p>
    <w:p w14:paraId="4D8E2F82"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L. </w:t>
      </w:r>
      <w:r w:rsidRPr="008C29F7">
        <w:rPr>
          <w:i/>
          <w:sz w:val="19"/>
          <w:szCs w:val="19"/>
        </w:rPr>
        <w:t>et al.</w:t>
      </w:r>
      <w:r w:rsidRPr="008C29F7">
        <w:rPr>
          <w:sz w:val="19"/>
          <w:szCs w:val="19"/>
        </w:rPr>
        <w:t xml:space="preserve"> (2014) The structure and retrotransposition mechanism of LTR-retrotransposons in the asexual yeast </w:t>
      </w:r>
      <w:r w:rsidRPr="008C29F7">
        <w:rPr>
          <w:i/>
          <w:sz w:val="19"/>
          <w:szCs w:val="19"/>
        </w:rPr>
        <w:t>Candida albicans</w:t>
      </w:r>
      <w:r w:rsidRPr="008C29F7">
        <w:rPr>
          <w:sz w:val="19"/>
          <w:szCs w:val="19"/>
        </w:rPr>
        <w:t xml:space="preserve">, </w:t>
      </w:r>
      <w:r w:rsidRPr="008C29F7">
        <w:rPr>
          <w:i/>
          <w:sz w:val="19"/>
          <w:szCs w:val="19"/>
        </w:rPr>
        <w:t>Virulence</w:t>
      </w:r>
      <w:r w:rsidRPr="008C29F7">
        <w:rPr>
          <w:sz w:val="19"/>
          <w:szCs w:val="19"/>
        </w:rPr>
        <w:t xml:space="preserve">, 5(6), p. 655–64. </w:t>
      </w:r>
    </w:p>
    <w:p w14:paraId="62C16CC9"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Q. </w:t>
      </w:r>
      <w:r w:rsidRPr="008C29F7">
        <w:rPr>
          <w:i/>
          <w:sz w:val="19"/>
          <w:szCs w:val="19"/>
        </w:rPr>
        <w:t>et al.</w:t>
      </w:r>
      <w:r w:rsidRPr="008C29F7">
        <w:rPr>
          <w:sz w:val="19"/>
          <w:szCs w:val="19"/>
        </w:rPr>
        <w:t xml:space="preserve"> (2015) Integrating transcriptome and genome re-sequencing data to identify key genes and mutations affecting chicken eggshell qualities, </w:t>
      </w:r>
      <w:r w:rsidRPr="008C29F7">
        <w:rPr>
          <w:i/>
          <w:sz w:val="19"/>
          <w:szCs w:val="19"/>
        </w:rPr>
        <w:t>PLoS ONE</w:t>
      </w:r>
      <w:r w:rsidRPr="008C29F7">
        <w:rPr>
          <w:sz w:val="19"/>
          <w:szCs w:val="19"/>
        </w:rPr>
        <w:t xml:space="preserve">, 10(5), p. 1–16. </w:t>
      </w:r>
    </w:p>
    <w:p w14:paraId="31773DB4"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Q. </w:t>
      </w:r>
      <w:r w:rsidRPr="008C29F7">
        <w:rPr>
          <w:i/>
          <w:sz w:val="19"/>
          <w:szCs w:val="19"/>
        </w:rPr>
        <w:t>et al.</w:t>
      </w:r>
      <w:r w:rsidRPr="008C29F7">
        <w:rPr>
          <w:sz w:val="19"/>
          <w:szCs w:val="19"/>
        </w:rPr>
        <w:t xml:space="preserve"> (2016) Genome Resequencing Identifies Unique Adaptations of Tibetan Chickens to Hypoxia and High-dose Ultraviolet Radiation in High-altitude Environments, </w:t>
      </w:r>
      <w:r w:rsidRPr="008C29F7">
        <w:rPr>
          <w:i/>
          <w:sz w:val="19"/>
          <w:szCs w:val="19"/>
        </w:rPr>
        <w:t>Genome Biology and Evolution</w:t>
      </w:r>
      <w:r w:rsidRPr="008C29F7">
        <w:rPr>
          <w:sz w:val="19"/>
          <w:szCs w:val="19"/>
        </w:rPr>
        <w:t>, 8(3), p. 765-76.</w:t>
      </w:r>
    </w:p>
    <w:p w14:paraId="4686DE5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Zhang, W. </w:t>
      </w:r>
      <w:r w:rsidRPr="008C29F7">
        <w:rPr>
          <w:i/>
          <w:sz w:val="19"/>
          <w:szCs w:val="19"/>
        </w:rPr>
        <w:t>et al.</w:t>
      </w:r>
      <w:r w:rsidRPr="008C29F7">
        <w:rPr>
          <w:sz w:val="19"/>
          <w:szCs w:val="19"/>
        </w:rPr>
        <w:t xml:space="preserve"> (2011) A practical comparison of De Novo genome assembly software tools for next-generation sequencing technologies, </w:t>
      </w:r>
      <w:r w:rsidRPr="008C29F7">
        <w:rPr>
          <w:i/>
          <w:sz w:val="19"/>
          <w:szCs w:val="19"/>
        </w:rPr>
        <w:t>PLoS ONE</w:t>
      </w:r>
      <w:r w:rsidRPr="008C29F7">
        <w:rPr>
          <w:sz w:val="19"/>
          <w:szCs w:val="19"/>
        </w:rPr>
        <w:t xml:space="preserve">, 6(3), p. e17915. </w:t>
      </w:r>
    </w:p>
    <w:p w14:paraId="3F0C48B5"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Zhao, J. </w:t>
      </w:r>
      <w:r w:rsidRPr="008C29F7">
        <w:rPr>
          <w:i/>
          <w:sz w:val="19"/>
          <w:szCs w:val="19"/>
        </w:rPr>
        <w:t>et al.</w:t>
      </w:r>
      <w:r w:rsidRPr="008C29F7">
        <w:rPr>
          <w:sz w:val="19"/>
          <w:szCs w:val="19"/>
        </w:rPr>
        <w:t xml:space="preserve"> (2016) Identification of candidate genes for chicken early- and late-feathering Gene in Chicken Strand-specific Transcription of the Fusion Gene in Chicken, </w:t>
      </w:r>
      <w:r w:rsidRPr="008C29F7">
        <w:rPr>
          <w:i/>
          <w:sz w:val="19"/>
          <w:szCs w:val="19"/>
        </w:rPr>
        <w:t>Poultry Science</w:t>
      </w:r>
      <w:r w:rsidRPr="008C29F7">
        <w:rPr>
          <w:sz w:val="19"/>
          <w:szCs w:val="19"/>
        </w:rPr>
        <w:t>, 95(7), p. 1498-1503.</w:t>
      </w:r>
    </w:p>
    <w:p w14:paraId="554E1BD3" w14:textId="77777777" w:rsidR="000823ED" w:rsidRPr="008C29F7" w:rsidRDefault="000823ED" w:rsidP="008C29F7">
      <w:pPr>
        <w:pStyle w:val="Figure"/>
        <w:spacing w:before="0" w:after="60" w:line="240" w:lineRule="auto"/>
        <w:ind w:left="426" w:hanging="426"/>
        <w:rPr>
          <w:sz w:val="19"/>
          <w:szCs w:val="19"/>
        </w:rPr>
      </w:pPr>
      <w:r w:rsidRPr="008C29F7">
        <w:rPr>
          <w:sz w:val="19"/>
          <w:szCs w:val="19"/>
        </w:rPr>
        <w:t xml:space="preserve">Zhou, H. </w:t>
      </w:r>
      <w:r w:rsidRPr="008C29F7">
        <w:rPr>
          <w:i/>
          <w:sz w:val="19"/>
          <w:szCs w:val="19"/>
        </w:rPr>
        <w:t>et al.</w:t>
      </w:r>
      <w:r w:rsidRPr="008C29F7">
        <w:rPr>
          <w:sz w:val="19"/>
          <w:szCs w:val="19"/>
        </w:rPr>
        <w:t xml:space="preserve"> (2014) Large chromosomal deletions and heritable small genetic changes induced by CRISPR/Cas9 in rice, </w:t>
      </w:r>
      <w:r w:rsidRPr="008C29F7">
        <w:rPr>
          <w:i/>
          <w:sz w:val="19"/>
          <w:szCs w:val="19"/>
        </w:rPr>
        <w:t>Nucleic Acids Research</w:t>
      </w:r>
      <w:r w:rsidRPr="008C29F7">
        <w:rPr>
          <w:sz w:val="19"/>
          <w:szCs w:val="19"/>
        </w:rPr>
        <w:t xml:space="preserve">, 42(17), p. 10903–14. </w:t>
      </w:r>
    </w:p>
    <w:p w14:paraId="4ECC482D" w14:textId="3F854A4C" w:rsidR="00B46AAC" w:rsidRDefault="000823ED" w:rsidP="004A6A87">
      <w:pPr>
        <w:pStyle w:val="Figure"/>
        <w:spacing w:before="0" w:after="60" w:line="240" w:lineRule="auto"/>
        <w:ind w:left="426" w:hanging="426"/>
        <w:rPr>
          <w:sz w:val="19"/>
          <w:szCs w:val="19"/>
        </w:rPr>
      </w:pPr>
      <w:r w:rsidRPr="008C29F7">
        <w:rPr>
          <w:sz w:val="19"/>
          <w:szCs w:val="19"/>
        </w:rPr>
        <w:t xml:space="preserve">Zimin, A. V </w:t>
      </w:r>
      <w:r w:rsidRPr="008C29F7">
        <w:rPr>
          <w:i/>
          <w:sz w:val="19"/>
          <w:szCs w:val="19"/>
        </w:rPr>
        <w:t>et al.</w:t>
      </w:r>
      <w:r w:rsidRPr="008C29F7">
        <w:rPr>
          <w:sz w:val="19"/>
          <w:szCs w:val="19"/>
        </w:rPr>
        <w:t xml:space="preserve"> (2017) Hybrid assembly of the large and highly repetitive genome of </w:t>
      </w:r>
      <w:r w:rsidRPr="008C29F7">
        <w:rPr>
          <w:i/>
          <w:sz w:val="19"/>
          <w:szCs w:val="19"/>
        </w:rPr>
        <w:t>Aegilops tauschii</w:t>
      </w:r>
      <w:r w:rsidRPr="008C29F7">
        <w:rPr>
          <w:sz w:val="19"/>
          <w:szCs w:val="19"/>
        </w:rPr>
        <w:t xml:space="preserve">, a progenitor of bread wheat, with the mega-reads algorithm., </w:t>
      </w:r>
      <w:r w:rsidRPr="008C29F7">
        <w:rPr>
          <w:i/>
          <w:sz w:val="19"/>
          <w:szCs w:val="19"/>
        </w:rPr>
        <w:t>Genome research</w:t>
      </w:r>
      <w:r w:rsidR="004A6A87">
        <w:rPr>
          <w:sz w:val="19"/>
          <w:szCs w:val="19"/>
        </w:rPr>
        <w:t>, 27(5), p. 787–92.</w:t>
      </w:r>
    </w:p>
    <w:p w14:paraId="77802909" w14:textId="098E9C22" w:rsidR="00FE2022" w:rsidRDefault="00FE2022" w:rsidP="00FE2022">
      <w:pPr>
        <w:pStyle w:val="ListParagraph"/>
      </w:pPr>
    </w:p>
    <w:p w14:paraId="3F08816B" w14:textId="77777777" w:rsidR="00FE2022" w:rsidRPr="00FE2022" w:rsidRDefault="00FE2022" w:rsidP="00FE2022">
      <w:pPr>
        <w:pStyle w:val="ListParagraph"/>
        <w:sectPr w:rsidR="00FE2022" w:rsidRPr="00FE2022" w:rsidSect="00504068">
          <w:pgSz w:w="11906" w:h="16838"/>
          <w:pgMar w:top="1134" w:right="1418" w:bottom="2268" w:left="2268" w:header="709" w:footer="1066" w:gutter="0"/>
          <w:cols w:space="708"/>
          <w:docGrid w:linePitch="360"/>
        </w:sectPr>
      </w:pPr>
    </w:p>
    <w:p w14:paraId="0DF9D4F2" w14:textId="77777777" w:rsidR="00B46AAC" w:rsidRDefault="00B46AAC" w:rsidP="00B46AAC">
      <w:pPr>
        <w:pStyle w:val="Heading1"/>
        <w:numPr>
          <w:ilvl w:val="0"/>
          <w:numId w:val="0"/>
        </w:numPr>
      </w:pPr>
      <w:bookmarkStart w:id="682" w:name="_Toc485721694"/>
      <w:bookmarkStart w:id="683" w:name="_Toc486787274"/>
      <w:bookmarkStart w:id="684" w:name="_Toc486787422"/>
      <w:r>
        <w:lastRenderedPageBreak/>
        <w:t>Appendices</w:t>
      </w:r>
      <w:bookmarkEnd w:id="682"/>
      <w:bookmarkEnd w:id="683"/>
      <w:bookmarkEnd w:id="684"/>
    </w:p>
    <w:p w14:paraId="446AFF49" w14:textId="1DBEE7C8" w:rsidR="00B46AAC" w:rsidRDefault="00DC6E90" w:rsidP="008F6925">
      <w:pPr>
        <w:pStyle w:val="appendixtitle"/>
      </w:pPr>
      <w:bookmarkStart w:id="685" w:name="_Toc485721695"/>
      <w:bookmarkStart w:id="686" w:name="_Toc486787275"/>
      <w:bookmarkStart w:id="687" w:name="_Toc486787423"/>
      <w:bookmarkEnd w:id="685"/>
      <w:r>
        <w:t>Code r</w:t>
      </w:r>
      <w:r w:rsidR="00D571A9">
        <w:t>epositories</w:t>
      </w:r>
      <w:bookmarkEnd w:id="686"/>
      <w:bookmarkEnd w:id="687"/>
    </w:p>
    <w:p w14:paraId="6392A378" w14:textId="0F2DFBF5" w:rsidR="008F6925" w:rsidRDefault="0093068F" w:rsidP="00391005">
      <w:pPr>
        <w:pStyle w:val="ListParagraph"/>
      </w:pPr>
      <w:r>
        <w:t>All scripts for the two developed pipelines have been included on the CD accompanying this thesis, and are also hosted in individual GitHub repositories:</w:t>
      </w:r>
    </w:p>
    <w:p w14:paraId="72279C36" w14:textId="7B8906F8" w:rsidR="0093068F" w:rsidRDefault="0093068F" w:rsidP="00391005">
      <w:pPr>
        <w:pStyle w:val="ListParagraph"/>
      </w:pPr>
      <w:r>
        <w:t>LocaTR</w:t>
      </w:r>
      <w:r>
        <w:tab/>
      </w:r>
      <w:r>
        <w:tab/>
      </w:r>
      <w:r w:rsidRPr="0093068F">
        <w:t>https://github.com/andrewstephenmason/LocaTR</w:t>
      </w:r>
      <w:r>
        <w:br/>
        <w:t xml:space="preserve">ALVE_ID_pipeline </w:t>
      </w:r>
      <w:r>
        <w:tab/>
      </w:r>
      <w:r w:rsidRPr="0093068F">
        <w:t>https://github.com/andrewstephenmason/ALVE_ID_pipeline</w:t>
      </w:r>
    </w:p>
    <w:p w14:paraId="48748746" w14:textId="441189E4" w:rsidR="0093068F" w:rsidRDefault="0093068F" w:rsidP="0093068F">
      <w:pPr>
        <w:pStyle w:val="ListParagraph"/>
      </w:pPr>
      <w:r>
        <w:t>In addition, a third GitHub repository has been created which contains additional code which has been useful during this thesis. All scripts contain appropriate comments, and a general README file has been created to explain individual script functionality:</w:t>
      </w:r>
    </w:p>
    <w:p w14:paraId="5B39EB66" w14:textId="0207B732" w:rsidR="0093068F" w:rsidRDefault="0093068F" w:rsidP="00391005">
      <w:pPr>
        <w:pStyle w:val="ListParagraph"/>
      </w:pPr>
      <w:r>
        <w:t>ASM_PhD_extras</w:t>
      </w:r>
      <w:r>
        <w:tab/>
      </w:r>
      <w:r w:rsidRPr="0093068F">
        <w:t>https://github.com/and</w:t>
      </w:r>
      <w:r>
        <w:t>rewstephenmason/ASM_PhD_extras</w:t>
      </w:r>
    </w:p>
    <w:p w14:paraId="014B6E2F" w14:textId="77777777" w:rsidR="008F6925" w:rsidRDefault="008F6925" w:rsidP="00391005">
      <w:pPr>
        <w:pStyle w:val="ListParagraph"/>
      </w:pPr>
    </w:p>
    <w:p w14:paraId="4969700E" w14:textId="3FC13715" w:rsidR="008F6925" w:rsidRDefault="00D571A9" w:rsidP="008F6925">
      <w:pPr>
        <w:pStyle w:val="appendixtitle"/>
      </w:pPr>
      <w:bookmarkStart w:id="688" w:name="_Toc485721696"/>
      <w:bookmarkStart w:id="689" w:name="_Toc486787276"/>
      <w:bookmarkStart w:id="690" w:name="_Toc486787424"/>
      <w:bookmarkEnd w:id="688"/>
      <w:r>
        <w:t>Additional files</w:t>
      </w:r>
      <w:bookmarkEnd w:id="689"/>
      <w:bookmarkEnd w:id="690"/>
    </w:p>
    <w:p w14:paraId="4F968F19" w14:textId="6EA4B5BC" w:rsidR="00B46AAC" w:rsidRDefault="00EA2C25" w:rsidP="00391005">
      <w:pPr>
        <w:pStyle w:val="ListParagraph"/>
      </w:pPr>
      <w:r>
        <w:t>This appendix consists of eleven</w:t>
      </w:r>
      <w:r w:rsidR="00A91870">
        <w:t xml:space="preserve"> </w:t>
      </w:r>
      <w:r w:rsidR="00563124">
        <w:t>additional files of</w:t>
      </w:r>
      <w:r w:rsidR="00A91870">
        <w:t xml:space="preserve"> results and reference sequences</w:t>
      </w:r>
      <w:r w:rsidR="00563124">
        <w:t>. Each file has</w:t>
      </w:r>
      <w:r w:rsidR="00A91870">
        <w:t xml:space="preserve"> been included on the CD accompanying this thesis, and static links have also been provided. This section briefly describes the files including their format. </w:t>
      </w:r>
    </w:p>
    <w:p w14:paraId="461B5C28" w14:textId="77777777" w:rsidR="00A91870" w:rsidRPr="00D066E8" w:rsidRDefault="00A91870" w:rsidP="00391005">
      <w:pPr>
        <w:pStyle w:val="ListParagraph"/>
        <w:rPr>
          <w:sz w:val="2"/>
        </w:rPr>
      </w:pPr>
    </w:p>
    <w:p w14:paraId="5EB798DC" w14:textId="3EF95833" w:rsidR="00A91870" w:rsidRDefault="00A91870" w:rsidP="00391005">
      <w:pPr>
        <w:pStyle w:val="ListParagraph"/>
      </w:pPr>
      <w:r>
        <w:t>1) Reference sequences used in LocaTR</w:t>
      </w:r>
    </w:p>
    <w:p w14:paraId="2E644FA1" w14:textId="779C9F78" w:rsidR="00A91870" w:rsidRDefault="00A91870" w:rsidP="00391005">
      <w:pPr>
        <w:pStyle w:val="ListParagraph"/>
      </w:pPr>
      <w:r>
        <w:t>A total of 717 reference sequences were used as part of the LocaTR expanded homology protocol. Sequences were chosen to give good phylogenetic coverage of known LTR retrotransposons, but there is a bias towards ERVs and Avian repeats. Sequences were downloaded from RepBase, Gypsy Database and NCBI. The file is a standard FASTA.</w:t>
      </w:r>
    </w:p>
    <w:p w14:paraId="0112B527" w14:textId="5CCE7017" w:rsidR="00A91870" w:rsidRDefault="00A91870" w:rsidP="00391005">
      <w:pPr>
        <w:pStyle w:val="ListParagraph"/>
      </w:pPr>
      <w:r>
        <w:t>Filename:</w:t>
      </w:r>
      <w:r>
        <w:tab/>
        <w:t>AF01_LocaTR_reference_seq</w:t>
      </w:r>
      <w:r w:rsidR="0063344A">
        <w:t>uences</w:t>
      </w:r>
      <w:r>
        <w:t>.fa</w:t>
      </w:r>
      <w:r>
        <w:br/>
        <w:t>Static link:</w:t>
      </w:r>
      <w:r>
        <w:tab/>
      </w:r>
      <w:r w:rsidR="0067093F" w:rsidRPr="0067093F">
        <w:t>https://tinyurl.com/ydeux9ef</w:t>
      </w:r>
    </w:p>
    <w:p w14:paraId="11180047" w14:textId="77777777" w:rsidR="00A91870" w:rsidRPr="00D066E8" w:rsidRDefault="00A91870" w:rsidP="00391005">
      <w:pPr>
        <w:pStyle w:val="ListParagraph"/>
        <w:rPr>
          <w:sz w:val="2"/>
        </w:rPr>
      </w:pPr>
    </w:p>
    <w:p w14:paraId="7229918F" w14:textId="0BBD20CD" w:rsidR="00A91870" w:rsidRDefault="00A91870" w:rsidP="00391005">
      <w:pPr>
        <w:pStyle w:val="ListParagraph"/>
      </w:pPr>
      <w:r>
        <w:t xml:space="preserve">2) </w:t>
      </w:r>
      <w:r w:rsidR="0063344A">
        <w:t>LTR retrotransposons identified in the Galgal4 assembly</w:t>
      </w:r>
    </w:p>
    <w:p w14:paraId="7C647B10" w14:textId="7B3E2DBD" w:rsidR="00A91870" w:rsidRDefault="002035D0" w:rsidP="00391005">
      <w:pPr>
        <w:pStyle w:val="ListParagraph"/>
      </w:pPr>
      <w:r>
        <w:t>Identified LTR retrotransposon positions have been given in BED6 format. This is a tab spaced file with columns: chromosome, start position (0 indexed), end position, name, score</w:t>
      </w:r>
      <w:r w:rsidR="00524E44">
        <w:t xml:space="preserve"> and strand. Line names were</w:t>
      </w:r>
      <w:r>
        <w:t xml:space="preserve"> ‘FL’ meaning full list, or ‘SIE’ meaning </w:t>
      </w:r>
      <w:r>
        <w:lastRenderedPageBreak/>
        <w:t>structurally intact element.</w:t>
      </w:r>
      <w:r w:rsidR="00524E44">
        <w:t xml:space="preserve"> All SIEs we</w:t>
      </w:r>
      <w:r w:rsidR="00D066E8">
        <w:t>re contained within FL</w:t>
      </w:r>
      <w:r w:rsidR="00524E44">
        <w:t xml:space="preserve"> lines, but some</w:t>
      </w:r>
      <w:r w:rsidR="00D066E8">
        <w:t xml:space="preserve"> SIEs are within larger </w:t>
      </w:r>
      <w:r w:rsidR="00524E44">
        <w:t xml:space="preserve">FL </w:t>
      </w:r>
      <w:r w:rsidR="00D066E8">
        <w:t>regions</w:t>
      </w:r>
      <w:r w:rsidR="00524E44">
        <w:t>.</w:t>
      </w:r>
      <w:r w:rsidR="00D066E8">
        <w:t xml:space="preserve"> </w:t>
      </w:r>
      <w:r w:rsidR="00524E44">
        <w:t>The score column was a placeholder, with values were set to 0.</w:t>
      </w:r>
      <w:r>
        <w:t xml:space="preserve"> </w:t>
      </w:r>
    </w:p>
    <w:p w14:paraId="43486E0E" w14:textId="41666F9A" w:rsidR="0063344A" w:rsidRDefault="0063344A" w:rsidP="00391005">
      <w:pPr>
        <w:pStyle w:val="ListParagraph"/>
      </w:pPr>
      <w:r>
        <w:t>Filename:</w:t>
      </w:r>
      <w:r>
        <w:tab/>
        <w:t>AF02_Galgal4_LTR_retrotransposons.bed</w:t>
      </w:r>
      <w:r>
        <w:br/>
        <w:t>Static link:</w:t>
      </w:r>
      <w:r>
        <w:tab/>
      </w:r>
      <w:r w:rsidR="0067093F" w:rsidRPr="0067093F">
        <w:t>https://tinyurl.com/ydgh7ep3</w:t>
      </w:r>
    </w:p>
    <w:p w14:paraId="5AB0FAC7" w14:textId="77777777" w:rsidR="0063344A" w:rsidRPr="00D066E8" w:rsidRDefault="0063344A" w:rsidP="00391005">
      <w:pPr>
        <w:pStyle w:val="ListParagraph"/>
        <w:rPr>
          <w:sz w:val="2"/>
        </w:rPr>
      </w:pPr>
    </w:p>
    <w:p w14:paraId="171AAB42" w14:textId="0A16F25C" w:rsidR="0063344A" w:rsidRDefault="0063344A" w:rsidP="00391005">
      <w:pPr>
        <w:pStyle w:val="ListParagraph"/>
      </w:pPr>
      <w:r>
        <w:t>3) Structurally intact LTR retrotransposon clusters in the Galgal4 assembly</w:t>
      </w:r>
    </w:p>
    <w:p w14:paraId="2D5C6CBE" w14:textId="1AA2D92D" w:rsidR="0063344A" w:rsidRDefault="00D066E8" w:rsidP="00391005">
      <w:pPr>
        <w:pStyle w:val="ListParagraph"/>
      </w:pPr>
      <w:r>
        <w:t xml:space="preserve">This file is the output of cluster_counter.py </w:t>
      </w:r>
      <w:r w:rsidR="00524E44">
        <w:t>(</w:t>
      </w:r>
      <w:r>
        <w:t>ASM_PhD_extras</w:t>
      </w:r>
      <w:r w:rsidR="00524E44">
        <w:t xml:space="preserve"> repository), showing the analysis of </w:t>
      </w:r>
      <w:r>
        <w:t>contig</w:t>
      </w:r>
      <w:r w:rsidR="00524E44">
        <w:t>s</w:t>
      </w:r>
      <w:r>
        <w:t xml:space="preserve"> which contained five or more S</w:t>
      </w:r>
      <w:r w:rsidR="00524E44">
        <w:t>IEs and whether these were</w:t>
      </w:r>
      <w:r>
        <w:t xml:space="preserve"> in clusters. </w:t>
      </w:r>
      <w:r w:rsidR="00524E44">
        <w:t>For</w:t>
      </w:r>
      <w:r>
        <w:t xml:space="preserve"> contigs with clust</w:t>
      </w:r>
      <w:r w:rsidR="00524E44">
        <w:t xml:space="preserve">ers, the output shows </w:t>
      </w:r>
      <w:r>
        <w:t xml:space="preserve">number </w:t>
      </w:r>
      <w:r w:rsidR="00524E44">
        <w:t xml:space="preserve">and proportion </w:t>
      </w:r>
      <w:r>
        <w:t>of SIEs</w:t>
      </w:r>
      <w:r w:rsidR="00524E44">
        <w:t xml:space="preserve"> within clusters</w:t>
      </w:r>
      <w:r>
        <w:t xml:space="preserve">, cluster sizes and locations, and the LTR homology of each SIE LTR pair. Homology values of 0.0 represent sequences where LTRs had significantly diverged in length (through insertions or deletions) so the homology scores were uninformative. </w:t>
      </w:r>
    </w:p>
    <w:p w14:paraId="1E9DB644" w14:textId="6DB9760C" w:rsidR="0063344A" w:rsidRDefault="0063344A" w:rsidP="00391005">
      <w:pPr>
        <w:pStyle w:val="ListParagraph"/>
      </w:pPr>
      <w:r>
        <w:t>Filename:</w:t>
      </w:r>
      <w:r>
        <w:tab/>
        <w:t>AF03_Galgal4_SIE_cluster_locations.txt</w:t>
      </w:r>
      <w:r>
        <w:br/>
        <w:t>Static link:</w:t>
      </w:r>
      <w:r>
        <w:tab/>
      </w:r>
      <w:r w:rsidR="0067093F" w:rsidRPr="0067093F">
        <w:t>https://tinyurl.com/ya2k8kmd</w:t>
      </w:r>
    </w:p>
    <w:p w14:paraId="079FE61F" w14:textId="77777777" w:rsidR="0063344A" w:rsidRPr="00D066E8" w:rsidRDefault="0063344A" w:rsidP="00391005">
      <w:pPr>
        <w:pStyle w:val="ListParagraph"/>
        <w:rPr>
          <w:sz w:val="2"/>
        </w:rPr>
      </w:pPr>
    </w:p>
    <w:p w14:paraId="17D27DC5" w14:textId="1651F92D" w:rsidR="0063344A" w:rsidRDefault="0063344A" w:rsidP="0063344A">
      <w:pPr>
        <w:pStyle w:val="ListParagraph"/>
      </w:pPr>
      <w:r>
        <w:t>4) LTR retrotransposons identified in the Galgal5 assembly</w:t>
      </w:r>
    </w:p>
    <w:p w14:paraId="012FAF76" w14:textId="041DAFBC" w:rsidR="0063344A" w:rsidRDefault="00D066E8" w:rsidP="0063344A">
      <w:pPr>
        <w:pStyle w:val="ListParagraph"/>
      </w:pPr>
      <w:r>
        <w:t>As AF02, but with LTR retrotransposons identified in the Galgal5 assembly.</w:t>
      </w:r>
    </w:p>
    <w:p w14:paraId="1D6AE606" w14:textId="3D7FB2A9" w:rsidR="0063344A" w:rsidRDefault="0063344A" w:rsidP="0063344A">
      <w:pPr>
        <w:pStyle w:val="ListParagraph"/>
      </w:pPr>
      <w:r>
        <w:t>Filename:</w:t>
      </w:r>
      <w:r>
        <w:tab/>
        <w:t>AF04_Galgal5_LTR_retrotransposons.bed</w:t>
      </w:r>
      <w:r>
        <w:br/>
        <w:t>Static link:</w:t>
      </w:r>
      <w:r>
        <w:tab/>
      </w:r>
      <w:r w:rsidR="0067093F" w:rsidRPr="0067093F">
        <w:t>https://tinyurl.com/yan9s5qq</w:t>
      </w:r>
    </w:p>
    <w:p w14:paraId="29072D17" w14:textId="77777777" w:rsidR="0063344A" w:rsidRPr="00D066E8" w:rsidRDefault="0063344A" w:rsidP="0063344A">
      <w:pPr>
        <w:pStyle w:val="ListParagraph"/>
        <w:rPr>
          <w:sz w:val="2"/>
        </w:rPr>
      </w:pPr>
    </w:p>
    <w:p w14:paraId="13599BD5" w14:textId="53799387" w:rsidR="0063344A" w:rsidRDefault="0063344A" w:rsidP="0063344A">
      <w:pPr>
        <w:pStyle w:val="ListParagraph"/>
      </w:pPr>
      <w:r>
        <w:t>5) Structurally intact LTR retrotransposon clusters in the Galgal5 assembly</w:t>
      </w:r>
    </w:p>
    <w:p w14:paraId="6FBBF100" w14:textId="6A23FA51" w:rsidR="0063344A" w:rsidRDefault="00D066E8" w:rsidP="0063344A">
      <w:pPr>
        <w:pStyle w:val="ListParagraph"/>
      </w:pPr>
      <w:r>
        <w:t>As AF03, but with clusters identified from the LTR retrotransposons in the Galgal5 assembly. LTR pair homology was not included in this output.</w:t>
      </w:r>
    </w:p>
    <w:p w14:paraId="181976CD" w14:textId="28852C48" w:rsidR="0063344A" w:rsidRDefault="0063344A" w:rsidP="0063344A">
      <w:pPr>
        <w:pStyle w:val="ListParagraph"/>
      </w:pPr>
      <w:r>
        <w:t>Filename:</w:t>
      </w:r>
      <w:r>
        <w:tab/>
        <w:t>AF05_Galgal5_SIE_cluster_locations.txt</w:t>
      </w:r>
      <w:r>
        <w:br/>
        <w:t>Static link:</w:t>
      </w:r>
      <w:r>
        <w:tab/>
      </w:r>
      <w:r w:rsidR="0067093F" w:rsidRPr="0067093F">
        <w:t>https://tinyurl.com/yb7of5gh</w:t>
      </w:r>
    </w:p>
    <w:p w14:paraId="23EF5C3C" w14:textId="77777777" w:rsidR="0063344A" w:rsidRPr="00D066E8" w:rsidRDefault="0063344A" w:rsidP="0063344A">
      <w:pPr>
        <w:pStyle w:val="ListParagraph"/>
        <w:rPr>
          <w:sz w:val="2"/>
        </w:rPr>
      </w:pPr>
    </w:p>
    <w:p w14:paraId="08F373AB" w14:textId="5AAB00F8" w:rsidR="0063344A" w:rsidRDefault="0063344A" w:rsidP="0063344A">
      <w:pPr>
        <w:pStyle w:val="ListParagraph"/>
      </w:pPr>
      <w:r>
        <w:t>6) Structurally intact LTR retrotransposon overlaps with Galgal5 lncRNA genes</w:t>
      </w:r>
    </w:p>
    <w:p w14:paraId="7EA92EF9" w14:textId="50E2D8FC" w:rsidR="0063344A" w:rsidRDefault="00FF2F3F" w:rsidP="0063344A">
      <w:pPr>
        <w:pStyle w:val="ListParagraph"/>
      </w:pPr>
      <w:r>
        <w:t xml:space="preserve">This file is in modified BED format. Columns 2-7 are the SIEs which overlap with lncRNA genes in BED6 format, where the name is ‘SIE’ and the score is the element </w:t>
      </w:r>
      <w:r>
        <w:lastRenderedPageBreak/>
        <w:t xml:space="preserve">length, and columns 8-13 are the same but for the lncRNA genes, with the name as ‘RK_lnc’ for Richard Kuo lncRNA gene annotation. The first column is the length of overlap between each feature on the line. </w:t>
      </w:r>
    </w:p>
    <w:p w14:paraId="3B7C0E14" w14:textId="621452B4" w:rsidR="0063344A" w:rsidRDefault="0063344A" w:rsidP="0063344A">
      <w:pPr>
        <w:pStyle w:val="ListParagraph"/>
      </w:pPr>
      <w:r>
        <w:t>Filename:</w:t>
      </w:r>
      <w:r>
        <w:tab/>
        <w:t>AF06_</w:t>
      </w:r>
      <w:r w:rsidR="00FF2F3F">
        <w:t>Galgal5_lncRNA_overlaps.txt</w:t>
      </w:r>
      <w:r>
        <w:br/>
        <w:t>Static link:</w:t>
      </w:r>
      <w:r>
        <w:tab/>
      </w:r>
      <w:r w:rsidR="0067093F" w:rsidRPr="0067093F">
        <w:t>https://tinyurl.com/yb894o34</w:t>
      </w:r>
    </w:p>
    <w:p w14:paraId="2134E66A" w14:textId="77777777" w:rsidR="0063344A" w:rsidRPr="00D066E8" w:rsidRDefault="0063344A" w:rsidP="0063344A">
      <w:pPr>
        <w:pStyle w:val="ListParagraph"/>
        <w:rPr>
          <w:sz w:val="2"/>
        </w:rPr>
      </w:pPr>
    </w:p>
    <w:p w14:paraId="44310C73" w14:textId="675934C2" w:rsidR="0063344A" w:rsidRDefault="0063344A" w:rsidP="00391005">
      <w:pPr>
        <w:pStyle w:val="ListParagraph"/>
      </w:pPr>
      <w:r>
        <w:t>7) Alpharetroviral reference sequences used to mask the Galgal5 assembly</w:t>
      </w:r>
    </w:p>
    <w:p w14:paraId="6CB071E5" w14:textId="602200FF" w:rsidR="0063344A" w:rsidRDefault="00FF2F3F" w:rsidP="00391005">
      <w:pPr>
        <w:pStyle w:val="ListParagraph"/>
      </w:pPr>
      <w:r>
        <w:t>A total of 31 alpharetroviral sequences were used to identify alpharetroviral-homologous regions in the Galgal5 reference genome. The file is a standard FASTA with the header name containing the sequence name, GenBank accession and sequence length.</w:t>
      </w:r>
    </w:p>
    <w:p w14:paraId="28DBDC6C" w14:textId="62E4966A" w:rsidR="0063344A" w:rsidRDefault="0063344A" w:rsidP="00391005">
      <w:pPr>
        <w:pStyle w:val="ListParagraph"/>
      </w:pPr>
      <w:r>
        <w:t>Filename:</w:t>
      </w:r>
      <w:r>
        <w:tab/>
        <w:t>AF07_alpharetroviral_reference_sequences.fa</w:t>
      </w:r>
      <w:r>
        <w:br/>
        <w:t>Static link:</w:t>
      </w:r>
      <w:r w:rsidR="0067093F">
        <w:tab/>
      </w:r>
      <w:r w:rsidR="0067093F" w:rsidRPr="0067093F">
        <w:t>https://tinyurl.com/yafun5tf</w:t>
      </w:r>
    </w:p>
    <w:p w14:paraId="790C8985" w14:textId="749CD436" w:rsidR="0063344A" w:rsidRPr="00D066E8" w:rsidRDefault="0063344A" w:rsidP="00391005">
      <w:pPr>
        <w:pStyle w:val="ListParagraph"/>
        <w:rPr>
          <w:sz w:val="2"/>
        </w:rPr>
      </w:pPr>
    </w:p>
    <w:p w14:paraId="3F861A8C" w14:textId="451C7A7A" w:rsidR="0063344A" w:rsidRDefault="0063344A" w:rsidP="00391005">
      <w:pPr>
        <w:pStyle w:val="ListParagraph"/>
      </w:pPr>
      <w:r>
        <w:t>8) ALVE reference sequences used to construct the viral pseudochromosome</w:t>
      </w:r>
    </w:p>
    <w:p w14:paraId="5FA16A32" w14:textId="1109BB40" w:rsidR="0063344A" w:rsidRDefault="00FF2F3F" w:rsidP="00391005">
      <w:pPr>
        <w:pStyle w:val="ListParagraph"/>
      </w:pPr>
      <w:r>
        <w:t>A total of 11 ALVE sequences were used to construct the viral pseudochromosome. The file is a standard FASTA with the header name containing the sequence name, GenBank accession and sequence length. This file is a subset of AF07.</w:t>
      </w:r>
    </w:p>
    <w:p w14:paraId="4FDBD8B1" w14:textId="51136D31" w:rsidR="0063344A" w:rsidRDefault="0063344A" w:rsidP="00391005">
      <w:pPr>
        <w:pStyle w:val="ListParagraph"/>
      </w:pPr>
      <w:r>
        <w:t>Filename:</w:t>
      </w:r>
      <w:r>
        <w:tab/>
        <w:t>AF08_ALVE_reference_sequences.fa</w:t>
      </w:r>
      <w:r>
        <w:br/>
        <w:t>Static link:</w:t>
      </w:r>
      <w:r>
        <w:tab/>
      </w:r>
      <w:r w:rsidR="0067093F" w:rsidRPr="0067093F">
        <w:t>https://tinyurl.com/y7cq5wev</w:t>
      </w:r>
    </w:p>
    <w:p w14:paraId="40066AA2" w14:textId="77777777" w:rsidR="00EA2C25" w:rsidRPr="00EA2C25" w:rsidRDefault="00EA2C25" w:rsidP="00391005">
      <w:pPr>
        <w:pStyle w:val="ListParagraph"/>
        <w:rPr>
          <w:sz w:val="2"/>
        </w:rPr>
      </w:pPr>
    </w:p>
    <w:p w14:paraId="54136AAD" w14:textId="1843E21C" w:rsidR="00EA2C25" w:rsidRDefault="00EA2C25" w:rsidP="00EA2C25">
      <w:pPr>
        <w:pStyle w:val="ListParagraph"/>
      </w:pPr>
      <w:r>
        <w:t>9) The sequenced Hy-Line ALVEs</w:t>
      </w:r>
    </w:p>
    <w:p w14:paraId="07F060F8" w14:textId="79273118" w:rsidR="00EA2C25" w:rsidRDefault="00F72DAC" w:rsidP="00EA2C25">
      <w:pPr>
        <w:pStyle w:val="ListParagraph"/>
      </w:pPr>
      <w:r>
        <w:t xml:space="preserve">A standard FASTA file with the fifteen sequenced ALVEs from the Hy-Line elite layers including terminal hexamers. Sequence headers include the name and orientation. </w:t>
      </w:r>
    </w:p>
    <w:p w14:paraId="339593A3" w14:textId="54536BD7" w:rsidR="00EA2C25" w:rsidRPr="00EA2C25" w:rsidRDefault="00EA2C25" w:rsidP="00EA2C25">
      <w:pPr>
        <w:pStyle w:val="ListParagraph"/>
      </w:pPr>
      <w:r>
        <w:t>Filename:</w:t>
      </w:r>
      <w:r>
        <w:tab/>
        <w:t>AF09_HL_ALVE_sequences.fa</w:t>
      </w:r>
      <w:r>
        <w:br/>
        <w:t>Static link:</w:t>
      </w:r>
      <w:r>
        <w:tab/>
      </w:r>
      <w:r w:rsidR="0067093F" w:rsidRPr="0067093F">
        <w:t>https://tinyurl.com/ybydbhes</w:t>
      </w:r>
    </w:p>
    <w:p w14:paraId="7D5C35CF" w14:textId="77777777" w:rsidR="0063344A" w:rsidRPr="00D066E8" w:rsidRDefault="0063344A" w:rsidP="00391005">
      <w:pPr>
        <w:pStyle w:val="ListParagraph"/>
        <w:rPr>
          <w:sz w:val="2"/>
        </w:rPr>
      </w:pPr>
    </w:p>
    <w:p w14:paraId="7715A2FC" w14:textId="787E83B1" w:rsidR="0063344A" w:rsidRDefault="00EA2C25" w:rsidP="00391005">
      <w:pPr>
        <w:pStyle w:val="ListParagraph"/>
      </w:pPr>
      <w:r>
        <w:t>10</w:t>
      </w:r>
      <w:r w:rsidR="0063344A">
        <w:t>) The locations of all identified ALVEs in the Galgal5 assembly</w:t>
      </w:r>
    </w:p>
    <w:p w14:paraId="594CDED4" w14:textId="04443185" w:rsidR="00F72DAC" w:rsidRDefault="00EA2C25" w:rsidP="00391005">
      <w:pPr>
        <w:pStyle w:val="ListParagraph"/>
      </w:pPr>
      <w:r>
        <w:t xml:space="preserve">Each identified ALVE is listed with its chromosome, insertion hexamer start position, hexamer sequence and gene feature overlap. </w:t>
      </w:r>
      <w:r w:rsidR="00F72DAC">
        <w:t>Previous and new nomenclature is shown.</w:t>
      </w:r>
    </w:p>
    <w:p w14:paraId="1E3E7044" w14:textId="73D0AD55" w:rsidR="0063344A" w:rsidRDefault="00EA2C25" w:rsidP="00391005">
      <w:pPr>
        <w:pStyle w:val="ListParagraph"/>
      </w:pPr>
      <w:r>
        <w:lastRenderedPageBreak/>
        <w:t>Filename:</w:t>
      </w:r>
      <w:r>
        <w:tab/>
        <w:t>AF10</w:t>
      </w:r>
      <w:r w:rsidR="0063344A">
        <w:t>_ALVE_locations.xlsx</w:t>
      </w:r>
      <w:r w:rsidR="0063344A">
        <w:br/>
        <w:t>Static link:</w:t>
      </w:r>
      <w:r w:rsidR="0063344A">
        <w:tab/>
      </w:r>
      <w:r w:rsidR="0067093F" w:rsidRPr="0067093F">
        <w:t>https://tinyurl.com/yaunavym</w:t>
      </w:r>
    </w:p>
    <w:p w14:paraId="40DF105B" w14:textId="77777777" w:rsidR="0063344A" w:rsidRPr="00D066E8" w:rsidRDefault="0063344A" w:rsidP="00391005">
      <w:pPr>
        <w:pStyle w:val="ListParagraph"/>
        <w:rPr>
          <w:sz w:val="2"/>
        </w:rPr>
      </w:pPr>
    </w:p>
    <w:p w14:paraId="612CCD13" w14:textId="37751183" w:rsidR="0063344A" w:rsidRDefault="00EA2C25" w:rsidP="00391005">
      <w:pPr>
        <w:pStyle w:val="ListParagraph"/>
      </w:pPr>
      <w:r>
        <w:t>11</w:t>
      </w:r>
      <w:r w:rsidR="0063344A">
        <w:t>) Presence/Absence matrix for all identified ALVEs</w:t>
      </w:r>
    </w:p>
    <w:p w14:paraId="2D36D961" w14:textId="014986E1" w:rsidR="0063344A" w:rsidRDefault="00F72DAC" w:rsidP="00391005">
      <w:pPr>
        <w:pStyle w:val="ListParagraph"/>
      </w:pPr>
      <w:r>
        <w:t xml:space="preserve">All datasets are listed as columns matching the order outlined in section </w:t>
      </w:r>
      <w:r>
        <w:fldChar w:fldCharType="begin" w:fldLock="1"/>
      </w:r>
      <w:r>
        <w:instrText xml:space="preserve"> REF _Ref480884203 \r \h </w:instrText>
      </w:r>
      <w:r>
        <w:fldChar w:fldCharType="separate"/>
      </w:r>
      <w:r w:rsidR="002C549C">
        <w:t>7.4.1</w:t>
      </w:r>
      <w:r>
        <w:fldChar w:fldCharType="end"/>
      </w:r>
      <w:r>
        <w:t>. The ALVE complement of each line is shown as 1 (presence) or 0 (absence) for all identified ALVEs. ALVEs are shown with their insertion site and new nomenclature.</w:t>
      </w:r>
    </w:p>
    <w:p w14:paraId="47B7430A" w14:textId="38EF292E" w:rsidR="0063344A" w:rsidRDefault="0063344A" w:rsidP="00391005">
      <w:pPr>
        <w:pStyle w:val="ListParagraph"/>
      </w:pPr>
      <w:r>
        <w:t>Filename</w:t>
      </w:r>
      <w:r w:rsidR="00EA2C25">
        <w:t>:</w:t>
      </w:r>
      <w:r w:rsidR="00EA2C25">
        <w:tab/>
        <w:t>AF11</w:t>
      </w:r>
      <w:r>
        <w:t>_ALVE_presence_absence_matrix.xlsx</w:t>
      </w:r>
      <w:r>
        <w:br/>
        <w:t>Static link:</w:t>
      </w:r>
      <w:r>
        <w:tab/>
      </w:r>
      <w:r w:rsidR="0067093F" w:rsidRPr="0067093F">
        <w:t>https://tinyurl.com/ybsavjza</w:t>
      </w:r>
    </w:p>
    <w:p w14:paraId="34643699" w14:textId="6459F6A4" w:rsidR="00D571A9" w:rsidRDefault="00D571A9" w:rsidP="00391005">
      <w:pPr>
        <w:pStyle w:val="ListParagraph"/>
      </w:pPr>
    </w:p>
    <w:p w14:paraId="6A57E5B7" w14:textId="0AFEBE9A" w:rsidR="00D571A9" w:rsidRPr="008F6925" w:rsidRDefault="00D571A9" w:rsidP="00D571A9">
      <w:pPr>
        <w:pStyle w:val="appendixtitle"/>
      </w:pPr>
      <w:bookmarkStart w:id="691" w:name="_Toc486787277"/>
      <w:bookmarkStart w:id="692" w:name="_Toc486787425"/>
      <w:r>
        <w:t>Published papers</w:t>
      </w:r>
      <w:bookmarkEnd w:id="691"/>
      <w:bookmarkEnd w:id="692"/>
    </w:p>
    <w:p w14:paraId="0ADE9343" w14:textId="6C4DD63F" w:rsidR="00C63FFE" w:rsidRDefault="007B73CE" w:rsidP="00391005">
      <w:pPr>
        <w:pStyle w:val="ListParagraph"/>
      </w:pPr>
      <w:r>
        <w:t>During this PhD project, I have been involved in the publication of three papers. PDF versions of each have been included on the CD accompanying this thesis, and static links have also been pr</w:t>
      </w:r>
      <w:r w:rsidR="00C63FFE">
        <w:t>ovided. Each paper was</w:t>
      </w:r>
      <w:r>
        <w:t xml:space="preserve"> published in an open access journal.</w:t>
      </w:r>
    </w:p>
    <w:p w14:paraId="5DFC8686" w14:textId="3056D490" w:rsidR="00B46AAC" w:rsidRPr="00C63FFE" w:rsidRDefault="00B46AAC" w:rsidP="00391005">
      <w:pPr>
        <w:pStyle w:val="ListParagraph"/>
        <w:rPr>
          <w:sz w:val="10"/>
        </w:rPr>
      </w:pPr>
    </w:p>
    <w:p w14:paraId="6D7E9285" w14:textId="5955D267" w:rsidR="007B73CE" w:rsidRDefault="00F4476D" w:rsidP="00BA6456">
      <w:pPr>
        <w:pStyle w:val="Figure"/>
        <w:spacing w:after="0"/>
      </w:pPr>
      <w:r>
        <w:t xml:space="preserve">1). </w:t>
      </w:r>
      <w:r w:rsidR="007B73CE">
        <w:t xml:space="preserve">Wragg D, </w:t>
      </w:r>
      <w:r w:rsidR="007B73CE" w:rsidRPr="007B73CE">
        <w:rPr>
          <w:u w:val="single"/>
        </w:rPr>
        <w:t>Mason AS</w:t>
      </w:r>
      <w:r w:rsidR="007B73CE">
        <w:t xml:space="preserve">, Yu L, Kuo R, Lawal RA, Desta TT, Mwacharo JM, Cho CY, Kemp S, Burt DW &amp; Hanotte O (2015), Genome-wide analysis reveals the extent of EAV-HP integration in domestic chicken, </w:t>
      </w:r>
      <w:r w:rsidR="007B73CE">
        <w:rPr>
          <w:i/>
        </w:rPr>
        <w:t>BMC Genomics</w:t>
      </w:r>
      <w:r w:rsidR="007B73CE">
        <w:t xml:space="preserve">, </w:t>
      </w:r>
      <w:r w:rsidR="007B73CE">
        <w:rPr>
          <w:b/>
        </w:rPr>
        <w:t xml:space="preserve">16: </w:t>
      </w:r>
      <w:r w:rsidR="007B73CE">
        <w:t xml:space="preserve">784. </w:t>
      </w:r>
    </w:p>
    <w:p w14:paraId="417D3AAC" w14:textId="6579B6E7" w:rsidR="00BA6456" w:rsidRPr="00BA6456" w:rsidRDefault="00BA6456" w:rsidP="00391005">
      <w:pPr>
        <w:pStyle w:val="ListParagraph"/>
        <w:rPr>
          <w:sz w:val="2"/>
        </w:rPr>
      </w:pPr>
    </w:p>
    <w:p w14:paraId="096AA592" w14:textId="0EE03FDF" w:rsidR="00BA6456" w:rsidRDefault="00331F15" w:rsidP="00391005">
      <w:pPr>
        <w:pStyle w:val="ListParagraph"/>
      </w:pPr>
      <w:r>
        <w:t xml:space="preserve">I analysed </w:t>
      </w:r>
      <w:r w:rsidR="00BA6456">
        <w:t>who</w:t>
      </w:r>
      <w:r>
        <w:t xml:space="preserve">le genome resequencing data from </w:t>
      </w:r>
      <w:r w:rsidR="00BA6456">
        <w:t xml:space="preserve">the eight Pirbright inbred lines for novel EAV-HP integrations. </w:t>
      </w:r>
      <w:r>
        <w:t xml:space="preserve">This analysis was carried out using a pipeline developed by David Wragg with additional scripting completed by </w:t>
      </w:r>
      <w:r w:rsidR="009F136F">
        <w:t>me and Richard Kuo</w:t>
      </w:r>
      <w:r>
        <w:t xml:space="preserve">. </w:t>
      </w:r>
      <w:r w:rsidR="009F136F">
        <w:t>I reviewed the manuscript before final submission, but was not involved in its writing.</w:t>
      </w:r>
    </w:p>
    <w:p w14:paraId="2ACD68B7" w14:textId="726A3CD5" w:rsidR="00331F15" w:rsidRDefault="00331F15" w:rsidP="00391005">
      <w:pPr>
        <w:pStyle w:val="ListParagraph"/>
      </w:pPr>
      <w:r>
        <w:t>Filen</w:t>
      </w:r>
      <w:r w:rsidR="00A91870">
        <w:t>ame</w:t>
      </w:r>
      <w:r>
        <w:t>:</w:t>
      </w:r>
      <w:r>
        <w:tab/>
        <w:t>Paper1_Wragg2015.pdf</w:t>
      </w:r>
      <w:r>
        <w:br/>
      </w:r>
      <w:r w:rsidR="00A91870">
        <w:t>Static link:</w:t>
      </w:r>
      <w:r w:rsidR="00A91870">
        <w:tab/>
      </w:r>
      <w:r w:rsidRPr="00331F15">
        <w:t>https://tinyurl.com/y79ecswp</w:t>
      </w:r>
    </w:p>
    <w:p w14:paraId="4BE7D9ED" w14:textId="77777777" w:rsidR="00BA6456" w:rsidRPr="00C63FFE" w:rsidRDefault="00BA6456" w:rsidP="00391005">
      <w:pPr>
        <w:pStyle w:val="ListParagraph"/>
        <w:rPr>
          <w:sz w:val="10"/>
        </w:rPr>
      </w:pPr>
    </w:p>
    <w:p w14:paraId="70753F69" w14:textId="59AE18B2" w:rsidR="007B73CE" w:rsidRDefault="00F4476D" w:rsidP="00BA6456">
      <w:pPr>
        <w:pStyle w:val="Figure"/>
        <w:spacing w:after="0"/>
      </w:pPr>
      <w:r w:rsidRPr="00F4476D">
        <w:t xml:space="preserve">2). </w:t>
      </w:r>
      <w:r w:rsidR="007B73CE" w:rsidRPr="007B73CE">
        <w:rPr>
          <w:u w:val="single"/>
        </w:rPr>
        <w:t>Mason AS</w:t>
      </w:r>
      <w:r w:rsidR="007B73CE">
        <w:t xml:space="preserve">, Fulton JE, Hocking PM &amp; Burt DW (2016), A new look at the LTR retrotransposon content of the chicken genome, </w:t>
      </w:r>
      <w:r w:rsidR="007B73CE">
        <w:rPr>
          <w:i/>
        </w:rPr>
        <w:t>BMC Genomics</w:t>
      </w:r>
      <w:r w:rsidR="007B73CE">
        <w:t xml:space="preserve">, </w:t>
      </w:r>
      <w:r w:rsidR="007B73CE">
        <w:rPr>
          <w:b/>
        </w:rPr>
        <w:t xml:space="preserve">17: </w:t>
      </w:r>
      <w:r w:rsidR="007B73CE">
        <w:t>688.</w:t>
      </w:r>
    </w:p>
    <w:p w14:paraId="21800B63" w14:textId="6DE4174C" w:rsidR="00BA6456" w:rsidRPr="00BA6456" w:rsidRDefault="00BA6456" w:rsidP="00391005">
      <w:pPr>
        <w:pStyle w:val="ListParagraph"/>
        <w:rPr>
          <w:sz w:val="2"/>
        </w:rPr>
      </w:pPr>
    </w:p>
    <w:p w14:paraId="625EC0C2" w14:textId="16269260" w:rsidR="00BA6456" w:rsidRDefault="009F136F" w:rsidP="00391005">
      <w:pPr>
        <w:pStyle w:val="ListParagraph"/>
      </w:pPr>
      <w:r>
        <w:t xml:space="preserve">This project was initially conceived by my primary supervisor, Dave Burt, with participation from Paul Hocking, Janet Fulton and myself. I performed all the analysis </w:t>
      </w:r>
      <w:r>
        <w:lastRenderedPageBreak/>
        <w:t xml:space="preserve">presented in the paper, wrote the manuscript and constructed all figures and tables. The manuscript was reviewed by all authors before submission. All scripts written for the LocaTR identification pipeline were my own work. </w:t>
      </w:r>
    </w:p>
    <w:p w14:paraId="16663C8A" w14:textId="4BAF6903" w:rsidR="009F136F" w:rsidRDefault="009F136F" w:rsidP="00391005">
      <w:pPr>
        <w:pStyle w:val="ListParagraph"/>
      </w:pPr>
      <w:r>
        <w:t>Filename:</w:t>
      </w:r>
      <w:r>
        <w:tab/>
        <w:t>Paper2_Mason2016.pdf</w:t>
      </w:r>
      <w:r>
        <w:br/>
      </w:r>
      <w:r w:rsidR="00A91870">
        <w:t>Static link:</w:t>
      </w:r>
      <w:r w:rsidR="00A91870">
        <w:tab/>
      </w:r>
      <w:r w:rsidRPr="009F136F">
        <w:t>https://tinyurl.com/ybm4z86q</w:t>
      </w:r>
    </w:p>
    <w:p w14:paraId="58963E6C" w14:textId="77777777" w:rsidR="00BA6456" w:rsidRPr="00C63FFE" w:rsidRDefault="00BA6456" w:rsidP="00391005">
      <w:pPr>
        <w:pStyle w:val="ListParagraph"/>
        <w:rPr>
          <w:sz w:val="10"/>
        </w:rPr>
      </w:pPr>
    </w:p>
    <w:p w14:paraId="7BA2BD84" w14:textId="11EA9EA2" w:rsidR="007B73CE" w:rsidRPr="00BA6456" w:rsidRDefault="00F4476D" w:rsidP="00BA6456">
      <w:pPr>
        <w:pStyle w:val="Figure"/>
        <w:spacing w:after="0"/>
      </w:pPr>
      <w:r>
        <w:t xml:space="preserve">3). </w:t>
      </w:r>
      <w:r w:rsidR="007B73CE">
        <w:t xml:space="preserve">Warren WC, Hillier LW, Tomlinson C, Minx P, Kremitzki M, Graves T, Markovic C, Bouk N, Pruitt KD, Thibaud-Nissen F, Schneider V, Mansour TA, Brown CT, Zimin A, Hawken R, Abrahamsen M, Pyrkosz AB, Morisson M, Fillon V, Vignal A, Chow W, Howe K, Fulton JE, Miller MM, Lovell P, Mello CV, Wirthlin M, </w:t>
      </w:r>
      <w:r w:rsidR="007B73CE" w:rsidRPr="00BA6456">
        <w:rPr>
          <w:u w:val="single"/>
        </w:rPr>
        <w:t>Mason AS</w:t>
      </w:r>
      <w:r w:rsidR="007B73CE">
        <w:t xml:space="preserve">, Kuo R, Burt DW, Dodgson JB &amp; Cheng HH (2017), A New Chicken Genome Assembly Provides Insight into Avian Genome Structure, </w:t>
      </w:r>
      <w:r w:rsidR="00BA6456">
        <w:rPr>
          <w:i/>
        </w:rPr>
        <w:t>G3: Genes, Genomes, Genetics</w:t>
      </w:r>
      <w:r w:rsidR="00BA6456">
        <w:t xml:space="preserve">, </w:t>
      </w:r>
      <w:r w:rsidR="00BA6456">
        <w:rPr>
          <w:b/>
        </w:rPr>
        <w:t>7(1)</w:t>
      </w:r>
      <w:r w:rsidR="00BA6456">
        <w:t>: 109-117.</w:t>
      </w:r>
    </w:p>
    <w:p w14:paraId="3BC1B7B8" w14:textId="0D99CCC3" w:rsidR="00B46AAC" w:rsidRPr="00BA6456" w:rsidRDefault="00B46AAC" w:rsidP="00391005">
      <w:pPr>
        <w:pStyle w:val="ListParagraph"/>
        <w:rPr>
          <w:sz w:val="2"/>
        </w:rPr>
      </w:pPr>
    </w:p>
    <w:p w14:paraId="6050FDC0" w14:textId="42E5A3EB" w:rsidR="00BA6456" w:rsidRDefault="009F136F" w:rsidP="00391005">
      <w:pPr>
        <w:pStyle w:val="ListParagraph"/>
      </w:pPr>
      <w:r>
        <w:t>I analysed the new chicken genome assembly with the LocaTR identification pipeline, and performed a preliminary analysis of the distribution of LTR retrotransposons in the assembly. Additionally, I</w:t>
      </w:r>
      <w:r w:rsidR="00C63FFE">
        <w:t xml:space="preserve"> performed a</w:t>
      </w:r>
      <w:r>
        <w:t xml:space="preserve"> RepeatMasker annotation of the total assembly repeat content. I wrote my sections of the manuscript, including the construction of Table 2, and reviewed the manuscript before final submission.</w:t>
      </w:r>
    </w:p>
    <w:p w14:paraId="6F79C89C" w14:textId="13D99415" w:rsidR="00B46AAC" w:rsidRPr="00B46AAC" w:rsidRDefault="00A91870" w:rsidP="00391005">
      <w:pPr>
        <w:pStyle w:val="ListParagraph"/>
      </w:pPr>
      <w:r>
        <w:t>Filename</w:t>
      </w:r>
      <w:r w:rsidR="009F136F">
        <w:t>:</w:t>
      </w:r>
      <w:r w:rsidR="009F136F">
        <w:tab/>
        <w:t>Pa</w:t>
      </w:r>
      <w:r>
        <w:t>per3_Warren2017.pdf</w:t>
      </w:r>
      <w:r>
        <w:br/>
        <w:t>Static link:</w:t>
      </w:r>
      <w:r>
        <w:tab/>
      </w:r>
      <w:r w:rsidR="009F136F" w:rsidRPr="009F136F">
        <w:t>https://tinyurl.com/y7xyjjxh</w:t>
      </w:r>
    </w:p>
    <w:sectPr w:rsidR="00B46AAC" w:rsidRPr="00B46AAC" w:rsidSect="00504068">
      <w:pgSz w:w="11906" w:h="16838"/>
      <w:pgMar w:top="1134" w:right="1418" w:bottom="2268" w:left="2268" w:header="709" w:footer="10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317B3D" w14:textId="77777777" w:rsidR="009432A8" w:rsidRDefault="009432A8" w:rsidP="00504068">
      <w:pPr>
        <w:spacing w:after="0" w:line="240" w:lineRule="auto"/>
      </w:pPr>
      <w:r>
        <w:separator/>
      </w:r>
    </w:p>
  </w:endnote>
  <w:endnote w:type="continuationSeparator" w:id="0">
    <w:p w14:paraId="4155146E" w14:textId="77777777" w:rsidR="009432A8" w:rsidRDefault="009432A8" w:rsidP="005040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Medium">
    <w:panose1 w:val="020B06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8681681"/>
      <w:docPartObj>
        <w:docPartGallery w:val="Page Numbers (Bottom of Page)"/>
        <w:docPartUnique/>
      </w:docPartObj>
    </w:sdtPr>
    <w:sdtEndPr>
      <w:rPr>
        <w:noProof/>
      </w:rPr>
    </w:sdtEndPr>
    <w:sdtContent>
      <w:p w14:paraId="565ACD36" w14:textId="73FBBA63" w:rsidR="009432A8" w:rsidRDefault="009432A8" w:rsidP="001B4326">
        <w:pPr>
          <w:pStyle w:val="Footer"/>
          <w:jc w:val="center"/>
        </w:pPr>
      </w:p>
    </w:sdtContent>
  </w:sdt>
  <w:p w14:paraId="09313D2E" w14:textId="55BD937A" w:rsidR="009432A8" w:rsidRDefault="009432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4671085"/>
      <w:docPartObj>
        <w:docPartGallery w:val="Page Numbers (Bottom of Page)"/>
        <w:docPartUnique/>
      </w:docPartObj>
    </w:sdtPr>
    <w:sdtEndPr>
      <w:rPr>
        <w:rFonts w:ascii="Baskerville Old Face" w:hAnsi="Baskerville Old Face"/>
        <w:noProof/>
        <w:sz w:val="24"/>
      </w:rPr>
    </w:sdtEndPr>
    <w:sdtContent>
      <w:p w14:paraId="3C03A21A" w14:textId="5F564915" w:rsidR="009432A8" w:rsidRPr="001B4326" w:rsidRDefault="009432A8" w:rsidP="001B4326">
        <w:pPr>
          <w:pStyle w:val="Footer"/>
          <w:jc w:val="right"/>
          <w:rPr>
            <w:rFonts w:ascii="Baskerville Old Face" w:hAnsi="Baskerville Old Face"/>
            <w:sz w:val="24"/>
          </w:rPr>
        </w:pPr>
        <w:r w:rsidRPr="001B4326">
          <w:rPr>
            <w:rFonts w:ascii="Baskerville Old Face" w:hAnsi="Baskerville Old Face"/>
            <w:sz w:val="24"/>
          </w:rPr>
          <w:fldChar w:fldCharType="begin"/>
        </w:r>
        <w:r w:rsidRPr="001B4326">
          <w:rPr>
            <w:rFonts w:ascii="Baskerville Old Face" w:hAnsi="Baskerville Old Face"/>
            <w:sz w:val="24"/>
          </w:rPr>
          <w:instrText xml:space="preserve"> PAGE   \* MERGEFORMAT </w:instrText>
        </w:r>
        <w:r w:rsidRPr="001B4326">
          <w:rPr>
            <w:rFonts w:ascii="Baskerville Old Face" w:hAnsi="Baskerville Old Face"/>
            <w:sz w:val="24"/>
          </w:rPr>
          <w:fldChar w:fldCharType="separate"/>
        </w:r>
        <w:r w:rsidR="007C5DBB">
          <w:rPr>
            <w:rFonts w:ascii="Baskerville Old Face" w:hAnsi="Baskerville Old Face"/>
            <w:noProof/>
            <w:sz w:val="24"/>
          </w:rPr>
          <w:t>xxvi</w:t>
        </w:r>
        <w:r w:rsidRPr="001B4326">
          <w:rPr>
            <w:rFonts w:ascii="Baskerville Old Face" w:hAnsi="Baskerville Old Face"/>
            <w:noProof/>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9137096"/>
      <w:docPartObj>
        <w:docPartGallery w:val="Page Numbers (Bottom of Page)"/>
        <w:docPartUnique/>
      </w:docPartObj>
    </w:sdtPr>
    <w:sdtEndPr>
      <w:rPr>
        <w:rFonts w:ascii="Baskerville Old Face" w:hAnsi="Baskerville Old Face"/>
        <w:noProof/>
        <w:sz w:val="24"/>
      </w:rPr>
    </w:sdtEndPr>
    <w:sdtContent>
      <w:p w14:paraId="1B59B4FF" w14:textId="3712159E" w:rsidR="009432A8" w:rsidRPr="001B4326" w:rsidRDefault="009432A8" w:rsidP="001B4326">
        <w:pPr>
          <w:pStyle w:val="Footer"/>
          <w:jc w:val="right"/>
          <w:rPr>
            <w:rFonts w:ascii="Baskerville Old Face" w:hAnsi="Baskerville Old Face"/>
            <w:sz w:val="24"/>
          </w:rPr>
        </w:pPr>
        <w:r w:rsidRPr="001B4326">
          <w:rPr>
            <w:rFonts w:ascii="Baskerville Old Face" w:hAnsi="Baskerville Old Face"/>
            <w:sz w:val="24"/>
          </w:rPr>
          <w:fldChar w:fldCharType="begin"/>
        </w:r>
        <w:r w:rsidRPr="001B4326">
          <w:rPr>
            <w:rFonts w:ascii="Baskerville Old Face" w:hAnsi="Baskerville Old Face"/>
            <w:sz w:val="24"/>
          </w:rPr>
          <w:instrText xml:space="preserve"> PAGE   \* MERGEFORMAT </w:instrText>
        </w:r>
        <w:r w:rsidRPr="001B4326">
          <w:rPr>
            <w:rFonts w:ascii="Baskerville Old Face" w:hAnsi="Baskerville Old Face"/>
            <w:sz w:val="24"/>
          </w:rPr>
          <w:fldChar w:fldCharType="separate"/>
        </w:r>
        <w:r w:rsidR="007C5DBB">
          <w:rPr>
            <w:rFonts w:ascii="Baskerville Old Face" w:hAnsi="Baskerville Old Face"/>
            <w:noProof/>
            <w:sz w:val="24"/>
          </w:rPr>
          <w:t>18</w:t>
        </w:r>
        <w:r w:rsidRPr="001B4326">
          <w:rPr>
            <w:rFonts w:ascii="Baskerville Old Face" w:hAnsi="Baskerville Old Face"/>
            <w:noProof/>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BF7EDE" w14:textId="77777777" w:rsidR="009432A8" w:rsidRDefault="009432A8" w:rsidP="00504068">
      <w:pPr>
        <w:spacing w:after="0" w:line="240" w:lineRule="auto"/>
      </w:pPr>
      <w:r>
        <w:separator/>
      </w:r>
    </w:p>
  </w:footnote>
  <w:footnote w:type="continuationSeparator" w:id="0">
    <w:p w14:paraId="76E28A85" w14:textId="77777777" w:rsidR="009432A8" w:rsidRDefault="009432A8" w:rsidP="005040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8A667E"/>
    <w:multiLevelType w:val="hybridMultilevel"/>
    <w:tmpl w:val="38E298C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7F74E8F"/>
    <w:multiLevelType w:val="multilevel"/>
    <w:tmpl w:val="08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3BBA07DE"/>
    <w:multiLevelType w:val="multilevel"/>
    <w:tmpl w:val="E39EE22C"/>
    <w:lvl w:ilvl="0">
      <w:start w:val="1"/>
      <w:numFmt w:val="decimal"/>
      <w:pStyle w:val="appendixtitle"/>
      <w:lvlText w:val="Appendix %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 w15:restartNumberingAfterBreak="0">
    <w:nsid w:val="41FF1078"/>
    <w:multiLevelType w:val="hybridMultilevel"/>
    <w:tmpl w:val="F5F0994C"/>
    <w:lvl w:ilvl="0" w:tplc="9274DC24">
      <w:numFmt w:val="bullet"/>
      <w:lvlText w:val="-"/>
      <w:lvlJc w:val="left"/>
      <w:pPr>
        <w:ind w:left="720" w:hanging="360"/>
      </w:pPr>
      <w:rPr>
        <w:rFonts w:ascii="Franklin Gothic Book" w:eastAsiaTheme="minorHAnsi" w:hAnsi="Franklin Gothic Book"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2332FE8"/>
    <w:multiLevelType w:val="hybridMultilevel"/>
    <w:tmpl w:val="E6DACB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F62751D"/>
    <w:multiLevelType w:val="multilevel"/>
    <w:tmpl w:val="64BE2B8A"/>
    <w:lvl w:ilvl="0">
      <w:start w:val="1"/>
      <w:numFmt w:val="decimal"/>
      <w:pStyle w:val="Heading1"/>
      <w:lvlText w:val="Chapter %1:"/>
      <w:lvlJc w:val="left"/>
      <w:pPr>
        <w:ind w:left="1000"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3131"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63EB05FB"/>
    <w:multiLevelType w:val="hybridMultilevel"/>
    <w:tmpl w:val="1DD61D1E"/>
    <w:lvl w:ilvl="0" w:tplc="1278E6FE">
      <w:numFmt w:val="bullet"/>
      <w:lvlText w:val="-"/>
      <w:lvlJc w:val="left"/>
      <w:pPr>
        <w:ind w:left="720" w:hanging="360"/>
      </w:pPr>
      <w:rPr>
        <w:rFonts w:ascii="Franklin Gothic Book" w:eastAsiaTheme="minorHAnsi" w:hAnsi="Franklin Gothic Book"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9C200D4"/>
    <w:multiLevelType w:val="hybridMultilevel"/>
    <w:tmpl w:val="74D0DFE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CD120CE"/>
    <w:multiLevelType w:val="hybridMultilevel"/>
    <w:tmpl w:val="7AFA5B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0"/>
  </w:num>
  <w:num w:numId="6">
    <w:abstractNumId w:val="8"/>
  </w:num>
  <w:num w:numId="7">
    <w:abstractNumId w:val="4"/>
  </w:num>
  <w:num w:numId="8">
    <w:abstractNumId w:val="3"/>
  </w:num>
  <w:num w:numId="9">
    <w:abstractNumId w:val="6"/>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mirrorMargins/>
  <w:hideSpellingErrors/>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2F12"/>
    <w:rsid w:val="00000042"/>
    <w:rsid w:val="00001B91"/>
    <w:rsid w:val="00003861"/>
    <w:rsid w:val="000038B3"/>
    <w:rsid w:val="00003BCA"/>
    <w:rsid w:val="000041A6"/>
    <w:rsid w:val="000056A0"/>
    <w:rsid w:val="00005C89"/>
    <w:rsid w:val="00005CF5"/>
    <w:rsid w:val="000060F1"/>
    <w:rsid w:val="00006B27"/>
    <w:rsid w:val="00010749"/>
    <w:rsid w:val="0001145F"/>
    <w:rsid w:val="000124AA"/>
    <w:rsid w:val="00012B77"/>
    <w:rsid w:val="0001377A"/>
    <w:rsid w:val="00013ABE"/>
    <w:rsid w:val="00013D7D"/>
    <w:rsid w:val="00013EB5"/>
    <w:rsid w:val="00014ACA"/>
    <w:rsid w:val="00016190"/>
    <w:rsid w:val="0001692A"/>
    <w:rsid w:val="00016D4D"/>
    <w:rsid w:val="0002087D"/>
    <w:rsid w:val="000224FD"/>
    <w:rsid w:val="00022DFA"/>
    <w:rsid w:val="000235AD"/>
    <w:rsid w:val="00025B2A"/>
    <w:rsid w:val="00026A40"/>
    <w:rsid w:val="000279CF"/>
    <w:rsid w:val="000311E6"/>
    <w:rsid w:val="00032231"/>
    <w:rsid w:val="00032985"/>
    <w:rsid w:val="00033BA0"/>
    <w:rsid w:val="000345EA"/>
    <w:rsid w:val="00034935"/>
    <w:rsid w:val="000362F6"/>
    <w:rsid w:val="000363AE"/>
    <w:rsid w:val="00037302"/>
    <w:rsid w:val="0004021E"/>
    <w:rsid w:val="0004035F"/>
    <w:rsid w:val="0004108F"/>
    <w:rsid w:val="00042216"/>
    <w:rsid w:val="00043440"/>
    <w:rsid w:val="00043ED2"/>
    <w:rsid w:val="00044A11"/>
    <w:rsid w:val="0004576B"/>
    <w:rsid w:val="00046F7C"/>
    <w:rsid w:val="000504E0"/>
    <w:rsid w:val="00050CEC"/>
    <w:rsid w:val="00050EC1"/>
    <w:rsid w:val="00051139"/>
    <w:rsid w:val="000518C2"/>
    <w:rsid w:val="00051CC4"/>
    <w:rsid w:val="00051E9B"/>
    <w:rsid w:val="00052252"/>
    <w:rsid w:val="00052988"/>
    <w:rsid w:val="00052B88"/>
    <w:rsid w:val="000531AB"/>
    <w:rsid w:val="00053B5C"/>
    <w:rsid w:val="00053E3C"/>
    <w:rsid w:val="00053EE4"/>
    <w:rsid w:val="00054A7A"/>
    <w:rsid w:val="000604ED"/>
    <w:rsid w:val="00060602"/>
    <w:rsid w:val="00061A0B"/>
    <w:rsid w:val="000624B1"/>
    <w:rsid w:val="00062B07"/>
    <w:rsid w:val="00063FF9"/>
    <w:rsid w:val="00064EA8"/>
    <w:rsid w:val="00065040"/>
    <w:rsid w:val="00066A7E"/>
    <w:rsid w:val="000671C9"/>
    <w:rsid w:val="0006739D"/>
    <w:rsid w:val="0006766F"/>
    <w:rsid w:val="00067DF1"/>
    <w:rsid w:val="00070C99"/>
    <w:rsid w:val="00070E82"/>
    <w:rsid w:val="00071380"/>
    <w:rsid w:val="000723EB"/>
    <w:rsid w:val="00072731"/>
    <w:rsid w:val="0007273E"/>
    <w:rsid w:val="00073493"/>
    <w:rsid w:val="00074843"/>
    <w:rsid w:val="000749F9"/>
    <w:rsid w:val="00075738"/>
    <w:rsid w:val="00077895"/>
    <w:rsid w:val="0008127E"/>
    <w:rsid w:val="000823ED"/>
    <w:rsid w:val="00082431"/>
    <w:rsid w:val="00082894"/>
    <w:rsid w:val="00082F59"/>
    <w:rsid w:val="00083395"/>
    <w:rsid w:val="00083456"/>
    <w:rsid w:val="00083ACA"/>
    <w:rsid w:val="0008428C"/>
    <w:rsid w:val="00084EC9"/>
    <w:rsid w:val="00084F43"/>
    <w:rsid w:val="0008501C"/>
    <w:rsid w:val="0008549E"/>
    <w:rsid w:val="000855AC"/>
    <w:rsid w:val="0008661C"/>
    <w:rsid w:val="00090CDE"/>
    <w:rsid w:val="00090E75"/>
    <w:rsid w:val="00091112"/>
    <w:rsid w:val="00091FDD"/>
    <w:rsid w:val="00092995"/>
    <w:rsid w:val="00092BA2"/>
    <w:rsid w:val="000950BC"/>
    <w:rsid w:val="0009567A"/>
    <w:rsid w:val="00095FF9"/>
    <w:rsid w:val="00096F5C"/>
    <w:rsid w:val="000A04F8"/>
    <w:rsid w:val="000A20E9"/>
    <w:rsid w:val="000A2CF7"/>
    <w:rsid w:val="000A3296"/>
    <w:rsid w:val="000A4E74"/>
    <w:rsid w:val="000A5040"/>
    <w:rsid w:val="000A6C4F"/>
    <w:rsid w:val="000A6EC3"/>
    <w:rsid w:val="000A7414"/>
    <w:rsid w:val="000A74CC"/>
    <w:rsid w:val="000A7C19"/>
    <w:rsid w:val="000B16DC"/>
    <w:rsid w:val="000B2269"/>
    <w:rsid w:val="000B30FB"/>
    <w:rsid w:val="000B36BF"/>
    <w:rsid w:val="000B44DE"/>
    <w:rsid w:val="000B49C4"/>
    <w:rsid w:val="000C0330"/>
    <w:rsid w:val="000C083C"/>
    <w:rsid w:val="000C0990"/>
    <w:rsid w:val="000C2448"/>
    <w:rsid w:val="000C3542"/>
    <w:rsid w:val="000C3B40"/>
    <w:rsid w:val="000C411E"/>
    <w:rsid w:val="000C4C16"/>
    <w:rsid w:val="000C4E0D"/>
    <w:rsid w:val="000C520D"/>
    <w:rsid w:val="000C5AF2"/>
    <w:rsid w:val="000C5EB2"/>
    <w:rsid w:val="000C702F"/>
    <w:rsid w:val="000D072F"/>
    <w:rsid w:val="000D0E5C"/>
    <w:rsid w:val="000D0E6A"/>
    <w:rsid w:val="000D213D"/>
    <w:rsid w:val="000D36FD"/>
    <w:rsid w:val="000D3E1E"/>
    <w:rsid w:val="000D3F52"/>
    <w:rsid w:val="000D48D9"/>
    <w:rsid w:val="000D4960"/>
    <w:rsid w:val="000D5782"/>
    <w:rsid w:val="000D63A0"/>
    <w:rsid w:val="000D6D4C"/>
    <w:rsid w:val="000D7C88"/>
    <w:rsid w:val="000E0E32"/>
    <w:rsid w:val="000E2550"/>
    <w:rsid w:val="000E29EB"/>
    <w:rsid w:val="000E2A94"/>
    <w:rsid w:val="000E376B"/>
    <w:rsid w:val="000E3A03"/>
    <w:rsid w:val="000E5BE3"/>
    <w:rsid w:val="000E7AAE"/>
    <w:rsid w:val="000F008D"/>
    <w:rsid w:val="000F0588"/>
    <w:rsid w:val="000F05EA"/>
    <w:rsid w:val="000F1981"/>
    <w:rsid w:val="000F1CF5"/>
    <w:rsid w:val="000F33A4"/>
    <w:rsid w:val="000F4760"/>
    <w:rsid w:val="000F6484"/>
    <w:rsid w:val="000F6913"/>
    <w:rsid w:val="000F6E90"/>
    <w:rsid w:val="000F711C"/>
    <w:rsid w:val="000F7CBB"/>
    <w:rsid w:val="0010006B"/>
    <w:rsid w:val="00100163"/>
    <w:rsid w:val="00100E31"/>
    <w:rsid w:val="001019CD"/>
    <w:rsid w:val="00102E52"/>
    <w:rsid w:val="00103C99"/>
    <w:rsid w:val="001043DB"/>
    <w:rsid w:val="001049CC"/>
    <w:rsid w:val="00104D6E"/>
    <w:rsid w:val="00105271"/>
    <w:rsid w:val="00107391"/>
    <w:rsid w:val="00107648"/>
    <w:rsid w:val="001107DE"/>
    <w:rsid w:val="001125DA"/>
    <w:rsid w:val="00112EA2"/>
    <w:rsid w:val="0011317F"/>
    <w:rsid w:val="001133EE"/>
    <w:rsid w:val="0011469E"/>
    <w:rsid w:val="00115209"/>
    <w:rsid w:val="001167C6"/>
    <w:rsid w:val="00117040"/>
    <w:rsid w:val="001174B0"/>
    <w:rsid w:val="00120A22"/>
    <w:rsid w:val="00120E58"/>
    <w:rsid w:val="00122133"/>
    <w:rsid w:val="00122903"/>
    <w:rsid w:val="00122C92"/>
    <w:rsid w:val="001242B4"/>
    <w:rsid w:val="001243FE"/>
    <w:rsid w:val="001251DA"/>
    <w:rsid w:val="00126408"/>
    <w:rsid w:val="00130C9E"/>
    <w:rsid w:val="00131985"/>
    <w:rsid w:val="00132A53"/>
    <w:rsid w:val="00133966"/>
    <w:rsid w:val="00134D57"/>
    <w:rsid w:val="00136418"/>
    <w:rsid w:val="001369C1"/>
    <w:rsid w:val="00136CBB"/>
    <w:rsid w:val="001401AE"/>
    <w:rsid w:val="00141710"/>
    <w:rsid w:val="00141863"/>
    <w:rsid w:val="001424A0"/>
    <w:rsid w:val="00142A65"/>
    <w:rsid w:val="0014337A"/>
    <w:rsid w:val="001435BA"/>
    <w:rsid w:val="00144710"/>
    <w:rsid w:val="00144A6A"/>
    <w:rsid w:val="001458DB"/>
    <w:rsid w:val="00145B44"/>
    <w:rsid w:val="00145F3D"/>
    <w:rsid w:val="00146C09"/>
    <w:rsid w:val="00147552"/>
    <w:rsid w:val="00150BB3"/>
    <w:rsid w:val="00153FA8"/>
    <w:rsid w:val="00154139"/>
    <w:rsid w:val="00154FD4"/>
    <w:rsid w:val="00156468"/>
    <w:rsid w:val="0015648B"/>
    <w:rsid w:val="0016044E"/>
    <w:rsid w:val="001608A9"/>
    <w:rsid w:val="001615B7"/>
    <w:rsid w:val="00163B00"/>
    <w:rsid w:val="00163E06"/>
    <w:rsid w:val="00164390"/>
    <w:rsid w:val="00164905"/>
    <w:rsid w:val="00164985"/>
    <w:rsid w:val="00164EC5"/>
    <w:rsid w:val="00164FCB"/>
    <w:rsid w:val="00165089"/>
    <w:rsid w:val="0016527F"/>
    <w:rsid w:val="0016599C"/>
    <w:rsid w:val="00167109"/>
    <w:rsid w:val="00167C2C"/>
    <w:rsid w:val="00170CCB"/>
    <w:rsid w:val="00171258"/>
    <w:rsid w:val="001715B5"/>
    <w:rsid w:val="0017184E"/>
    <w:rsid w:val="00173412"/>
    <w:rsid w:val="001741FE"/>
    <w:rsid w:val="0017449B"/>
    <w:rsid w:val="00174814"/>
    <w:rsid w:val="00174922"/>
    <w:rsid w:val="00174E28"/>
    <w:rsid w:val="00177487"/>
    <w:rsid w:val="00177770"/>
    <w:rsid w:val="00177865"/>
    <w:rsid w:val="00177E66"/>
    <w:rsid w:val="00180213"/>
    <w:rsid w:val="0018021E"/>
    <w:rsid w:val="0018064F"/>
    <w:rsid w:val="00180BD0"/>
    <w:rsid w:val="0018143B"/>
    <w:rsid w:val="00182BC2"/>
    <w:rsid w:val="0018303F"/>
    <w:rsid w:val="00183750"/>
    <w:rsid w:val="00184634"/>
    <w:rsid w:val="00185052"/>
    <w:rsid w:val="0018654B"/>
    <w:rsid w:val="001869A2"/>
    <w:rsid w:val="00186B18"/>
    <w:rsid w:val="0019217D"/>
    <w:rsid w:val="00193EA9"/>
    <w:rsid w:val="001960D7"/>
    <w:rsid w:val="00196237"/>
    <w:rsid w:val="00196FEB"/>
    <w:rsid w:val="00197BD8"/>
    <w:rsid w:val="00197F4E"/>
    <w:rsid w:val="001A1122"/>
    <w:rsid w:val="001A1644"/>
    <w:rsid w:val="001A1B24"/>
    <w:rsid w:val="001A2788"/>
    <w:rsid w:val="001A2EC1"/>
    <w:rsid w:val="001A3162"/>
    <w:rsid w:val="001A3AAB"/>
    <w:rsid w:val="001A418E"/>
    <w:rsid w:val="001A423D"/>
    <w:rsid w:val="001A45B7"/>
    <w:rsid w:val="001A4F27"/>
    <w:rsid w:val="001A64C7"/>
    <w:rsid w:val="001A662D"/>
    <w:rsid w:val="001A7117"/>
    <w:rsid w:val="001A713C"/>
    <w:rsid w:val="001A7BB0"/>
    <w:rsid w:val="001A7FC2"/>
    <w:rsid w:val="001B00F0"/>
    <w:rsid w:val="001B035C"/>
    <w:rsid w:val="001B10C0"/>
    <w:rsid w:val="001B1E8C"/>
    <w:rsid w:val="001B206F"/>
    <w:rsid w:val="001B2A08"/>
    <w:rsid w:val="001B2C86"/>
    <w:rsid w:val="001B4326"/>
    <w:rsid w:val="001B47EE"/>
    <w:rsid w:val="001B57A1"/>
    <w:rsid w:val="001B719B"/>
    <w:rsid w:val="001B79D3"/>
    <w:rsid w:val="001C19A9"/>
    <w:rsid w:val="001C1B81"/>
    <w:rsid w:val="001C3A98"/>
    <w:rsid w:val="001C6C37"/>
    <w:rsid w:val="001C7923"/>
    <w:rsid w:val="001D097B"/>
    <w:rsid w:val="001D5389"/>
    <w:rsid w:val="001D641D"/>
    <w:rsid w:val="001E1166"/>
    <w:rsid w:val="001E3274"/>
    <w:rsid w:val="001E4B3E"/>
    <w:rsid w:val="001E4FBE"/>
    <w:rsid w:val="001E6BFD"/>
    <w:rsid w:val="001F12F6"/>
    <w:rsid w:val="001F1B22"/>
    <w:rsid w:val="001F22FF"/>
    <w:rsid w:val="001F35B0"/>
    <w:rsid w:val="001F37AB"/>
    <w:rsid w:val="001F38E6"/>
    <w:rsid w:val="001F3A86"/>
    <w:rsid w:val="001F3C44"/>
    <w:rsid w:val="001F3E4B"/>
    <w:rsid w:val="001F41CA"/>
    <w:rsid w:val="001F4ECE"/>
    <w:rsid w:val="001F513D"/>
    <w:rsid w:val="001F5362"/>
    <w:rsid w:val="001F5411"/>
    <w:rsid w:val="001F5B59"/>
    <w:rsid w:val="001F79E5"/>
    <w:rsid w:val="00200663"/>
    <w:rsid w:val="00201657"/>
    <w:rsid w:val="00201C5B"/>
    <w:rsid w:val="00203248"/>
    <w:rsid w:val="002035D0"/>
    <w:rsid w:val="00203C7B"/>
    <w:rsid w:val="00204562"/>
    <w:rsid w:val="0020512F"/>
    <w:rsid w:val="00205EED"/>
    <w:rsid w:val="002078CE"/>
    <w:rsid w:val="00210483"/>
    <w:rsid w:val="00210614"/>
    <w:rsid w:val="00211DB5"/>
    <w:rsid w:val="00212768"/>
    <w:rsid w:val="00212A99"/>
    <w:rsid w:val="002142D3"/>
    <w:rsid w:val="002167F1"/>
    <w:rsid w:val="002169D2"/>
    <w:rsid w:val="002201F5"/>
    <w:rsid w:val="002202E5"/>
    <w:rsid w:val="002242E0"/>
    <w:rsid w:val="00225324"/>
    <w:rsid w:val="00225365"/>
    <w:rsid w:val="002258DF"/>
    <w:rsid w:val="00225A12"/>
    <w:rsid w:val="00227C99"/>
    <w:rsid w:val="00230173"/>
    <w:rsid w:val="002311C3"/>
    <w:rsid w:val="00231CCC"/>
    <w:rsid w:val="00231E50"/>
    <w:rsid w:val="00232234"/>
    <w:rsid w:val="00234A62"/>
    <w:rsid w:val="002354B4"/>
    <w:rsid w:val="00236037"/>
    <w:rsid w:val="00236095"/>
    <w:rsid w:val="00236735"/>
    <w:rsid w:val="00237E60"/>
    <w:rsid w:val="00240A02"/>
    <w:rsid w:val="00240DD1"/>
    <w:rsid w:val="00241812"/>
    <w:rsid w:val="00241BDF"/>
    <w:rsid w:val="00241ECC"/>
    <w:rsid w:val="00242830"/>
    <w:rsid w:val="002443EB"/>
    <w:rsid w:val="00244D24"/>
    <w:rsid w:val="00244F90"/>
    <w:rsid w:val="00245AEB"/>
    <w:rsid w:val="00246052"/>
    <w:rsid w:val="0024619F"/>
    <w:rsid w:val="0024621C"/>
    <w:rsid w:val="00247C58"/>
    <w:rsid w:val="00247E11"/>
    <w:rsid w:val="002506CD"/>
    <w:rsid w:val="002509F9"/>
    <w:rsid w:val="00252348"/>
    <w:rsid w:val="00252469"/>
    <w:rsid w:val="00252E11"/>
    <w:rsid w:val="0025366B"/>
    <w:rsid w:val="00253973"/>
    <w:rsid w:val="0025410D"/>
    <w:rsid w:val="00254E78"/>
    <w:rsid w:val="002551D8"/>
    <w:rsid w:val="002568CF"/>
    <w:rsid w:val="00256A6C"/>
    <w:rsid w:val="0025774C"/>
    <w:rsid w:val="00257BB5"/>
    <w:rsid w:val="00261149"/>
    <w:rsid w:val="00261420"/>
    <w:rsid w:val="00261B68"/>
    <w:rsid w:val="0026215B"/>
    <w:rsid w:val="002622A3"/>
    <w:rsid w:val="00262A9E"/>
    <w:rsid w:val="00263235"/>
    <w:rsid w:val="0026381C"/>
    <w:rsid w:val="0026404E"/>
    <w:rsid w:val="0026410B"/>
    <w:rsid w:val="002643AA"/>
    <w:rsid w:val="00264931"/>
    <w:rsid w:val="002653F8"/>
    <w:rsid w:val="002675DA"/>
    <w:rsid w:val="00267945"/>
    <w:rsid w:val="00267C6E"/>
    <w:rsid w:val="002705D3"/>
    <w:rsid w:val="0027293A"/>
    <w:rsid w:val="00272D45"/>
    <w:rsid w:val="00274593"/>
    <w:rsid w:val="00274F0A"/>
    <w:rsid w:val="00274F67"/>
    <w:rsid w:val="0027616B"/>
    <w:rsid w:val="0028007B"/>
    <w:rsid w:val="00280F68"/>
    <w:rsid w:val="002833F6"/>
    <w:rsid w:val="00283921"/>
    <w:rsid w:val="00285FE5"/>
    <w:rsid w:val="00287377"/>
    <w:rsid w:val="00287775"/>
    <w:rsid w:val="00290877"/>
    <w:rsid w:val="00290BEE"/>
    <w:rsid w:val="00290DE3"/>
    <w:rsid w:val="00290E63"/>
    <w:rsid w:val="0029231E"/>
    <w:rsid w:val="00292708"/>
    <w:rsid w:val="00292816"/>
    <w:rsid w:val="00293230"/>
    <w:rsid w:val="00294FBD"/>
    <w:rsid w:val="002953C1"/>
    <w:rsid w:val="00297307"/>
    <w:rsid w:val="00297788"/>
    <w:rsid w:val="002A100B"/>
    <w:rsid w:val="002A35E7"/>
    <w:rsid w:val="002A444A"/>
    <w:rsid w:val="002A4C6E"/>
    <w:rsid w:val="002A4D93"/>
    <w:rsid w:val="002A634D"/>
    <w:rsid w:val="002A73FA"/>
    <w:rsid w:val="002B0B03"/>
    <w:rsid w:val="002B151F"/>
    <w:rsid w:val="002B23F8"/>
    <w:rsid w:val="002B3ED6"/>
    <w:rsid w:val="002B3FFC"/>
    <w:rsid w:val="002B42DA"/>
    <w:rsid w:val="002B5421"/>
    <w:rsid w:val="002B55AA"/>
    <w:rsid w:val="002B5AA6"/>
    <w:rsid w:val="002C0B93"/>
    <w:rsid w:val="002C2298"/>
    <w:rsid w:val="002C24F6"/>
    <w:rsid w:val="002C3861"/>
    <w:rsid w:val="002C3DAF"/>
    <w:rsid w:val="002C5409"/>
    <w:rsid w:val="002C549C"/>
    <w:rsid w:val="002C5DF9"/>
    <w:rsid w:val="002C6558"/>
    <w:rsid w:val="002C6726"/>
    <w:rsid w:val="002C6A7E"/>
    <w:rsid w:val="002C6C35"/>
    <w:rsid w:val="002D04E2"/>
    <w:rsid w:val="002D1187"/>
    <w:rsid w:val="002D1F84"/>
    <w:rsid w:val="002D2185"/>
    <w:rsid w:val="002D4D9A"/>
    <w:rsid w:val="002D4EF1"/>
    <w:rsid w:val="002D6464"/>
    <w:rsid w:val="002D76DD"/>
    <w:rsid w:val="002D77B7"/>
    <w:rsid w:val="002E1118"/>
    <w:rsid w:val="002E1441"/>
    <w:rsid w:val="002E1CE0"/>
    <w:rsid w:val="002E283C"/>
    <w:rsid w:val="002E28BE"/>
    <w:rsid w:val="002E3B11"/>
    <w:rsid w:val="002E43E8"/>
    <w:rsid w:val="002E4846"/>
    <w:rsid w:val="002E5AA2"/>
    <w:rsid w:val="002E6369"/>
    <w:rsid w:val="002E67AA"/>
    <w:rsid w:val="002E6B90"/>
    <w:rsid w:val="002E6F1F"/>
    <w:rsid w:val="002E6FF0"/>
    <w:rsid w:val="002E7A54"/>
    <w:rsid w:val="002F0F9F"/>
    <w:rsid w:val="002F16FD"/>
    <w:rsid w:val="002F2F31"/>
    <w:rsid w:val="002F62DA"/>
    <w:rsid w:val="00300060"/>
    <w:rsid w:val="00300246"/>
    <w:rsid w:val="003008EF"/>
    <w:rsid w:val="00301895"/>
    <w:rsid w:val="0030320E"/>
    <w:rsid w:val="0030323C"/>
    <w:rsid w:val="003035E1"/>
    <w:rsid w:val="003037A3"/>
    <w:rsid w:val="00303F07"/>
    <w:rsid w:val="00304C1F"/>
    <w:rsid w:val="00306217"/>
    <w:rsid w:val="00307B6C"/>
    <w:rsid w:val="00307DCC"/>
    <w:rsid w:val="00310118"/>
    <w:rsid w:val="00312EA3"/>
    <w:rsid w:val="00314E3A"/>
    <w:rsid w:val="003155DB"/>
    <w:rsid w:val="003158D1"/>
    <w:rsid w:val="00315AC3"/>
    <w:rsid w:val="00316AF4"/>
    <w:rsid w:val="00322FA5"/>
    <w:rsid w:val="00323277"/>
    <w:rsid w:val="00324821"/>
    <w:rsid w:val="00331F15"/>
    <w:rsid w:val="00332F93"/>
    <w:rsid w:val="003331B4"/>
    <w:rsid w:val="00335341"/>
    <w:rsid w:val="003353B4"/>
    <w:rsid w:val="00336C0D"/>
    <w:rsid w:val="00336E76"/>
    <w:rsid w:val="00341205"/>
    <w:rsid w:val="00341352"/>
    <w:rsid w:val="00342630"/>
    <w:rsid w:val="00343031"/>
    <w:rsid w:val="003438B9"/>
    <w:rsid w:val="00343A2D"/>
    <w:rsid w:val="00344305"/>
    <w:rsid w:val="003446CE"/>
    <w:rsid w:val="00345649"/>
    <w:rsid w:val="00346B07"/>
    <w:rsid w:val="00346DB7"/>
    <w:rsid w:val="00347695"/>
    <w:rsid w:val="003476F1"/>
    <w:rsid w:val="0034777D"/>
    <w:rsid w:val="003516CA"/>
    <w:rsid w:val="00352ECB"/>
    <w:rsid w:val="0035387B"/>
    <w:rsid w:val="00353ABC"/>
    <w:rsid w:val="00354FBD"/>
    <w:rsid w:val="003551B7"/>
    <w:rsid w:val="00355B1F"/>
    <w:rsid w:val="00356425"/>
    <w:rsid w:val="00357677"/>
    <w:rsid w:val="0035771B"/>
    <w:rsid w:val="00357BC9"/>
    <w:rsid w:val="00360195"/>
    <w:rsid w:val="00361C37"/>
    <w:rsid w:val="00361CE5"/>
    <w:rsid w:val="00362F1E"/>
    <w:rsid w:val="003641BA"/>
    <w:rsid w:val="00366FF7"/>
    <w:rsid w:val="0037040A"/>
    <w:rsid w:val="00370AAF"/>
    <w:rsid w:val="003725EA"/>
    <w:rsid w:val="003734B0"/>
    <w:rsid w:val="00373D7F"/>
    <w:rsid w:val="00374665"/>
    <w:rsid w:val="00376CF5"/>
    <w:rsid w:val="00380E93"/>
    <w:rsid w:val="00381136"/>
    <w:rsid w:val="0038262F"/>
    <w:rsid w:val="003826FF"/>
    <w:rsid w:val="00382C62"/>
    <w:rsid w:val="00382EE2"/>
    <w:rsid w:val="003839D0"/>
    <w:rsid w:val="00383D23"/>
    <w:rsid w:val="00383D82"/>
    <w:rsid w:val="00385C1B"/>
    <w:rsid w:val="003867EC"/>
    <w:rsid w:val="00387240"/>
    <w:rsid w:val="00387253"/>
    <w:rsid w:val="003873E1"/>
    <w:rsid w:val="00387FD8"/>
    <w:rsid w:val="003909D7"/>
    <w:rsid w:val="00391005"/>
    <w:rsid w:val="003934DE"/>
    <w:rsid w:val="00394889"/>
    <w:rsid w:val="00395D80"/>
    <w:rsid w:val="00397B9B"/>
    <w:rsid w:val="00397D20"/>
    <w:rsid w:val="003A1828"/>
    <w:rsid w:val="003A2411"/>
    <w:rsid w:val="003A2573"/>
    <w:rsid w:val="003A2587"/>
    <w:rsid w:val="003A2766"/>
    <w:rsid w:val="003A2837"/>
    <w:rsid w:val="003A3170"/>
    <w:rsid w:val="003A3EAD"/>
    <w:rsid w:val="003A40C2"/>
    <w:rsid w:val="003A4479"/>
    <w:rsid w:val="003A4BF9"/>
    <w:rsid w:val="003A53D4"/>
    <w:rsid w:val="003A58BB"/>
    <w:rsid w:val="003A6ADF"/>
    <w:rsid w:val="003B1D97"/>
    <w:rsid w:val="003B2501"/>
    <w:rsid w:val="003B2CB2"/>
    <w:rsid w:val="003B2D9C"/>
    <w:rsid w:val="003B4B7A"/>
    <w:rsid w:val="003B5021"/>
    <w:rsid w:val="003B67AC"/>
    <w:rsid w:val="003B77DA"/>
    <w:rsid w:val="003B7EE2"/>
    <w:rsid w:val="003C17F1"/>
    <w:rsid w:val="003C2320"/>
    <w:rsid w:val="003C26C8"/>
    <w:rsid w:val="003C2764"/>
    <w:rsid w:val="003C38E9"/>
    <w:rsid w:val="003C479E"/>
    <w:rsid w:val="003C4FF2"/>
    <w:rsid w:val="003C52C0"/>
    <w:rsid w:val="003C57E4"/>
    <w:rsid w:val="003C5D2F"/>
    <w:rsid w:val="003C6B45"/>
    <w:rsid w:val="003D006C"/>
    <w:rsid w:val="003D07C3"/>
    <w:rsid w:val="003D0BF2"/>
    <w:rsid w:val="003D0F49"/>
    <w:rsid w:val="003D1B35"/>
    <w:rsid w:val="003D1BA2"/>
    <w:rsid w:val="003D1F12"/>
    <w:rsid w:val="003D26C8"/>
    <w:rsid w:val="003D2F66"/>
    <w:rsid w:val="003D3212"/>
    <w:rsid w:val="003D4A28"/>
    <w:rsid w:val="003D4C6F"/>
    <w:rsid w:val="003D4F29"/>
    <w:rsid w:val="003D53A7"/>
    <w:rsid w:val="003D6A60"/>
    <w:rsid w:val="003D76F3"/>
    <w:rsid w:val="003E1ACD"/>
    <w:rsid w:val="003E2630"/>
    <w:rsid w:val="003E4C77"/>
    <w:rsid w:val="003E6F1A"/>
    <w:rsid w:val="003E703D"/>
    <w:rsid w:val="003F0184"/>
    <w:rsid w:val="003F09D5"/>
    <w:rsid w:val="003F1D92"/>
    <w:rsid w:val="003F42BC"/>
    <w:rsid w:val="003F5F27"/>
    <w:rsid w:val="003F629C"/>
    <w:rsid w:val="003F6B59"/>
    <w:rsid w:val="003F761A"/>
    <w:rsid w:val="003F7CCC"/>
    <w:rsid w:val="00400067"/>
    <w:rsid w:val="004006BC"/>
    <w:rsid w:val="004006D0"/>
    <w:rsid w:val="00402F12"/>
    <w:rsid w:val="00404692"/>
    <w:rsid w:val="00404725"/>
    <w:rsid w:val="00404982"/>
    <w:rsid w:val="00405E44"/>
    <w:rsid w:val="00406F0F"/>
    <w:rsid w:val="00407A6A"/>
    <w:rsid w:val="00407F97"/>
    <w:rsid w:val="00407FDD"/>
    <w:rsid w:val="00410069"/>
    <w:rsid w:val="00410B00"/>
    <w:rsid w:val="00411A53"/>
    <w:rsid w:val="00411C12"/>
    <w:rsid w:val="0041259B"/>
    <w:rsid w:val="00416EE3"/>
    <w:rsid w:val="004177A5"/>
    <w:rsid w:val="00417D77"/>
    <w:rsid w:val="0042185F"/>
    <w:rsid w:val="00422336"/>
    <w:rsid w:val="004248F2"/>
    <w:rsid w:val="00424B16"/>
    <w:rsid w:val="0042546B"/>
    <w:rsid w:val="00425D59"/>
    <w:rsid w:val="00426094"/>
    <w:rsid w:val="0042631B"/>
    <w:rsid w:val="00427373"/>
    <w:rsid w:val="00427F9A"/>
    <w:rsid w:val="00431215"/>
    <w:rsid w:val="00431450"/>
    <w:rsid w:val="004317DA"/>
    <w:rsid w:val="004319F3"/>
    <w:rsid w:val="004330E5"/>
    <w:rsid w:val="004333B1"/>
    <w:rsid w:val="00434D1D"/>
    <w:rsid w:val="00434EA1"/>
    <w:rsid w:val="00435046"/>
    <w:rsid w:val="0043528E"/>
    <w:rsid w:val="004353F7"/>
    <w:rsid w:val="00436890"/>
    <w:rsid w:val="00440166"/>
    <w:rsid w:val="004413BB"/>
    <w:rsid w:val="00441F11"/>
    <w:rsid w:val="004439CB"/>
    <w:rsid w:val="00444F2B"/>
    <w:rsid w:val="00446219"/>
    <w:rsid w:val="00446614"/>
    <w:rsid w:val="0045046A"/>
    <w:rsid w:val="00450E6A"/>
    <w:rsid w:val="00455D77"/>
    <w:rsid w:val="0045617B"/>
    <w:rsid w:val="00456B21"/>
    <w:rsid w:val="00457943"/>
    <w:rsid w:val="00457FD7"/>
    <w:rsid w:val="004615E5"/>
    <w:rsid w:val="00461BF1"/>
    <w:rsid w:val="00461C0C"/>
    <w:rsid w:val="004620D6"/>
    <w:rsid w:val="0046286E"/>
    <w:rsid w:val="00462917"/>
    <w:rsid w:val="00464412"/>
    <w:rsid w:val="0046460A"/>
    <w:rsid w:val="00464AC7"/>
    <w:rsid w:val="00464C56"/>
    <w:rsid w:val="00465374"/>
    <w:rsid w:val="0046545A"/>
    <w:rsid w:val="0046723B"/>
    <w:rsid w:val="00467853"/>
    <w:rsid w:val="00467ACD"/>
    <w:rsid w:val="00470E11"/>
    <w:rsid w:val="004710CA"/>
    <w:rsid w:val="0047272B"/>
    <w:rsid w:val="004727BF"/>
    <w:rsid w:val="004729AB"/>
    <w:rsid w:val="00474630"/>
    <w:rsid w:val="0047487D"/>
    <w:rsid w:val="004756A0"/>
    <w:rsid w:val="00476379"/>
    <w:rsid w:val="004773DB"/>
    <w:rsid w:val="0048111C"/>
    <w:rsid w:val="004814F6"/>
    <w:rsid w:val="00482646"/>
    <w:rsid w:val="004840DB"/>
    <w:rsid w:val="0048490A"/>
    <w:rsid w:val="0048495E"/>
    <w:rsid w:val="00485576"/>
    <w:rsid w:val="00492A6B"/>
    <w:rsid w:val="00492FB4"/>
    <w:rsid w:val="00493FA2"/>
    <w:rsid w:val="00494B41"/>
    <w:rsid w:val="0049607E"/>
    <w:rsid w:val="00496A74"/>
    <w:rsid w:val="004978CE"/>
    <w:rsid w:val="00497F93"/>
    <w:rsid w:val="004A0292"/>
    <w:rsid w:val="004A0F38"/>
    <w:rsid w:val="004A156A"/>
    <w:rsid w:val="004A2266"/>
    <w:rsid w:val="004A265B"/>
    <w:rsid w:val="004A2F4E"/>
    <w:rsid w:val="004A39EA"/>
    <w:rsid w:val="004A3E1C"/>
    <w:rsid w:val="004A3F4C"/>
    <w:rsid w:val="004A4193"/>
    <w:rsid w:val="004A45BB"/>
    <w:rsid w:val="004A64D6"/>
    <w:rsid w:val="004A6521"/>
    <w:rsid w:val="004A6A87"/>
    <w:rsid w:val="004A6B8D"/>
    <w:rsid w:val="004A7DD1"/>
    <w:rsid w:val="004B0507"/>
    <w:rsid w:val="004B0817"/>
    <w:rsid w:val="004B148E"/>
    <w:rsid w:val="004B1DDD"/>
    <w:rsid w:val="004B2485"/>
    <w:rsid w:val="004B3794"/>
    <w:rsid w:val="004B49CD"/>
    <w:rsid w:val="004B5F91"/>
    <w:rsid w:val="004B695A"/>
    <w:rsid w:val="004B6A54"/>
    <w:rsid w:val="004B76FE"/>
    <w:rsid w:val="004C00AB"/>
    <w:rsid w:val="004C1EF9"/>
    <w:rsid w:val="004C22FA"/>
    <w:rsid w:val="004C3400"/>
    <w:rsid w:val="004C36EE"/>
    <w:rsid w:val="004C3F6F"/>
    <w:rsid w:val="004C4A07"/>
    <w:rsid w:val="004C6223"/>
    <w:rsid w:val="004C6444"/>
    <w:rsid w:val="004D06EE"/>
    <w:rsid w:val="004D08BB"/>
    <w:rsid w:val="004D12C9"/>
    <w:rsid w:val="004D1C23"/>
    <w:rsid w:val="004D23D5"/>
    <w:rsid w:val="004D2558"/>
    <w:rsid w:val="004D3809"/>
    <w:rsid w:val="004D48E9"/>
    <w:rsid w:val="004D5051"/>
    <w:rsid w:val="004D53AB"/>
    <w:rsid w:val="004D5601"/>
    <w:rsid w:val="004D5E9A"/>
    <w:rsid w:val="004D7A01"/>
    <w:rsid w:val="004D7ACC"/>
    <w:rsid w:val="004E21B9"/>
    <w:rsid w:val="004E2431"/>
    <w:rsid w:val="004E2618"/>
    <w:rsid w:val="004E2AA3"/>
    <w:rsid w:val="004E48FB"/>
    <w:rsid w:val="004E4C6A"/>
    <w:rsid w:val="004E5C2F"/>
    <w:rsid w:val="004E5D89"/>
    <w:rsid w:val="004E5DF7"/>
    <w:rsid w:val="004E5FBE"/>
    <w:rsid w:val="004E66E4"/>
    <w:rsid w:val="004F00DC"/>
    <w:rsid w:val="004F0437"/>
    <w:rsid w:val="004F0F8E"/>
    <w:rsid w:val="004F297A"/>
    <w:rsid w:val="004F2DC5"/>
    <w:rsid w:val="0050016D"/>
    <w:rsid w:val="005004FC"/>
    <w:rsid w:val="005008B5"/>
    <w:rsid w:val="0050298F"/>
    <w:rsid w:val="0050345D"/>
    <w:rsid w:val="00504068"/>
    <w:rsid w:val="00505732"/>
    <w:rsid w:val="00506674"/>
    <w:rsid w:val="00506998"/>
    <w:rsid w:val="00507315"/>
    <w:rsid w:val="00507410"/>
    <w:rsid w:val="00507860"/>
    <w:rsid w:val="005100E1"/>
    <w:rsid w:val="0051031B"/>
    <w:rsid w:val="00510803"/>
    <w:rsid w:val="00510A2E"/>
    <w:rsid w:val="00512DD2"/>
    <w:rsid w:val="00512FB9"/>
    <w:rsid w:val="00513A9C"/>
    <w:rsid w:val="00514391"/>
    <w:rsid w:val="0051509D"/>
    <w:rsid w:val="00515D1C"/>
    <w:rsid w:val="00516F96"/>
    <w:rsid w:val="00517240"/>
    <w:rsid w:val="00517D45"/>
    <w:rsid w:val="00520018"/>
    <w:rsid w:val="005216B9"/>
    <w:rsid w:val="00522F47"/>
    <w:rsid w:val="00524E44"/>
    <w:rsid w:val="00524FAB"/>
    <w:rsid w:val="00525222"/>
    <w:rsid w:val="005252D6"/>
    <w:rsid w:val="00525DAE"/>
    <w:rsid w:val="0052660B"/>
    <w:rsid w:val="00527407"/>
    <w:rsid w:val="0053173F"/>
    <w:rsid w:val="005321C7"/>
    <w:rsid w:val="00532C38"/>
    <w:rsid w:val="00533AF7"/>
    <w:rsid w:val="00534154"/>
    <w:rsid w:val="0053476D"/>
    <w:rsid w:val="00534955"/>
    <w:rsid w:val="005350DE"/>
    <w:rsid w:val="00537E1A"/>
    <w:rsid w:val="00540555"/>
    <w:rsid w:val="0054096A"/>
    <w:rsid w:val="00541832"/>
    <w:rsid w:val="00541F59"/>
    <w:rsid w:val="005420FC"/>
    <w:rsid w:val="00542768"/>
    <w:rsid w:val="0054290D"/>
    <w:rsid w:val="0054307C"/>
    <w:rsid w:val="00543288"/>
    <w:rsid w:val="00543D5B"/>
    <w:rsid w:val="005445F2"/>
    <w:rsid w:val="0054606B"/>
    <w:rsid w:val="00547116"/>
    <w:rsid w:val="0055339D"/>
    <w:rsid w:val="005547D9"/>
    <w:rsid w:val="00554884"/>
    <w:rsid w:val="00556CD1"/>
    <w:rsid w:val="005576EC"/>
    <w:rsid w:val="00557832"/>
    <w:rsid w:val="00557A9F"/>
    <w:rsid w:val="005612A4"/>
    <w:rsid w:val="005615C3"/>
    <w:rsid w:val="0056169D"/>
    <w:rsid w:val="00561F2C"/>
    <w:rsid w:val="00562CAE"/>
    <w:rsid w:val="00563124"/>
    <w:rsid w:val="005632B8"/>
    <w:rsid w:val="005655E9"/>
    <w:rsid w:val="005667B1"/>
    <w:rsid w:val="005668F7"/>
    <w:rsid w:val="00566B14"/>
    <w:rsid w:val="00570469"/>
    <w:rsid w:val="00570CE1"/>
    <w:rsid w:val="00570EFE"/>
    <w:rsid w:val="00571BCC"/>
    <w:rsid w:val="00571D9A"/>
    <w:rsid w:val="00572717"/>
    <w:rsid w:val="0057331F"/>
    <w:rsid w:val="0057373A"/>
    <w:rsid w:val="00575B57"/>
    <w:rsid w:val="00576785"/>
    <w:rsid w:val="00576D01"/>
    <w:rsid w:val="00577AC8"/>
    <w:rsid w:val="005838A3"/>
    <w:rsid w:val="0058468D"/>
    <w:rsid w:val="00584B36"/>
    <w:rsid w:val="005868AA"/>
    <w:rsid w:val="00587E66"/>
    <w:rsid w:val="00590380"/>
    <w:rsid w:val="00591895"/>
    <w:rsid w:val="00591AA0"/>
    <w:rsid w:val="005927AC"/>
    <w:rsid w:val="00593C5A"/>
    <w:rsid w:val="0059418F"/>
    <w:rsid w:val="00595213"/>
    <w:rsid w:val="00597992"/>
    <w:rsid w:val="005979CB"/>
    <w:rsid w:val="00597AF7"/>
    <w:rsid w:val="005A1473"/>
    <w:rsid w:val="005A3466"/>
    <w:rsid w:val="005A452B"/>
    <w:rsid w:val="005A46CF"/>
    <w:rsid w:val="005A4B9D"/>
    <w:rsid w:val="005A55BD"/>
    <w:rsid w:val="005A6458"/>
    <w:rsid w:val="005A6837"/>
    <w:rsid w:val="005A72DC"/>
    <w:rsid w:val="005A7703"/>
    <w:rsid w:val="005A7AD2"/>
    <w:rsid w:val="005A7E89"/>
    <w:rsid w:val="005B09FF"/>
    <w:rsid w:val="005B0B81"/>
    <w:rsid w:val="005B114B"/>
    <w:rsid w:val="005B1D4A"/>
    <w:rsid w:val="005B393A"/>
    <w:rsid w:val="005B3AF3"/>
    <w:rsid w:val="005B4DD6"/>
    <w:rsid w:val="005B6C6C"/>
    <w:rsid w:val="005B6FA8"/>
    <w:rsid w:val="005B7F58"/>
    <w:rsid w:val="005C2262"/>
    <w:rsid w:val="005C53C9"/>
    <w:rsid w:val="005C5613"/>
    <w:rsid w:val="005C56D2"/>
    <w:rsid w:val="005C5FAD"/>
    <w:rsid w:val="005C62BC"/>
    <w:rsid w:val="005C69DE"/>
    <w:rsid w:val="005C71A3"/>
    <w:rsid w:val="005D02AA"/>
    <w:rsid w:val="005D06BE"/>
    <w:rsid w:val="005D0C9E"/>
    <w:rsid w:val="005D175A"/>
    <w:rsid w:val="005D18CE"/>
    <w:rsid w:val="005D2695"/>
    <w:rsid w:val="005D38A4"/>
    <w:rsid w:val="005D3A67"/>
    <w:rsid w:val="005D3BAF"/>
    <w:rsid w:val="005D4DAF"/>
    <w:rsid w:val="005D6371"/>
    <w:rsid w:val="005D67EE"/>
    <w:rsid w:val="005D6A03"/>
    <w:rsid w:val="005D76E3"/>
    <w:rsid w:val="005E1662"/>
    <w:rsid w:val="005E413A"/>
    <w:rsid w:val="005E458B"/>
    <w:rsid w:val="005E4AC4"/>
    <w:rsid w:val="005E6880"/>
    <w:rsid w:val="005E735A"/>
    <w:rsid w:val="005E746A"/>
    <w:rsid w:val="005F080D"/>
    <w:rsid w:val="005F1C84"/>
    <w:rsid w:val="005F2C59"/>
    <w:rsid w:val="005F3BD5"/>
    <w:rsid w:val="005F42F9"/>
    <w:rsid w:val="005F48B7"/>
    <w:rsid w:val="005F4B73"/>
    <w:rsid w:val="005F4D21"/>
    <w:rsid w:val="005F4E6D"/>
    <w:rsid w:val="005F5441"/>
    <w:rsid w:val="005F6829"/>
    <w:rsid w:val="005F713E"/>
    <w:rsid w:val="00600158"/>
    <w:rsid w:val="006018FD"/>
    <w:rsid w:val="00602181"/>
    <w:rsid w:val="0060243B"/>
    <w:rsid w:val="00603B86"/>
    <w:rsid w:val="0060401E"/>
    <w:rsid w:val="00604090"/>
    <w:rsid w:val="0060481D"/>
    <w:rsid w:val="006049D1"/>
    <w:rsid w:val="00604B2F"/>
    <w:rsid w:val="00604D77"/>
    <w:rsid w:val="00604E0F"/>
    <w:rsid w:val="0060540F"/>
    <w:rsid w:val="00605769"/>
    <w:rsid w:val="00605B84"/>
    <w:rsid w:val="00605D5E"/>
    <w:rsid w:val="00607890"/>
    <w:rsid w:val="00610669"/>
    <w:rsid w:val="006108EA"/>
    <w:rsid w:val="0061100F"/>
    <w:rsid w:val="0061116F"/>
    <w:rsid w:val="00611DBF"/>
    <w:rsid w:val="00612FA3"/>
    <w:rsid w:val="0061301B"/>
    <w:rsid w:val="006140BF"/>
    <w:rsid w:val="0061422B"/>
    <w:rsid w:val="00614585"/>
    <w:rsid w:val="00614DD6"/>
    <w:rsid w:val="00615648"/>
    <w:rsid w:val="00616A75"/>
    <w:rsid w:val="0061716B"/>
    <w:rsid w:val="00617B05"/>
    <w:rsid w:val="00621445"/>
    <w:rsid w:val="00623A5E"/>
    <w:rsid w:val="00624323"/>
    <w:rsid w:val="0062452D"/>
    <w:rsid w:val="0062498F"/>
    <w:rsid w:val="00624A30"/>
    <w:rsid w:val="00625703"/>
    <w:rsid w:val="00625E83"/>
    <w:rsid w:val="0063025F"/>
    <w:rsid w:val="00630B00"/>
    <w:rsid w:val="00631870"/>
    <w:rsid w:val="0063344A"/>
    <w:rsid w:val="00634126"/>
    <w:rsid w:val="00634C5E"/>
    <w:rsid w:val="006352DE"/>
    <w:rsid w:val="00636546"/>
    <w:rsid w:val="00636841"/>
    <w:rsid w:val="00637F43"/>
    <w:rsid w:val="00637F94"/>
    <w:rsid w:val="006405B9"/>
    <w:rsid w:val="00640FEE"/>
    <w:rsid w:val="006412A2"/>
    <w:rsid w:val="00641FEA"/>
    <w:rsid w:val="0064236A"/>
    <w:rsid w:val="0064245F"/>
    <w:rsid w:val="0064285D"/>
    <w:rsid w:val="00644EE3"/>
    <w:rsid w:val="00645BC7"/>
    <w:rsid w:val="0064667E"/>
    <w:rsid w:val="00647497"/>
    <w:rsid w:val="00651B30"/>
    <w:rsid w:val="0065230C"/>
    <w:rsid w:val="006528E7"/>
    <w:rsid w:val="00652CEE"/>
    <w:rsid w:val="006543A4"/>
    <w:rsid w:val="00655800"/>
    <w:rsid w:val="006565E1"/>
    <w:rsid w:val="006579D8"/>
    <w:rsid w:val="00660796"/>
    <w:rsid w:val="00662B8E"/>
    <w:rsid w:val="00662F61"/>
    <w:rsid w:val="006634C3"/>
    <w:rsid w:val="00663ADF"/>
    <w:rsid w:val="0066550B"/>
    <w:rsid w:val="006656FA"/>
    <w:rsid w:val="0066574E"/>
    <w:rsid w:val="006657FD"/>
    <w:rsid w:val="0066582C"/>
    <w:rsid w:val="0066646B"/>
    <w:rsid w:val="00666E37"/>
    <w:rsid w:val="006706C3"/>
    <w:rsid w:val="0067093F"/>
    <w:rsid w:val="00670F3E"/>
    <w:rsid w:val="00671B67"/>
    <w:rsid w:val="0067235C"/>
    <w:rsid w:val="00673610"/>
    <w:rsid w:val="006739DD"/>
    <w:rsid w:val="006746ED"/>
    <w:rsid w:val="00675D86"/>
    <w:rsid w:val="00676401"/>
    <w:rsid w:val="006802B5"/>
    <w:rsid w:val="006829D1"/>
    <w:rsid w:val="00682BD4"/>
    <w:rsid w:val="00685E27"/>
    <w:rsid w:val="006869D7"/>
    <w:rsid w:val="00687A08"/>
    <w:rsid w:val="00687D09"/>
    <w:rsid w:val="00687DCE"/>
    <w:rsid w:val="00687F60"/>
    <w:rsid w:val="00690121"/>
    <w:rsid w:val="00691687"/>
    <w:rsid w:val="0069196A"/>
    <w:rsid w:val="00691A6E"/>
    <w:rsid w:val="00691DEE"/>
    <w:rsid w:val="006937C8"/>
    <w:rsid w:val="0069413D"/>
    <w:rsid w:val="00695F6E"/>
    <w:rsid w:val="006963EB"/>
    <w:rsid w:val="00696B72"/>
    <w:rsid w:val="00697B64"/>
    <w:rsid w:val="00697BAE"/>
    <w:rsid w:val="00697C21"/>
    <w:rsid w:val="006A0DAC"/>
    <w:rsid w:val="006A0E0F"/>
    <w:rsid w:val="006A1BFE"/>
    <w:rsid w:val="006A1D14"/>
    <w:rsid w:val="006A25E7"/>
    <w:rsid w:val="006A44C0"/>
    <w:rsid w:val="006A4C2B"/>
    <w:rsid w:val="006A54CB"/>
    <w:rsid w:val="006A5671"/>
    <w:rsid w:val="006A608F"/>
    <w:rsid w:val="006A6F56"/>
    <w:rsid w:val="006A7062"/>
    <w:rsid w:val="006A7619"/>
    <w:rsid w:val="006B00FF"/>
    <w:rsid w:val="006B0E01"/>
    <w:rsid w:val="006B1C59"/>
    <w:rsid w:val="006B31AC"/>
    <w:rsid w:val="006B3E66"/>
    <w:rsid w:val="006B44F5"/>
    <w:rsid w:val="006B46CC"/>
    <w:rsid w:val="006B4DD5"/>
    <w:rsid w:val="006B6545"/>
    <w:rsid w:val="006B6A7E"/>
    <w:rsid w:val="006B6BA3"/>
    <w:rsid w:val="006B79AC"/>
    <w:rsid w:val="006C05FB"/>
    <w:rsid w:val="006C0C43"/>
    <w:rsid w:val="006C171C"/>
    <w:rsid w:val="006C1AD2"/>
    <w:rsid w:val="006C1FCD"/>
    <w:rsid w:val="006C35E4"/>
    <w:rsid w:val="006C523D"/>
    <w:rsid w:val="006C58C5"/>
    <w:rsid w:val="006C5AAF"/>
    <w:rsid w:val="006C6418"/>
    <w:rsid w:val="006C6910"/>
    <w:rsid w:val="006C7229"/>
    <w:rsid w:val="006C75CD"/>
    <w:rsid w:val="006C7AD2"/>
    <w:rsid w:val="006D0017"/>
    <w:rsid w:val="006D26D9"/>
    <w:rsid w:val="006D26E9"/>
    <w:rsid w:val="006D28F5"/>
    <w:rsid w:val="006D36D4"/>
    <w:rsid w:val="006D4B5E"/>
    <w:rsid w:val="006D5132"/>
    <w:rsid w:val="006D53AD"/>
    <w:rsid w:val="006D5470"/>
    <w:rsid w:val="006D56DF"/>
    <w:rsid w:val="006D5DE2"/>
    <w:rsid w:val="006D642A"/>
    <w:rsid w:val="006D6769"/>
    <w:rsid w:val="006D7EDB"/>
    <w:rsid w:val="006E0041"/>
    <w:rsid w:val="006E1A5A"/>
    <w:rsid w:val="006E1EE8"/>
    <w:rsid w:val="006E23B7"/>
    <w:rsid w:val="006E2F73"/>
    <w:rsid w:val="006E38C9"/>
    <w:rsid w:val="006E3C84"/>
    <w:rsid w:val="006E53A2"/>
    <w:rsid w:val="006E5E5F"/>
    <w:rsid w:val="006E771C"/>
    <w:rsid w:val="006E7F0E"/>
    <w:rsid w:val="006F014D"/>
    <w:rsid w:val="006F0407"/>
    <w:rsid w:val="006F0EB2"/>
    <w:rsid w:val="006F1094"/>
    <w:rsid w:val="006F299F"/>
    <w:rsid w:val="006F2A9A"/>
    <w:rsid w:val="006F2DBD"/>
    <w:rsid w:val="006F2EE1"/>
    <w:rsid w:val="006F2F69"/>
    <w:rsid w:val="006F3161"/>
    <w:rsid w:val="006F3A47"/>
    <w:rsid w:val="006F3A9B"/>
    <w:rsid w:val="006F40F3"/>
    <w:rsid w:val="006F42F5"/>
    <w:rsid w:val="006F4996"/>
    <w:rsid w:val="006F4F9C"/>
    <w:rsid w:val="006F4FC5"/>
    <w:rsid w:val="006F5B69"/>
    <w:rsid w:val="00700D23"/>
    <w:rsid w:val="0070108D"/>
    <w:rsid w:val="0070227E"/>
    <w:rsid w:val="00704261"/>
    <w:rsid w:val="007042D2"/>
    <w:rsid w:val="00706581"/>
    <w:rsid w:val="00706698"/>
    <w:rsid w:val="00706904"/>
    <w:rsid w:val="00707363"/>
    <w:rsid w:val="007075EE"/>
    <w:rsid w:val="00707675"/>
    <w:rsid w:val="007079BF"/>
    <w:rsid w:val="007108D5"/>
    <w:rsid w:val="00710ECE"/>
    <w:rsid w:val="00711DE5"/>
    <w:rsid w:val="00711E09"/>
    <w:rsid w:val="0071350A"/>
    <w:rsid w:val="0071626D"/>
    <w:rsid w:val="00716571"/>
    <w:rsid w:val="007168F6"/>
    <w:rsid w:val="007172CF"/>
    <w:rsid w:val="00717352"/>
    <w:rsid w:val="0072038C"/>
    <w:rsid w:val="0072079B"/>
    <w:rsid w:val="00721C41"/>
    <w:rsid w:val="00721DBB"/>
    <w:rsid w:val="00721EE2"/>
    <w:rsid w:val="00722786"/>
    <w:rsid w:val="00722C6F"/>
    <w:rsid w:val="00723357"/>
    <w:rsid w:val="007236F9"/>
    <w:rsid w:val="0072394E"/>
    <w:rsid w:val="00724AA7"/>
    <w:rsid w:val="00724D7B"/>
    <w:rsid w:val="0072576C"/>
    <w:rsid w:val="007264E7"/>
    <w:rsid w:val="007267ED"/>
    <w:rsid w:val="00726DAE"/>
    <w:rsid w:val="00727561"/>
    <w:rsid w:val="007279FB"/>
    <w:rsid w:val="00727CA5"/>
    <w:rsid w:val="00727ED9"/>
    <w:rsid w:val="0073060A"/>
    <w:rsid w:val="007308D3"/>
    <w:rsid w:val="0073111F"/>
    <w:rsid w:val="00731AC8"/>
    <w:rsid w:val="0073391D"/>
    <w:rsid w:val="00733D84"/>
    <w:rsid w:val="00734068"/>
    <w:rsid w:val="007342FA"/>
    <w:rsid w:val="007346DC"/>
    <w:rsid w:val="00735B0E"/>
    <w:rsid w:val="00737210"/>
    <w:rsid w:val="00740034"/>
    <w:rsid w:val="00740D54"/>
    <w:rsid w:val="007410D6"/>
    <w:rsid w:val="00743885"/>
    <w:rsid w:val="00743DF0"/>
    <w:rsid w:val="00745431"/>
    <w:rsid w:val="007465FF"/>
    <w:rsid w:val="007472B8"/>
    <w:rsid w:val="00747B51"/>
    <w:rsid w:val="00747CDD"/>
    <w:rsid w:val="007530E0"/>
    <w:rsid w:val="007531C1"/>
    <w:rsid w:val="00754DF3"/>
    <w:rsid w:val="007551CB"/>
    <w:rsid w:val="0075621A"/>
    <w:rsid w:val="00760967"/>
    <w:rsid w:val="00761DB8"/>
    <w:rsid w:val="007620F0"/>
    <w:rsid w:val="00762126"/>
    <w:rsid w:val="00762C0B"/>
    <w:rsid w:val="0076303A"/>
    <w:rsid w:val="007636A9"/>
    <w:rsid w:val="007637AC"/>
    <w:rsid w:val="00763F9F"/>
    <w:rsid w:val="00767D90"/>
    <w:rsid w:val="00767F7D"/>
    <w:rsid w:val="0077071F"/>
    <w:rsid w:val="007716DF"/>
    <w:rsid w:val="00771E16"/>
    <w:rsid w:val="00771EB2"/>
    <w:rsid w:val="007750D4"/>
    <w:rsid w:val="00775B3E"/>
    <w:rsid w:val="00775B89"/>
    <w:rsid w:val="00776A76"/>
    <w:rsid w:val="007775EC"/>
    <w:rsid w:val="0078081C"/>
    <w:rsid w:val="0078093C"/>
    <w:rsid w:val="00781DC6"/>
    <w:rsid w:val="00781F38"/>
    <w:rsid w:val="00782539"/>
    <w:rsid w:val="007832C9"/>
    <w:rsid w:val="0078371D"/>
    <w:rsid w:val="00784460"/>
    <w:rsid w:val="00784CCC"/>
    <w:rsid w:val="00784DE7"/>
    <w:rsid w:val="00785596"/>
    <w:rsid w:val="0078561C"/>
    <w:rsid w:val="00785763"/>
    <w:rsid w:val="007862E7"/>
    <w:rsid w:val="00786B72"/>
    <w:rsid w:val="007878D0"/>
    <w:rsid w:val="007908D2"/>
    <w:rsid w:val="00790D5D"/>
    <w:rsid w:val="007919AB"/>
    <w:rsid w:val="00791A9D"/>
    <w:rsid w:val="00793825"/>
    <w:rsid w:val="007939DF"/>
    <w:rsid w:val="007954EB"/>
    <w:rsid w:val="00795806"/>
    <w:rsid w:val="00796786"/>
    <w:rsid w:val="00797260"/>
    <w:rsid w:val="0079773E"/>
    <w:rsid w:val="00797FB1"/>
    <w:rsid w:val="007A044A"/>
    <w:rsid w:val="007A27BF"/>
    <w:rsid w:val="007A2BC0"/>
    <w:rsid w:val="007A3DC1"/>
    <w:rsid w:val="007A567E"/>
    <w:rsid w:val="007A5A13"/>
    <w:rsid w:val="007A5E61"/>
    <w:rsid w:val="007A67F4"/>
    <w:rsid w:val="007A7B9C"/>
    <w:rsid w:val="007A7D93"/>
    <w:rsid w:val="007B25F9"/>
    <w:rsid w:val="007B281C"/>
    <w:rsid w:val="007B38C6"/>
    <w:rsid w:val="007B3D8A"/>
    <w:rsid w:val="007B49C8"/>
    <w:rsid w:val="007B5433"/>
    <w:rsid w:val="007B58C5"/>
    <w:rsid w:val="007B66D6"/>
    <w:rsid w:val="007B7356"/>
    <w:rsid w:val="007B73CE"/>
    <w:rsid w:val="007C0DFF"/>
    <w:rsid w:val="007C13C0"/>
    <w:rsid w:val="007C1494"/>
    <w:rsid w:val="007C1E5F"/>
    <w:rsid w:val="007C1F44"/>
    <w:rsid w:val="007C3A06"/>
    <w:rsid w:val="007C3C71"/>
    <w:rsid w:val="007C403A"/>
    <w:rsid w:val="007C4C4C"/>
    <w:rsid w:val="007C5DBB"/>
    <w:rsid w:val="007C6B54"/>
    <w:rsid w:val="007C719E"/>
    <w:rsid w:val="007C7D5E"/>
    <w:rsid w:val="007D0A9D"/>
    <w:rsid w:val="007D0BFD"/>
    <w:rsid w:val="007D115C"/>
    <w:rsid w:val="007D13DF"/>
    <w:rsid w:val="007D147B"/>
    <w:rsid w:val="007D2C02"/>
    <w:rsid w:val="007E1751"/>
    <w:rsid w:val="007E1A3A"/>
    <w:rsid w:val="007E3ECC"/>
    <w:rsid w:val="007E40B1"/>
    <w:rsid w:val="007E4ED9"/>
    <w:rsid w:val="007E50AF"/>
    <w:rsid w:val="007E6C5D"/>
    <w:rsid w:val="007E76A5"/>
    <w:rsid w:val="007F0839"/>
    <w:rsid w:val="007F0865"/>
    <w:rsid w:val="007F2240"/>
    <w:rsid w:val="007F2459"/>
    <w:rsid w:val="007F2ED3"/>
    <w:rsid w:val="007F3617"/>
    <w:rsid w:val="007F3B39"/>
    <w:rsid w:val="007F3D6C"/>
    <w:rsid w:val="007F439A"/>
    <w:rsid w:val="007F519F"/>
    <w:rsid w:val="007F5741"/>
    <w:rsid w:val="007F6838"/>
    <w:rsid w:val="007F76D0"/>
    <w:rsid w:val="007F7BF0"/>
    <w:rsid w:val="007F7ED9"/>
    <w:rsid w:val="00800030"/>
    <w:rsid w:val="0080028E"/>
    <w:rsid w:val="0080052B"/>
    <w:rsid w:val="00800D5D"/>
    <w:rsid w:val="00801862"/>
    <w:rsid w:val="00801AD5"/>
    <w:rsid w:val="00802B47"/>
    <w:rsid w:val="008049B4"/>
    <w:rsid w:val="00804D7A"/>
    <w:rsid w:val="008053DA"/>
    <w:rsid w:val="00805616"/>
    <w:rsid w:val="00805991"/>
    <w:rsid w:val="00805E7F"/>
    <w:rsid w:val="008066BC"/>
    <w:rsid w:val="00807AC7"/>
    <w:rsid w:val="00807AD4"/>
    <w:rsid w:val="008136BF"/>
    <w:rsid w:val="00813982"/>
    <w:rsid w:val="00814069"/>
    <w:rsid w:val="008140A1"/>
    <w:rsid w:val="00815421"/>
    <w:rsid w:val="00815B01"/>
    <w:rsid w:val="00815BC3"/>
    <w:rsid w:val="00816818"/>
    <w:rsid w:val="0081699B"/>
    <w:rsid w:val="00816A38"/>
    <w:rsid w:val="00817924"/>
    <w:rsid w:val="00817B17"/>
    <w:rsid w:val="00820767"/>
    <w:rsid w:val="00822A75"/>
    <w:rsid w:val="008230F1"/>
    <w:rsid w:val="0082378F"/>
    <w:rsid w:val="00823B8C"/>
    <w:rsid w:val="008243C0"/>
    <w:rsid w:val="008246F5"/>
    <w:rsid w:val="00825106"/>
    <w:rsid w:val="0082568F"/>
    <w:rsid w:val="00825D1A"/>
    <w:rsid w:val="0082781E"/>
    <w:rsid w:val="008305E9"/>
    <w:rsid w:val="008307D0"/>
    <w:rsid w:val="00830A53"/>
    <w:rsid w:val="008312BE"/>
    <w:rsid w:val="008320F3"/>
    <w:rsid w:val="00832CEB"/>
    <w:rsid w:val="00833510"/>
    <w:rsid w:val="008339A6"/>
    <w:rsid w:val="00833C5D"/>
    <w:rsid w:val="008353F8"/>
    <w:rsid w:val="00836DD5"/>
    <w:rsid w:val="008377EF"/>
    <w:rsid w:val="00841150"/>
    <w:rsid w:val="00843D3A"/>
    <w:rsid w:val="008443B6"/>
    <w:rsid w:val="00844AC9"/>
    <w:rsid w:val="008455D3"/>
    <w:rsid w:val="008462D3"/>
    <w:rsid w:val="008468A5"/>
    <w:rsid w:val="0084722B"/>
    <w:rsid w:val="00850357"/>
    <w:rsid w:val="0085099E"/>
    <w:rsid w:val="0085187F"/>
    <w:rsid w:val="00851C5F"/>
    <w:rsid w:val="0085215E"/>
    <w:rsid w:val="0085339D"/>
    <w:rsid w:val="0085353D"/>
    <w:rsid w:val="00855E00"/>
    <w:rsid w:val="0085635A"/>
    <w:rsid w:val="00862120"/>
    <w:rsid w:val="0086259D"/>
    <w:rsid w:val="008625C5"/>
    <w:rsid w:val="0086340E"/>
    <w:rsid w:val="00863B07"/>
    <w:rsid w:val="00864D0E"/>
    <w:rsid w:val="00867B55"/>
    <w:rsid w:val="00871430"/>
    <w:rsid w:val="0087182C"/>
    <w:rsid w:val="00874A02"/>
    <w:rsid w:val="00876B4D"/>
    <w:rsid w:val="00880FF4"/>
    <w:rsid w:val="0088121E"/>
    <w:rsid w:val="008814AA"/>
    <w:rsid w:val="00881FDA"/>
    <w:rsid w:val="00885125"/>
    <w:rsid w:val="0088544F"/>
    <w:rsid w:val="00885A6E"/>
    <w:rsid w:val="00885DFF"/>
    <w:rsid w:val="008873BE"/>
    <w:rsid w:val="00887D29"/>
    <w:rsid w:val="0089010C"/>
    <w:rsid w:val="0089031C"/>
    <w:rsid w:val="008903CB"/>
    <w:rsid w:val="0089103F"/>
    <w:rsid w:val="008921BF"/>
    <w:rsid w:val="0089353B"/>
    <w:rsid w:val="00893A8B"/>
    <w:rsid w:val="00893B2F"/>
    <w:rsid w:val="00894054"/>
    <w:rsid w:val="00894ACB"/>
    <w:rsid w:val="00894D7C"/>
    <w:rsid w:val="008959AD"/>
    <w:rsid w:val="00896435"/>
    <w:rsid w:val="008965CE"/>
    <w:rsid w:val="00897D60"/>
    <w:rsid w:val="008A08C1"/>
    <w:rsid w:val="008A1C8E"/>
    <w:rsid w:val="008A3116"/>
    <w:rsid w:val="008A3519"/>
    <w:rsid w:val="008A35B4"/>
    <w:rsid w:val="008A3B1F"/>
    <w:rsid w:val="008A3DEB"/>
    <w:rsid w:val="008A45CF"/>
    <w:rsid w:val="008A60E4"/>
    <w:rsid w:val="008A6D92"/>
    <w:rsid w:val="008A7110"/>
    <w:rsid w:val="008A7D37"/>
    <w:rsid w:val="008B220A"/>
    <w:rsid w:val="008B29DC"/>
    <w:rsid w:val="008B3CBA"/>
    <w:rsid w:val="008B6FE1"/>
    <w:rsid w:val="008B745D"/>
    <w:rsid w:val="008B77FD"/>
    <w:rsid w:val="008C0083"/>
    <w:rsid w:val="008C29F7"/>
    <w:rsid w:val="008C2D07"/>
    <w:rsid w:val="008C3429"/>
    <w:rsid w:val="008C3B9B"/>
    <w:rsid w:val="008C3D66"/>
    <w:rsid w:val="008C40F3"/>
    <w:rsid w:val="008C5154"/>
    <w:rsid w:val="008C59C6"/>
    <w:rsid w:val="008D2279"/>
    <w:rsid w:val="008D326B"/>
    <w:rsid w:val="008D46FF"/>
    <w:rsid w:val="008D50AB"/>
    <w:rsid w:val="008D5391"/>
    <w:rsid w:val="008D5F1C"/>
    <w:rsid w:val="008D6BA6"/>
    <w:rsid w:val="008D71A6"/>
    <w:rsid w:val="008D7ACC"/>
    <w:rsid w:val="008E0A6C"/>
    <w:rsid w:val="008E0D51"/>
    <w:rsid w:val="008E2199"/>
    <w:rsid w:val="008E24E1"/>
    <w:rsid w:val="008E25E8"/>
    <w:rsid w:val="008E3084"/>
    <w:rsid w:val="008E3619"/>
    <w:rsid w:val="008E37B7"/>
    <w:rsid w:val="008E37D9"/>
    <w:rsid w:val="008E3E0B"/>
    <w:rsid w:val="008E41E1"/>
    <w:rsid w:val="008E4768"/>
    <w:rsid w:val="008E4A83"/>
    <w:rsid w:val="008E58E3"/>
    <w:rsid w:val="008E5CB5"/>
    <w:rsid w:val="008E7408"/>
    <w:rsid w:val="008E7A4F"/>
    <w:rsid w:val="008F02A5"/>
    <w:rsid w:val="008F4167"/>
    <w:rsid w:val="008F4BA9"/>
    <w:rsid w:val="008F4BAC"/>
    <w:rsid w:val="008F54DE"/>
    <w:rsid w:val="008F61F7"/>
    <w:rsid w:val="008F6925"/>
    <w:rsid w:val="008F712D"/>
    <w:rsid w:val="008F7355"/>
    <w:rsid w:val="008F7375"/>
    <w:rsid w:val="00900878"/>
    <w:rsid w:val="00901D4B"/>
    <w:rsid w:val="00902461"/>
    <w:rsid w:val="00902D0D"/>
    <w:rsid w:val="00904C98"/>
    <w:rsid w:val="0090554A"/>
    <w:rsid w:val="00905BD5"/>
    <w:rsid w:val="00911162"/>
    <w:rsid w:val="0091235E"/>
    <w:rsid w:val="00914311"/>
    <w:rsid w:val="00914B88"/>
    <w:rsid w:val="00920FC5"/>
    <w:rsid w:val="00921438"/>
    <w:rsid w:val="00923187"/>
    <w:rsid w:val="00923F9F"/>
    <w:rsid w:val="00924B35"/>
    <w:rsid w:val="00925474"/>
    <w:rsid w:val="009255E3"/>
    <w:rsid w:val="00926418"/>
    <w:rsid w:val="00926A4D"/>
    <w:rsid w:val="00926CB3"/>
    <w:rsid w:val="0093068F"/>
    <w:rsid w:val="009319C3"/>
    <w:rsid w:val="00931EA0"/>
    <w:rsid w:val="009321F8"/>
    <w:rsid w:val="009329C8"/>
    <w:rsid w:val="00933C52"/>
    <w:rsid w:val="00935544"/>
    <w:rsid w:val="00935695"/>
    <w:rsid w:val="009357BB"/>
    <w:rsid w:val="009374DA"/>
    <w:rsid w:val="00937DD7"/>
    <w:rsid w:val="00940C18"/>
    <w:rsid w:val="00940F89"/>
    <w:rsid w:val="009416F4"/>
    <w:rsid w:val="009416F7"/>
    <w:rsid w:val="009420F1"/>
    <w:rsid w:val="009425C0"/>
    <w:rsid w:val="0094275A"/>
    <w:rsid w:val="009432A8"/>
    <w:rsid w:val="0094388F"/>
    <w:rsid w:val="00944740"/>
    <w:rsid w:val="00944871"/>
    <w:rsid w:val="009451EA"/>
    <w:rsid w:val="00945CFD"/>
    <w:rsid w:val="00946188"/>
    <w:rsid w:val="00946A11"/>
    <w:rsid w:val="00947276"/>
    <w:rsid w:val="009473AE"/>
    <w:rsid w:val="00947C2D"/>
    <w:rsid w:val="009508BD"/>
    <w:rsid w:val="00950994"/>
    <w:rsid w:val="00951354"/>
    <w:rsid w:val="0095148C"/>
    <w:rsid w:val="00951C24"/>
    <w:rsid w:val="0095237C"/>
    <w:rsid w:val="00952A31"/>
    <w:rsid w:val="009537C0"/>
    <w:rsid w:val="00953B9F"/>
    <w:rsid w:val="00953BC5"/>
    <w:rsid w:val="00953D44"/>
    <w:rsid w:val="00955C50"/>
    <w:rsid w:val="0095636A"/>
    <w:rsid w:val="009576C8"/>
    <w:rsid w:val="00960476"/>
    <w:rsid w:val="00960E19"/>
    <w:rsid w:val="009610A8"/>
    <w:rsid w:val="00961414"/>
    <w:rsid w:val="009637D6"/>
    <w:rsid w:val="00964796"/>
    <w:rsid w:val="0096541A"/>
    <w:rsid w:val="009655A5"/>
    <w:rsid w:val="00967284"/>
    <w:rsid w:val="00967733"/>
    <w:rsid w:val="009703FC"/>
    <w:rsid w:val="0097043D"/>
    <w:rsid w:val="0097046A"/>
    <w:rsid w:val="00971A22"/>
    <w:rsid w:val="00972A03"/>
    <w:rsid w:val="00973627"/>
    <w:rsid w:val="0097405D"/>
    <w:rsid w:val="00975DD4"/>
    <w:rsid w:val="00976700"/>
    <w:rsid w:val="00976A9C"/>
    <w:rsid w:val="00977350"/>
    <w:rsid w:val="009815CA"/>
    <w:rsid w:val="0098197E"/>
    <w:rsid w:val="00981EFC"/>
    <w:rsid w:val="00982365"/>
    <w:rsid w:val="00982E75"/>
    <w:rsid w:val="00982F0D"/>
    <w:rsid w:val="00984DF1"/>
    <w:rsid w:val="009855B7"/>
    <w:rsid w:val="0098577F"/>
    <w:rsid w:val="00985821"/>
    <w:rsid w:val="009858B6"/>
    <w:rsid w:val="0098628B"/>
    <w:rsid w:val="0098632B"/>
    <w:rsid w:val="00987BCB"/>
    <w:rsid w:val="009903A8"/>
    <w:rsid w:val="00990B8F"/>
    <w:rsid w:val="00991004"/>
    <w:rsid w:val="00991D39"/>
    <w:rsid w:val="00991FDD"/>
    <w:rsid w:val="0099351B"/>
    <w:rsid w:val="009938BC"/>
    <w:rsid w:val="009941BA"/>
    <w:rsid w:val="00995A3D"/>
    <w:rsid w:val="00995B76"/>
    <w:rsid w:val="00996644"/>
    <w:rsid w:val="009967F4"/>
    <w:rsid w:val="00997A9B"/>
    <w:rsid w:val="009A059B"/>
    <w:rsid w:val="009A13D7"/>
    <w:rsid w:val="009A1BAB"/>
    <w:rsid w:val="009A1DE8"/>
    <w:rsid w:val="009A23CA"/>
    <w:rsid w:val="009A34B9"/>
    <w:rsid w:val="009A3F05"/>
    <w:rsid w:val="009A4294"/>
    <w:rsid w:val="009A4F8D"/>
    <w:rsid w:val="009A647B"/>
    <w:rsid w:val="009A6870"/>
    <w:rsid w:val="009A6B65"/>
    <w:rsid w:val="009B02CD"/>
    <w:rsid w:val="009B18BD"/>
    <w:rsid w:val="009B2049"/>
    <w:rsid w:val="009B2718"/>
    <w:rsid w:val="009B2914"/>
    <w:rsid w:val="009B2B3F"/>
    <w:rsid w:val="009B2BA8"/>
    <w:rsid w:val="009B2CB3"/>
    <w:rsid w:val="009B2F68"/>
    <w:rsid w:val="009B3FFD"/>
    <w:rsid w:val="009B4D4B"/>
    <w:rsid w:val="009B727C"/>
    <w:rsid w:val="009B77B5"/>
    <w:rsid w:val="009C0BD2"/>
    <w:rsid w:val="009C1F6C"/>
    <w:rsid w:val="009C2BF5"/>
    <w:rsid w:val="009C2FBC"/>
    <w:rsid w:val="009C4F40"/>
    <w:rsid w:val="009C546C"/>
    <w:rsid w:val="009C676D"/>
    <w:rsid w:val="009C6C06"/>
    <w:rsid w:val="009C6E22"/>
    <w:rsid w:val="009D15E9"/>
    <w:rsid w:val="009D1837"/>
    <w:rsid w:val="009D1838"/>
    <w:rsid w:val="009D2F9D"/>
    <w:rsid w:val="009D4A5F"/>
    <w:rsid w:val="009D51E5"/>
    <w:rsid w:val="009D5425"/>
    <w:rsid w:val="009D7821"/>
    <w:rsid w:val="009D7B7D"/>
    <w:rsid w:val="009E06D3"/>
    <w:rsid w:val="009E4449"/>
    <w:rsid w:val="009E4920"/>
    <w:rsid w:val="009E5D30"/>
    <w:rsid w:val="009E5F78"/>
    <w:rsid w:val="009E692D"/>
    <w:rsid w:val="009E6CBB"/>
    <w:rsid w:val="009E6D66"/>
    <w:rsid w:val="009E78CF"/>
    <w:rsid w:val="009E7B4F"/>
    <w:rsid w:val="009F02D2"/>
    <w:rsid w:val="009F0D05"/>
    <w:rsid w:val="009F136F"/>
    <w:rsid w:val="009F253E"/>
    <w:rsid w:val="009F3C20"/>
    <w:rsid w:val="009F50FC"/>
    <w:rsid w:val="009F5915"/>
    <w:rsid w:val="00A0105C"/>
    <w:rsid w:val="00A01AC3"/>
    <w:rsid w:val="00A02C08"/>
    <w:rsid w:val="00A03A00"/>
    <w:rsid w:val="00A051C7"/>
    <w:rsid w:val="00A062CC"/>
    <w:rsid w:val="00A069CB"/>
    <w:rsid w:val="00A07E46"/>
    <w:rsid w:val="00A110FB"/>
    <w:rsid w:val="00A11FE4"/>
    <w:rsid w:val="00A13EE1"/>
    <w:rsid w:val="00A14109"/>
    <w:rsid w:val="00A153E2"/>
    <w:rsid w:val="00A16159"/>
    <w:rsid w:val="00A165EE"/>
    <w:rsid w:val="00A16843"/>
    <w:rsid w:val="00A16A1A"/>
    <w:rsid w:val="00A20D42"/>
    <w:rsid w:val="00A20E9F"/>
    <w:rsid w:val="00A21695"/>
    <w:rsid w:val="00A21FB9"/>
    <w:rsid w:val="00A23DF1"/>
    <w:rsid w:val="00A24274"/>
    <w:rsid w:val="00A2476E"/>
    <w:rsid w:val="00A253DA"/>
    <w:rsid w:val="00A2569D"/>
    <w:rsid w:val="00A260C6"/>
    <w:rsid w:val="00A26C76"/>
    <w:rsid w:val="00A2735D"/>
    <w:rsid w:val="00A30893"/>
    <w:rsid w:val="00A324E0"/>
    <w:rsid w:val="00A32B36"/>
    <w:rsid w:val="00A32B40"/>
    <w:rsid w:val="00A32E2A"/>
    <w:rsid w:val="00A3327E"/>
    <w:rsid w:val="00A347B3"/>
    <w:rsid w:val="00A34E16"/>
    <w:rsid w:val="00A34ECE"/>
    <w:rsid w:val="00A35389"/>
    <w:rsid w:val="00A35A5A"/>
    <w:rsid w:val="00A3608F"/>
    <w:rsid w:val="00A36A67"/>
    <w:rsid w:val="00A37A23"/>
    <w:rsid w:val="00A40245"/>
    <w:rsid w:val="00A40494"/>
    <w:rsid w:val="00A4187C"/>
    <w:rsid w:val="00A42D27"/>
    <w:rsid w:val="00A437FC"/>
    <w:rsid w:val="00A44A7F"/>
    <w:rsid w:val="00A44C45"/>
    <w:rsid w:val="00A455F2"/>
    <w:rsid w:val="00A46365"/>
    <w:rsid w:val="00A50CD3"/>
    <w:rsid w:val="00A5141A"/>
    <w:rsid w:val="00A560A3"/>
    <w:rsid w:val="00A564B1"/>
    <w:rsid w:val="00A57521"/>
    <w:rsid w:val="00A57560"/>
    <w:rsid w:val="00A6008B"/>
    <w:rsid w:val="00A60A7B"/>
    <w:rsid w:val="00A6108B"/>
    <w:rsid w:val="00A63742"/>
    <w:rsid w:val="00A63D0F"/>
    <w:rsid w:val="00A63DF8"/>
    <w:rsid w:val="00A647FE"/>
    <w:rsid w:val="00A64FF2"/>
    <w:rsid w:val="00A661B8"/>
    <w:rsid w:val="00A6663A"/>
    <w:rsid w:val="00A66917"/>
    <w:rsid w:val="00A6726B"/>
    <w:rsid w:val="00A672CA"/>
    <w:rsid w:val="00A67F9E"/>
    <w:rsid w:val="00A70911"/>
    <w:rsid w:val="00A709BB"/>
    <w:rsid w:val="00A70F02"/>
    <w:rsid w:val="00A7119D"/>
    <w:rsid w:val="00A7189C"/>
    <w:rsid w:val="00A739CD"/>
    <w:rsid w:val="00A75B1A"/>
    <w:rsid w:val="00A76C2F"/>
    <w:rsid w:val="00A76DDE"/>
    <w:rsid w:val="00A81F8C"/>
    <w:rsid w:val="00A82C22"/>
    <w:rsid w:val="00A83508"/>
    <w:rsid w:val="00A83EE4"/>
    <w:rsid w:val="00A849CE"/>
    <w:rsid w:val="00A84D6A"/>
    <w:rsid w:val="00A84DF7"/>
    <w:rsid w:val="00A850A8"/>
    <w:rsid w:val="00A85F13"/>
    <w:rsid w:val="00A86AD2"/>
    <w:rsid w:val="00A87CB5"/>
    <w:rsid w:val="00A900C7"/>
    <w:rsid w:val="00A91870"/>
    <w:rsid w:val="00A91B22"/>
    <w:rsid w:val="00A91BFE"/>
    <w:rsid w:val="00A926B1"/>
    <w:rsid w:val="00A92A78"/>
    <w:rsid w:val="00A9351A"/>
    <w:rsid w:val="00A942D4"/>
    <w:rsid w:val="00A96720"/>
    <w:rsid w:val="00A96CEC"/>
    <w:rsid w:val="00AA12CA"/>
    <w:rsid w:val="00AA139F"/>
    <w:rsid w:val="00AA21E5"/>
    <w:rsid w:val="00AA2E70"/>
    <w:rsid w:val="00AA36BF"/>
    <w:rsid w:val="00AA4F77"/>
    <w:rsid w:val="00AA5C83"/>
    <w:rsid w:val="00AA6549"/>
    <w:rsid w:val="00AA6CA8"/>
    <w:rsid w:val="00AA782C"/>
    <w:rsid w:val="00AB2257"/>
    <w:rsid w:val="00AB2B08"/>
    <w:rsid w:val="00AB498E"/>
    <w:rsid w:val="00AB4E62"/>
    <w:rsid w:val="00AB50BD"/>
    <w:rsid w:val="00AB56C9"/>
    <w:rsid w:val="00AC0AE6"/>
    <w:rsid w:val="00AC21F3"/>
    <w:rsid w:val="00AC6BB7"/>
    <w:rsid w:val="00AC7ED5"/>
    <w:rsid w:val="00AD1C41"/>
    <w:rsid w:val="00AD2CA3"/>
    <w:rsid w:val="00AD35D4"/>
    <w:rsid w:val="00AD460C"/>
    <w:rsid w:val="00AD46E4"/>
    <w:rsid w:val="00AD72B5"/>
    <w:rsid w:val="00AD7BD0"/>
    <w:rsid w:val="00AE0C7A"/>
    <w:rsid w:val="00AE15CA"/>
    <w:rsid w:val="00AE191A"/>
    <w:rsid w:val="00AE3685"/>
    <w:rsid w:val="00AE3B95"/>
    <w:rsid w:val="00AE46FC"/>
    <w:rsid w:val="00AE4D86"/>
    <w:rsid w:val="00AE5306"/>
    <w:rsid w:val="00AE57F6"/>
    <w:rsid w:val="00AE60D3"/>
    <w:rsid w:val="00AE6989"/>
    <w:rsid w:val="00AE6CD2"/>
    <w:rsid w:val="00AF071A"/>
    <w:rsid w:val="00AF0C06"/>
    <w:rsid w:val="00AF0E25"/>
    <w:rsid w:val="00AF1C13"/>
    <w:rsid w:val="00AF316C"/>
    <w:rsid w:val="00AF3855"/>
    <w:rsid w:val="00AF605D"/>
    <w:rsid w:val="00AF61CC"/>
    <w:rsid w:val="00AF6C16"/>
    <w:rsid w:val="00AF6DA6"/>
    <w:rsid w:val="00AF74B2"/>
    <w:rsid w:val="00B008C4"/>
    <w:rsid w:val="00B0090D"/>
    <w:rsid w:val="00B016F4"/>
    <w:rsid w:val="00B024DC"/>
    <w:rsid w:val="00B03032"/>
    <w:rsid w:val="00B042AD"/>
    <w:rsid w:val="00B043D3"/>
    <w:rsid w:val="00B0452E"/>
    <w:rsid w:val="00B05B9F"/>
    <w:rsid w:val="00B05E28"/>
    <w:rsid w:val="00B06416"/>
    <w:rsid w:val="00B06427"/>
    <w:rsid w:val="00B06469"/>
    <w:rsid w:val="00B076D4"/>
    <w:rsid w:val="00B07812"/>
    <w:rsid w:val="00B07DDC"/>
    <w:rsid w:val="00B1016A"/>
    <w:rsid w:val="00B11C91"/>
    <w:rsid w:val="00B1393D"/>
    <w:rsid w:val="00B14D28"/>
    <w:rsid w:val="00B1572F"/>
    <w:rsid w:val="00B160D6"/>
    <w:rsid w:val="00B17632"/>
    <w:rsid w:val="00B17CFB"/>
    <w:rsid w:val="00B2006B"/>
    <w:rsid w:val="00B2043D"/>
    <w:rsid w:val="00B209CE"/>
    <w:rsid w:val="00B20ABF"/>
    <w:rsid w:val="00B21C9A"/>
    <w:rsid w:val="00B23827"/>
    <w:rsid w:val="00B23B8A"/>
    <w:rsid w:val="00B24969"/>
    <w:rsid w:val="00B249AE"/>
    <w:rsid w:val="00B2694B"/>
    <w:rsid w:val="00B26DE0"/>
    <w:rsid w:val="00B27C01"/>
    <w:rsid w:val="00B31A4B"/>
    <w:rsid w:val="00B32740"/>
    <w:rsid w:val="00B32C7E"/>
    <w:rsid w:val="00B3592E"/>
    <w:rsid w:val="00B36081"/>
    <w:rsid w:val="00B37AD3"/>
    <w:rsid w:val="00B40719"/>
    <w:rsid w:val="00B40DDA"/>
    <w:rsid w:val="00B41A2E"/>
    <w:rsid w:val="00B4280F"/>
    <w:rsid w:val="00B43A66"/>
    <w:rsid w:val="00B43DC3"/>
    <w:rsid w:val="00B44759"/>
    <w:rsid w:val="00B45012"/>
    <w:rsid w:val="00B450C9"/>
    <w:rsid w:val="00B4528A"/>
    <w:rsid w:val="00B45355"/>
    <w:rsid w:val="00B466B1"/>
    <w:rsid w:val="00B46AAC"/>
    <w:rsid w:val="00B474ED"/>
    <w:rsid w:val="00B50B53"/>
    <w:rsid w:val="00B511EB"/>
    <w:rsid w:val="00B521B3"/>
    <w:rsid w:val="00B522EE"/>
    <w:rsid w:val="00B52699"/>
    <w:rsid w:val="00B5423D"/>
    <w:rsid w:val="00B54820"/>
    <w:rsid w:val="00B553DF"/>
    <w:rsid w:val="00B5602C"/>
    <w:rsid w:val="00B56738"/>
    <w:rsid w:val="00B56BEA"/>
    <w:rsid w:val="00B61188"/>
    <w:rsid w:val="00B62432"/>
    <w:rsid w:val="00B625ED"/>
    <w:rsid w:val="00B667E5"/>
    <w:rsid w:val="00B66849"/>
    <w:rsid w:val="00B71F18"/>
    <w:rsid w:val="00B72453"/>
    <w:rsid w:val="00B73B28"/>
    <w:rsid w:val="00B74E7B"/>
    <w:rsid w:val="00B765AC"/>
    <w:rsid w:val="00B77441"/>
    <w:rsid w:val="00B800ED"/>
    <w:rsid w:val="00B806B4"/>
    <w:rsid w:val="00B82618"/>
    <w:rsid w:val="00B82BBD"/>
    <w:rsid w:val="00B82F79"/>
    <w:rsid w:val="00B8395E"/>
    <w:rsid w:val="00B850A2"/>
    <w:rsid w:val="00B85A6E"/>
    <w:rsid w:val="00B86CA4"/>
    <w:rsid w:val="00B901F6"/>
    <w:rsid w:val="00B91E22"/>
    <w:rsid w:val="00B92D1F"/>
    <w:rsid w:val="00B94FD4"/>
    <w:rsid w:val="00B9535E"/>
    <w:rsid w:val="00B956D9"/>
    <w:rsid w:val="00B97DB0"/>
    <w:rsid w:val="00BA0117"/>
    <w:rsid w:val="00BA01B7"/>
    <w:rsid w:val="00BA0E08"/>
    <w:rsid w:val="00BA3D3B"/>
    <w:rsid w:val="00BA4569"/>
    <w:rsid w:val="00BA4F1B"/>
    <w:rsid w:val="00BA6008"/>
    <w:rsid w:val="00BA6456"/>
    <w:rsid w:val="00BA6ED1"/>
    <w:rsid w:val="00BA74AF"/>
    <w:rsid w:val="00BB0121"/>
    <w:rsid w:val="00BB0CA4"/>
    <w:rsid w:val="00BB1679"/>
    <w:rsid w:val="00BB19BE"/>
    <w:rsid w:val="00BB2A7A"/>
    <w:rsid w:val="00BB2D2E"/>
    <w:rsid w:val="00BB4D68"/>
    <w:rsid w:val="00BB5A5C"/>
    <w:rsid w:val="00BB6EE0"/>
    <w:rsid w:val="00BB711B"/>
    <w:rsid w:val="00BB7D01"/>
    <w:rsid w:val="00BC02D4"/>
    <w:rsid w:val="00BC1016"/>
    <w:rsid w:val="00BC192B"/>
    <w:rsid w:val="00BC30B0"/>
    <w:rsid w:val="00BC3138"/>
    <w:rsid w:val="00BC35CB"/>
    <w:rsid w:val="00BC489D"/>
    <w:rsid w:val="00BC4980"/>
    <w:rsid w:val="00BC5D32"/>
    <w:rsid w:val="00BC5E12"/>
    <w:rsid w:val="00BC64E9"/>
    <w:rsid w:val="00BC7259"/>
    <w:rsid w:val="00BD0486"/>
    <w:rsid w:val="00BD5441"/>
    <w:rsid w:val="00BD5F4E"/>
    <w:rsid w:val="00BD6035"/>
    <w:rsid w:val="00BD7550"/>
    <w:rsid w:val="00BE03E7"/>
    <w:rsid w:val="00BE0ADF"/>
    <w:rsid w:val="00BE241A"/>
    <w:rsid w:val="00BE24C7"/>
    <w:rsid w:val="00BE2F28"/>
    <w:rsid w:val="00BE4D5D"/>
    <w:rsid w:val="00BE54C3"/>
    <w:rsid w:val="00BE6700"/>
    <w:rsid w:val="00BE6E0D"/>
    <w:rsid w:val="00BE6F79"/>
    <w:rsid w:val="00BE7513"/>
    <w:rsid w:val="00BE786E"/>
    <w:rsid w:val="00BE7FD6"/>
    <w:rsid w:val="00BF02CF"/>
    <w:rsid w:val="00BF099A"/>
    <w:rsid w:val="00BF0D1D"/>
    <w:rsid w:val="00BF1C91"/>
    <w:rsid w:val="00BF2A8C"/>
    <w:rsid w:val="00BF695A"/>
    <w:rsid w:val="00C00542"/>
    <w:rsid w:val="00C01A27"/>
    <w:rsid w:val="00C035C0"/>
    <w:rsid w:val="00C0509B"/>
    <w:rsid w:val="00C103C1"/>
    <w:rsid w:val="00C12778"/>
    <w:rsid w:val="00C12C8D"/>
    <w:rsid w:val="00C13818"/>
    <w:rsid w:val="00C14371"/>
    <w:rsid w:val="00C158EB"/>
    <w:rsid w:val="00C15A30"/>
    <w:rsid w:val="00C15DCE"/>
    <w:rsid w:val="00C16FCF"/>
    <w:rsid w:val="00C1741A"/>
    <w:rsid w:val="00C17755"/>
    <w:rsid w:val="00C17D26"/>
    <w:rsid w:val="00C204E1"/>
    <w:rsid w:val="00C20F73"/>
    <w:rsid w:val="00C21299"/>
    <w:rsid w:val="00C22246"/>
    <w:rsid w:val="00C22643"/>
    <w:rsid w:val="00C22CC0"/>
    <w:rsid w:val="00C23B54"/>
    <w:rsid w:val="00C2497B"/>
    <w:rsid w:val="00C26134"/>
    <w:rsid w:val="00C2614D"/>
    <w:rsid w:val="00C26865"/>
    <w:rsid w:val="00C27852"/>
    <w:rsid w:val="00C27A87"/>
    <w:rsid w:val="00C32E0C"/>
    <w:rsid w:val="00C32FAF"/>
    <w:rsid w:val="00C331AD"/>
    <w:rsid w:val="00C33597"/>
    <w:rsid w:val="00C34C86"/>
    <w:rsid w:val="00C34E2F"/>
    <w:rsid w:val="00C36AF8"/>
    <w:rsid w:val="00C37F34"/>
    <w:rsid w:val="00C40A82"/>
    <w:rsid w:val="00C40B76"/>
    <w:rsid w:val="00C419F9"/>
    <w:rsid w:val="00C428A2"/>
    <w:rsid w:val="00C4330D"/>
    <w:rsid w:val="00C458BD"/>
    <w:rsid w:val="00C46774"/>
    <w:rsid w:val="00C469D8"/>
    <w:rsid w:val="00C46FC2"/>
    <w:rsid w:val="00C5014C"/>
    <w:rsid w:val="00C50CB7"/>
    <w:rsid w:val="00C50FA4"/>
    <w:rsid w:val="00C54CB1"/>
    <w:rsid w:val="00C55086"/>
    <w:rsid w:val="00C5531A"/>
    <w:rsid w:val="00C55591"/>
    <w:rsid w:val="00C55A10"/>
    <w:rsid w:val="00C563C7"/>
    <w:rsid w:val="00C56738"/>
    <w:rsid w:val="00C569BB"/>
    <w:rsid w:val="00C57339"/>
    <w:rsid w:val="00C617F7"/>
    <w:rsid w:val="00C61DE8"/>
    <w:rsid w:val="00C63FFE"/>
    <w:rsid w:val="00C65455"/>
    <w:rsid w:val="00C667AA"/>
    <w:rsid w:val="00C66B05"/>
    <w:rsid w:val="00C66B9C"/>
    <w:rsid w:val="00C67DB1"/>
    <w:rsid w:val="00C70169"/>
    <w:rsid w:val="00C73DBB"/>
    <w:rsid w:val="00C744E6"/>
    <w:rsid w:val="00C75243"/>
    <w:rsid w:val="00C759A9"/>
    <w:rsid w:val="00C75DD5"/>
    <w:rsid w:val="00C7660B"/>
    <w:rsid w:val="00C7687D"/>
    <w:rsid w:val="00C76B9A"/>
    <w:rsid w:val="00C77F8E"/>
    <w:rsid w:val="00C80138"/>
    <w:rsid w:val="00C81660"/>
    <w:rsid w:val="00C83EFA"/>
    <w:rsid w:val="00C85A9A"/>
    <w:rsid w:val="00C85D64"/>
    <w:rsid w:val="00C87BC6"/>
    <w:rsid w:val="00C9061A"/>
    <w:rsid w:val="00C908D1"/>
    <w:rsid w:val="00C90B29"/>
    <w:rsid w:val="00C91410"/>
    <w:rsid w:val="00C92530"/>
    <w:rsid w:val="00C9268C"/>
    <w:rsid w:val="00C92762"/>
    <w:rsid w:val="00C936BA"/>
    <w:rsid w:val="00C94DBA"/>
    <w:rsid w:val="00C95F6C"/>
    <w:rsid w:val="00C96A7A"/>
    <w:rsid w:val="00C97B31"/>
    <w:rsid w:val="00CA0F9A"/>
    <w:rsid w:val="00CA1056"/>
    <w:rsid w:val="00CA2289"/>
    <w:rsid w:val="00CA2A3B"/>
    <w:rsid w:val="00CA3840"/>
    <w:rsid w:val="00CA3917"/>
    <w:rsid w:val="00CA481E"/>
    <w:rsid w:val="00CA4C03"/>
    <w:rsid w:val="00CA62C7"/>
    <w:rsid w:val="00CA672C"/>
    <w:rsid w:val="00CA6C7A"/>
    <w:rsid w:val="00CA6EDC"/>
    <w:rsid w:val="00CA7C97"/>
    <w:rsid w:val="00CA7CD3"/>
    <w:rsid w:val="00CB010F"/>
    <w:rsid w:val="00CB039A"/>
    <w:rsid w:val="00CB0554"/>
    <w:rsid w:val="00CB079D"/>
    <w:rsid w:val="00CB0AC7"/>
    <w:rsid w:val="00CB2771"/>
    <w:rsid w:val="00CB28DB"/>
    <w:rsid w:val="00CB4B2B"/>
    <w:rsid w:val="00CB4C2D"/>
    <w:rsid w:val="00CB4CA0"/>
    <w:rsid w:val="00CB5ADC"/>
    <w:rsid w:val="00CB5F6F"/>
    <w:rsid w:val="00CC1013"/>
    <w:rsid w:val="00CC16E6"/>
    <w:rsid w:val="00CC271A"/>
    <w:rsid w:val="00CC3676"/>
    <w:rsid w:val="00CC5289"/>
    <w:rsid w:val="00CC742A"/>
    <w:rsid w:val="00CD0028"/>
    <w:rsid w:val="00CD0411"/>
    <w:rsid w:val="00CD0872"/>
    <w:rsid w:val="00CD0FB7"/>
    <w:rsid w:val="00CD1D8B"/>
    <w:rsid w:val="00CD2495"/>
    <w:rsid w:val="00CD278F"/>
    <w:rsid w:val="00CD2B55"/>
    <w:rsid w:val="00CD34C5"/>
    <w:rsid w:val="00CD4857"/>
    <w:rsid w:val="00CD4C44"/>
    <w:rsid w:val="00CD4D74"/>
    <w:rsid w:val="00CD4F1D"/>
    <w:rsid w:val="00CD54B1"/>
    <w:rsid w:val="00CD5768"/>
    <w:rsid w:val="00CD70E1"/>
    <w:rsid w:val="00CD78E1"/>
    <w:rsid w:val="00CE001E"/>
    <w:rsid w:val="00CE3E91"/>
    <w:rsid w:val="00CE49F7"/>
    <w:rsid w:val="00CE5797"/>
    <w:rsid w:val="00CE6533"/>
    <w:rsid w:val="00CE7EB8"/>
    <w:rsid w:val="00CF0FCF"/>
    <w:rsid w:val="00CF163A"/>
    <w:rsid w:val="00CF1DF6"/>
    <w:rsid w:val="00CF1FF7"/>
    <w:rsid w:val="00CF2684"/>
    <w:rsid w:val="00CF286F"/>
    <w:rsid w:val="00CF28E3"/>
    <w:rsid w:val="00CF2ED5"/>
    <w:rsid w:val="00CF335B"/>
    <w:rsid w:val="00CF3C87"/>
    <w:rsid w:val="00CF41B7"/>
    <w:rsid w:val="00CF4732"/>
    <w:rsid w:val="00CF4CEF"/>
    <w:rsid w:val="00CF4FCD"/>
    <w:rsid w:val="00CF55A9"/>
    <w:rsid w:val="00CF5D31"/>
    <w:rsid w:val="00CF605A"/>
    <w:rsid w:val="00CF74D7"/>
    <w:rsid w:val="00CF78EE"/>
    <w:rsid w:val="00D00373"/>
    <w:rsid w:val="00D00937"/>
    <w:rsid w:val="00D00BBD"/>
    <w:rsid w:val="00D01C2C"/>
    <w:rsid w:val="00D02934"/>
    <w:rsid w:val="00D02A19"/>
    <w:rsid w:val="00D04942"/>
    <w:rsid w:val="00D066E8"/>
    <w:rsid w:val="00D06B86"/>
    <w:rsid w:val="00D10048"/>
    <w:rsid w:val="00D12630"/>
    <w:rsid w:val="00D144D4"/>
    <w:rsid w:val="00D1536E"/>
    <w:rsid w:val="00D20418"/>
    <w:rsid w:val="00D214AB"/>
    <w:rsid w:val="00D23E39"/>
    <w:rsid w:val="00D24EEE"/>
    <w:rsid w:val="00D25E0C"/>
    <w:rsid w:val="00D30136"/>
    <w:rsid w:val="00D31DD8"/>
    <w:rsid w:val="00D3260F"/>
    <w:rsid w:val="00D33690"/>
    <w:rsid w:val="00D33D7F"/>
    <w:rsid w:val="00D341DF"/>
    <w:rsid w:val="00D34225"/>
    <w:rsid w:val="00D34680"/>
    <w:rsid w:val="00D34DF0"/>
    <w:rsid w:val="00D35DF8"/>
    <w:rsid w:val="00D41139"/>
    <w:rsid w:val="00D41AF1"/>
    <w:rsid w:val="00D4209A"/>
    <w:rsid w:val="00D4225A"/>
    <w:rsid w:val="00D43795"/>
    <w:rsid w:val="00D4394B"/>
    <w:rsid w:val="00D44D67"/>
    <w:rsid w:val="00D45831"/>
    <w:rsid w:val="00D46203"/>
    <w:rsid w:val="00D46215"/>
    <w:rsid w:val="00D46334"/>
    <w:rsid w:val="00D46C86"/>
    <w:rsid w:val="00D46CCB"/>
    <w:rsid w:val="00D4785A"/>
    <w:rsid w:val="00D47FE7"/>
    <w:rsid w:val="00D502A8"/>
    <w:rsid w:val="00D51682"/>
    <w:rsid w:val="00D52C06"/>
    <w:rsid w:val="00D55C6B"/>
    <w:rsid w:val="00D571A9"/>
    <w:rsid w:val="00D572AE"/>
    <w:rsid w:val="00D57A6B"/>
    <w:rsid w:val="00D57D0F"/>
    <w:rsid w:val="00D6091C"/>
    <w:rsid w:val="00D623F1"/>
    <w:rsid w:val="00D6310C"/>
    <w:rsid w:val="00D63ED4"/>
    <w:rsid w:val="00D64491"/>
    <w:rsid w:val="00D65AA0"/>
    <w:rsid w:val="00D65B95"/>
    <w:rsid w:val="00D66135"/>
    <w:rsid w:val="00D70BEC"/>
    <w:rsid w:val="00D71AFE"/>
    <w:rsid w:val="00D72599"/>
    <w:rsid w:val="00D7291D"/>
    <w:rsid w:val="00D7367A"/>
    <w:rsid w:val="00D7393C"/>
    <w:rsid w:val="00D74789"/>
    <w:rsid w:val="00D74A9C"/>
    <w:rsid w:val="00D74ABD"/>
    <w:rsid w:val="00D74B8C"/>
    <w:rsid w:val="00D74BCB"/>
    <w:rsid w:val="00D7547A"/>
    <w:rsid w:val="00D75C87"/>
    <w:rsid w:val="00D7609C"/>
    <w:rsid w:val="00D7683B"/>
    <w:rsid w:val="00D76863"/>
    <w:rsid w:val="00D76FB6"/>
    <w:rsid w:val="00D77091"/>
    <w:rsid w:val="00D77584"/>
    <w:rsid w:val="00D77F94"/>
    <w:rsid w:val="00D8021B"/>
    <w:rsid w:val="00D81B00"/>
    <w:rsid w:val="00D81BB1"/>
    <w:rsid w:val="00D846BD"/>
    <w:rsid w:val="00D855DB"/>
    <w:rsid w:val="00D87658"/>
    <w:rsid w:val="00D91467"/>
    <w:rsid w:val="00D91A6B"/>
    <w:rsid w:val="00D91D05"/>
    <w:rsid w:val="00D93F17"/>
    <w:rsid w:val="00D96C2A"/>
    <w:rsid w:val="00D97416"/>
    <w:rsid w:val="00D975F5"/>
    <w:rsid w:val="00DA0933"/>
    <w:rsid w:val="00DA39F5"/>
    <w:rsid w:val="00DA5B13"/>
    <w:rsid w:val="00DA5D76"/>
    <w:rsid w:val="00DA63FA"/>
    <w:rsid w:val="00DA725D"/>
    <w:rsid w:val="00DB1732"/>
    <w:rsid w:val="00DB202D"/>
    <w:rsid w:val="00DB2FB8"/>
    <w:rsid w:val="00DB36C2"/>
    <w:rsid w:val="00DB3AAC"/>
    <w:rsid w:val="00DB4063"/>
    <w:rsid w:val="00DB4F2E"/>
    <w:rsid w:val="00DB6CC7"/>
    <w:rsid w:val="00DC05D7"/>
    <w:rsid w:val="00DC0A30"/>
    <w:rsid w:val="00DC337E"/>
    <w:rsid w:val="00DC45DC"/>
    <w:rsid w:val="00DC6E90"/>
    <w:rsid w:val="00DD09C8"/>
    <w:rsid w:val="00DD1DCB"/>
    <w:rsid w:val="00DD3E67"/>
    <w:rsid w:val="00DD4AF3"/>
    <w:rsid w:val="00DD57D2"/>
    <w:rsid w:val="00DE08D0"/>
    <w:rsid w:val="00DE1E57"/>
    <w:rsid w:val="00DE2E39"/>
    <w:rsid w:val="00DE3BD0"/>
    <w:rsid w:val="00DE50AD"/>
    <w:rsid w:val="00DE5196"/>
    <w:rsid w:val="00DE5DC9"/>
    <w:rsid w:val="00DF1360"/>
    <w:rsid w:val="00DF3032"/>
    <w:rsid w:val="00DF4B8F"/>
    <w:rsid w:val="00DF7069"/>
    <w:rsid w:val="00DF7A1D"/>
    <w:rsid w:val="00DF7B5C"/>
    <w:rsid w:val="00E02D1D"/>
    <w:rsid w:val="00E0371D"/>
    <w:rsid w:val="00E067E6"/>
    <w:rsid w:val="00E124A4"/>
    <w:rsid w:val="00E13672"/>
    <w:rsid w:val="00E146B9"/>
    <w:rsid w:val="00E1481D"/>
    <w:rsid w:val="00E14D34"/>
    <w:rsid w:val="00E15234"/>
    <w:rsid w:val="00E16B1A"/>
    <w:rsid w:val="00E16C9F"/>
    <w:rsid w:val="00E171CC"/>
    <w:rsid w:val="00E21772"/>
    <w:rsid w:val="00E22619"/>
    <w:rsid w:val="00E23FAE"/>
    <w:rsid w:val="00E24867"/>
    <w:rsid w:val="00E24916"/>
    <w:rsid w:val="00E253CD"/>
    <w:rsid w:val="00E25D01"/>
    <w:rsid w:val="00E2655A"/>
    <w:rsid w:val="00E26C7C"/>
    <w:rsid w:val="00E27098"/>
    <w:rsid w:val="00E2723B"/>
    <w:rsid w:val="00E27275"/>
    <w:rsid w:val="00E27E3E"/>
    <w:rsid w:val="00E27EBF"/>
    <w:rsid w:val="00E27FC3"/>
    <w:rsid w:val="00E30178"/>
    <w:rsid w:val="00E3138F"/>
    <w:rsid w:val="00E313B8"/>
    <w:rsid w:val="00E31A2C"/>
    <w:rsid w:val="00E31E67"/>
    <w:rsid w:val="00E33966"/>
    <w:rsid w:val="00E33AE2"/>
    <w:rsid w:val="00E33EA9"/>
    <w:rsid w:val="00E344F2"/>
    <w:rsid w:val="00E3456A"/>
    <w:rsid w:val="00E34813"/>
    <w:rsid w:val="00E3503A"/>
    <w:rsid w:val="00E36991"/>
    <w:rsid w:val="00E36E7D"/>
    <w:rsid w:val="00E371F9"/>
    <w:rsid w:val="00E37585"/>
    <w:rsid w:val="00E403C1"/>
    <w:rsid w:val="00E41D19"/>
    <w:rsid w:val="00E432F1"/>
    <w:rsid w:val="00E4573F"/>
    <w:rsid w:val="00E45C70"/>
    <w:rsid w:val="00E46640"/>
    <w:rsid w:val="00E47136"/>
    <w:rsid w:val="00E47C69"/>
    <w:rsid w:val="00E50414"/>
    <w:rsid w:val="00E50858"/>
    <w:rsid w:val="00E50A84"/>
    <w:rsid w:val="00E50CDC"/>
    <w:rsid w:val="00E51067"/>
    <w:rsid w:val="00E5192E"/>
    <w:rsid w:val="00E51ABD"/>
    <w:rsid w:val="00E52296"/>
    <w:rsid w:val="00E5396E"/>
    <w:rsid w:val="00E53B97"/>
    <w:rsid w:val="00E53ED3"/>
    <w:rsid w:val="00E5497C"/>
    <w:rsid w:val="00E54E76"/>
    <w:rsid w:val="00E6420D"/>
    <w:rsid w:val="00E643AD"/>
    <w:rsid w:val="00E65411"/>
    <w:rsid w:val="00E65B4C"/>
    <w:rsid w:val="00E660DC"/>
    <w:rsid w:val="00E667A9"/>
    <w:rsid w:val="00E671E7"/>
    <w:rsid w:val="00E675B8"/>
    <w:rsid w:val="00E67E7B"/>
    <w:rsid w:val="00E67F06"/>
    <w:rsid w:val="00E7039F"/>
    <w:rsid w:val="00E70869"/>
    <w:rsid w:val="00E70A56"/>
    <w:rsid w:val="00E70CBB"/>
    <w:rsid w:val="00E70CE1"/>
    <w:rsid w:val="00E70EB0"/>
    <w:rsid w:val="00E71235"/>
    <w:rsid w:val="00E71440"/>
    <w:rsid w:val="00E7194F"/>
    <w:rsid w:val="00E71E09"/>
    <w:rsid w:val="00E72559"/>
    <w:rsid w:val="00E7382A"/>
    <w:rsid w:val="00E742D8"/>
    <w:rsid w:val="00E7568C"/>
    <w:rsid w:val="00E75E30"/>
    <w:rsid w:val="00E760F5"/>
    <w:rsid w:val="00E76126"/>
    <w:rsid w:val="00E7778F"/>
    <w:rsid w:val="00E80FDE"/>
    <w:rsid w:val="00E8177E"/>
    <w:rsid w:val="00E823E8"/>
    <w:rsid w:val="00E833C9"/>
    <w:rsid w:val="00E85026"/>
    <w:rsid w:val="00E8536E"/>
    <w:rsid w:val="00E86F44"/>
    <w:rsid w:val="00E90905"/>
    <w:rsid w:val="00E9091E"/>
    <w:rsid w:val="00E90ACF"/>
    <w:rsid w:val="00E91D8E"/>
    <w:rsid w:val="00E9258A"/>
    <w:rsid w:val="00E92CBE"/>
    <w:rsid w:val="00E92E8D"/>
    <w:rsid w:val="00E93973"/>
    <w:rsid w:val="00E939B3"/>
    <w:rsid w:val="00E97018"/>
    <w:rsid w:val="00EA0FF7"/>
    <w:rsid w:val="00EA1C2B"/>
    <w:rsid w:val="00EA25FD"/>
    <w:rsid w:val="00EA29E5"/>
    <w:rsid w:val="00EA2C25"/>
    <w:rsid w:val="00EA337F"/>
    <w:rsid w:val="00EA35B3"/>
    <w:rsid w:val="00EA35D2"/>
    <w:rsid w:val="00EA415C"/>
    <w:rsid w:val="00EA454F"/>
    <w:rsid w:val="00EA4ECE"/>
    <w:rsid w:val="00EA4F07"/>
    <w:rsid w:val="00EA5A42"/>
    <w:rsid w:val="00EA6397"/>
    <w:rsid w:val="00EA6675"/>
    <w:rsid w:val="00EA6B3E"/>
    <w:rsid w:val="00EB02D7"/>
    <w:rsid w:val="00EB121A"/>
    <w:rsid w:val="00EB39AE"/>
    <w:rsid w:val="00EB39B1"/>
    <w:rsid w:val="00EB3D27"/>
    <w:rsid w:val="00EB4D27"/>
    <w:rsid w:val="00EB59BD"/>
    <w:rsid w:val="00EB6785"/>
    <w:rsid w:val="00EB6BA0"/>
    <w:rsid w:val="00EB79AB"/>
    <w:rsid w:val="00EC0829"/>
    <w:rsid w:val="00EC09F7"/>
    <w:rsid w:val="00EC0AC0"/>
    <w:rsid w:val="00EC34FE"/>
    <w:rsid w:val="00EC3F2E"/>
    <w:rsid w:val="00EC423B"/>
    <w:rsid w:val="00EC49D1"/>
    <w:rsid w:val="00EC68D1"/>
    <w:rsid w:val="00EC7683"/>
    <w:rsid w:val="00EC7A1E"/>
    <w:rsid w:val="00ED0EEE"/>
    <w:rsid w:val="00ED1410"/>
    <w:rsid w:val="00ED3931"/>
    <w:rsid w:val="00ED39CD"/>
    <w:rsid w:val="00ED3BBF"/>
    <w:rsid w:val="00ED410F"/>
    <w:rsid w:val="00ED5517"/>
    <w:rsid w:val="00ED5901"/>
    <w:rsid w:val="00ED5E39"/>
    <w:rsid w:val="00ED6F30"/>
    <w:rsid w:val="00EE0EF5"/>
    <w:rsid w:val="00EE0F44"/>
    <w:rsid w:val="00EE147D"/>
    <w:rsid w:val="00EE14D3"/>
    <w:rsid w:val="00EE1EA8"/>
    <w:rsid w:val="00EE28CE"/>
    <w:rsid w:val="00EE2DDA"/>
    <w:rsid w:val="00EE52A7"/>
    <w:rsid w:val="00EE5674"/>
    <w:rsid w:val="00EE5B1C"/>
    <w:rsid w:val="00EE627E"/>
    <w:rsid w:val="00EE66B9"/>
    <w:rsid w:val="00EE7235"/>
    <w:rsid w:val="00EF007A"/>
    <w:rsid w:val="00EF038A"/>
    <w:rsid w:val="00EF13A3"/>
    <w:rsid w:val="00EF147C"/>
    <w:rsid w:val="00EF1B07"/>
    <w:rsid w:val="00EF25D6"/>
    <w:rsid w:val="00EF6860"/>
    <w:rsid w:val="00EF7CB2"/>
    <w:rsid w:val="00F005AA"/>
    <w:rsid w:val="00F00F33"/>
    <w:rsid w:val="00F015EF"/>
    <w:rsid w:val="00F0181C"/>
    <w:rsid w:val="00F01CCD"/>
    <w:rsid w:val="00F03E67"/>
    <w:rsid w:val="00F04AD1"/>
    <w:rsid w:val="00F07C4E"/>
    <w:rsid w:val="00F12449"/>
    <w:rsid w:val="00F12553"/>
    <w:rsid w:val="00F139C8"/>
    <w:rsid w:val="00F15248"/>
    <w:rsid w:val="00F1525F"/>
    <w:rsid w:val="00F1532B"/>
    <w:rsid w:val="00F15E5B"/>
    <w:rsid w:val="00F16055"/>
    <w:rsid w:val="00F16E7A"/>
    <w:rsid w:val="00F171CD"/>
    <w:rsid w:val="00F172F0"/>
    <w:rsid w:val="00F1790A"/>
    <w:rsid w:val="00F20A83"/>
    <w:rsid w:val="00F21B21"/>
    <w:rsid w:val="00F223B1"/>
    <w:rsid w:val="00F23103"/>
    <w:rsid w:val="00F2363F"/>
    <w:rsid w:val="00F2444A"/>
    <w:rsid w:val="00F24FC5"/>
    <w:rsid w:val="00F2789B"/>
    <w:rsid w:val="00F30150"/>
    <w:rsid w:val="00F312CA"/>
    <w:rsid w:val="00F32B70"/>
    <w:rsid w:val="00F3331E"/>
    <w:rsid w:val="00F3421A"/>
    <w:rsid w:val="00F34D95"/>
    <w:rsid w:val="00F352CC"/>
    <w:rsid w:val="00F363B6"/>
    <w:rsid w:val="00F3763B"/>
    <w:rsid w:val="00F40B76"/>
    <w:rsid w:val="00F4138E"/>
    <w:rsid w:val="00F416D7"/>
    <w:rsid w:val="00F41DB9"/>
    <w:rsid w:val="00F42587"/>
    <w:rsid w:val="00F43562"/>
    <w:rsid w:val="00F43B0E"/>
    <w:rsid w:val="00F43B64"/>
    <w:rsid w:val="00F43F00"/>
    <w:rsid w:val="00F4476D"/>
    <w:rsid w:val="00F4496F"/>
    <w:rsid w:val="00F45DBD"/>
    <w:rsid w:val="00F46593"/>
    <w:rsid w:val="00F50A6F"/>
    <w:rsid w:val="00F51742"/>
    <w:rsid w:val="00F51BCA"/>
    <w:rsid w:val="00F523E1"/>
    <w:rsid w:val="00F52B00"/>
    <w:rsid w:val="00F52C93"/>
    <w:rsid w:val="00F53313"/>
    <w:rsid w:val="00F536D8"/>
    <w:rsid w:val="00F55675"/>
    <w:rsid w:val="00F55903"/>
    <w:rsid w:val="00F55EBA"/>
    <w:rsid w:val="00F56018"/>
    <w:rsid w:val="00F5693B"/>
    <w:rsid w:val="00F5716F"/>
    <w:rsid w:val="00F57A71"/>
    <w:rsid w:val="00F61088"/>
    <w:rsid w:val="00F615A1"/>
    <w:rsid w:val="00F61C5F"/>
    <w:rsid w:val="00F62CD6"/>
    <w:rsid w:val="00F63271"/>
    <w:rsid w:val="00F63581"/>
    <w:rsid w:val="00F6396B"/>
    <w:rsid w:val="00F64F6B"/>
    <w:rsid w:val="00F65425"/>
    <w:rsid w:val="00F65702"/>
    <w:rsid w:val="00F65B0B"/>
    <w:rsid w:val="00F6639E"/>
    <w:rsid w:val="00F66B56"/>
    <w:rsid w:val="00F67658"/>
    <w:rsid w:val="00F678BC"/>
    <w:rsid w:val="00F67F3C"/>
    <w:rsid w:val="00F710ED"/>
    <w:rsid w:val="00F72399"/>
    <w:rsid w:val="00F72DAC"/>
    <w:rsid w:val="00F7430F"/>
    <w:rsid w:val="00F7577C"/>
    <w:rsid w:val="00F76F38"/>
    <w:rsid w:val="00F779EA"/>
    <w:rsid w:val="00F8058E"/>
    <w:rsid w:val="00F82226"/>
    <w:rsid w:val="00F828DF"/>
    <w:rsid w:val="00F84444"/>
    <w:rsid w:val="00F851EB"/>
    <w:rsid w:val="00F868F6"/>
    <w:rsid w:val="00F875B0"/>
    <w:rsid w:val="00F90D15"/>
    <w:rsid w:val="00F90FF6"/>
    <w:rsid w:val="00F91FD7"/>
    <w:rsid w:val="00F93237"/>
    <w:rsid w:val="00F94841"/>
    <w:rsid w:val="00F95C2C"/>
    <w:rsid w:val="00F963FB"/>
    <w:rsid w:val="00F971F0"/>
    <w:rsid w:val="00FA0AB4"/>
    <w:rsid w:val="00FA142F"/>
    <w:rsid w:val="00FA3415"/>
    <w:rsid w:val="00FA576B"/>
    <w:rsid w:val="00FA5AA7"/>
    <w:rsid w:val="00FA6757"/>
    <w:rsid w:val="00FA74F1"/>
    <w:rsid w:val="00FA7F9E"/>
    <w:rsid w:val="00FB14F0"/>
    <w:rsid w:val="00FB18F8"/>
    <w:rsid w:val="00FB4FD3"/>
    <w:rsid w:val="00FB5BF3"/>
    <w:rsid w:val="00FB5EC2"/>
    <w:rsid w:val="00FB7CA3"/>
    <w:rsid w:val="00FC071E"/>
    <w:rsid w:val="00FC0D3B"/>
    <w:rsid w:val="00FC172F"/>
    <w:rsid w:val="00FC2635"/>
    <w:rsid w:val="00FC34C8"/>
    <w:rsid w:val="00FC3A5A"/>
    <w:rsid w:val="00FC3D03"/>
    <w:rsid w:val="00FC3DE4"/>
    <w:rsid w:val="00FC4674"/>
    <w:rsid w:val="00FC60A8"/>
    <w:rsid w:val="00FC65DD"/>
    <w:rsid w:val="00FC7E2C"/>
    <w:rsid w:val="00FD0CCF"/>
    <w:rsid w:val="00FD0CE1"/>
    <w:rsid w:val="00FD1336"/>
    <w:rsid w:val="00FD3B29"/>
    <w:rsid w:val="00FD3E6C"/>
    <w:rsid w:val="00FD4247"/>
    <w:rsid w:val="00FD5800"/>
    <w:rsid w:val="00FD5872"/>
    <w:rsid w:val="00FD5BE8"/>
    <w:rsid w:val="00FD6E80"/>
    <w:rsid w:val="00FD7C3E"/>
    <w:rsid w:val="00FE0676"/>
    <w:rsid w:val="00FE1AB9"/>
    <w:rsid w:val="00FE2022"/>
    <w:rsid w:val="00FE29DD"/>
    <w:rsid w:val="00FE333F"/>
    <w:rsid w:val="00FE3B11"/>
    <w:rsid w:val="00FE6413"/>
    <w:rsid w:val="00FE6CD4"/>
    <w:rsid w:val="00FF1160"/>
    <w:rsid w:val="00FF19A6"/>
    <w:rsid w:val="00FF2F3F"/>
    <w:rsid w:val="00FF3E5A"/>
    <w:rsid w:val="00FF75B1"/>
    <w:rsid w:val="00FF76BC"/>
    <w:rsid w:val="00FF78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ED295C6"/>
  <w15:chartTrackingRefBased/>
  <w15:docId w15:val="{BF0D63F1-9D42-480E-9525-042FEC649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aliases w:val="1) Chapter header"/>
    <w:basedOn w:val="Normal"/>
    <w:next w:val="Normal"/>
    <w:link w:val="Heading1Char"/>
    <w:uiPriority w:val="9"/>
    <w:qFormat/>
    <w:rsid w:val="00354FBD"/>
    <w:pPr>
      <w:keepNext/>
      <w:keepLines/>
      <w:numPr>
        <w:numId w:val="1"/>
      </w:numPr>
      <w:spacing w:after="320"/>
      <w:ind w:left="432"/>
      <w:outlineLvl w:val="0"/>
    </w:pPr>
    <w:rPr>
      <w:rFonts w:ascii="Franklin Gothic Medium" w:eastAsiaTheme="majorEastAsia" w:hAnsi="Franklin Gothic Medium" w:cstheme="majorBidi"/>
      <w:sz w:val="32"/>
      <w:szCs w:val="32"/>
    </w:rPr>
  </w:style>
  <w:style w:type="paragraph" w:styleId="Heading2">
    <w:name w:val="heading 2"/>
    <w:aliases w:val="2) Section header"/>
    <w:basedOn w:val="Normal"/>
    <w:next w:val="Normal"/>
    <w:link w:val="Heading2Char"/>
    <w:autoRedefine/>
    <w:uiPriority w:val="9"/>
    <w:unhideWhenUsed/>
    <w:qFormat/>
    <w:rsid w:val="00D4225A"/>
    <w:pPr>
      <w:keepNext/>
      <w:keepLines/>
      <w:numPr>
        <w:ilvl w:val="1"/>
        <w:numId w:val="1"/>
      </w:numPr>
      <w:spacing w:before="240" w:after="240"/>
      <w:outlineLvl w:val="1"/>
    </w:pPr>
    <w:rPr>
      <w:rFonts w:ascii="Franklin Gothic Medium" w:eastAsiaTheme="majorEastAsia" w:hAnsi="Franklin Gothic Medium" w:cstheme="majorBidi"/>
      <w:sz w:val="26"/>
      <w:szCs w:val="26"/>
    </w:rPr>
  </w:style>
  <w:style w:type="paragraph" w:styleId="Heading3">
    <w:name w:val="heading 3"/>
    <w:aliases w:val="3) Subsection"/>
    <w:basedOn w:val="Normal"/>
    <w:next w:val="Normal"/>
    <w:link w:val="Heading3Char"/>
    <w:uiPriority w:val="9"/>
    <w:unhideWhenUsed/>
    <w:qFormat/>
    <w:rsid w:val="00410069"/>
    <w:pPr>
      <w:keepNext/>
      <w:keepLines/>
      <w:numPr>
        <w:ilvl w:val="2"/>
        <w:numId w:val="1"/>
      </w:numPr>
      <w:spacing w:before="240" w:after="240"/>
      <w:ind w:left="720"/>
      <w:outlineLvl w:val="2"/>
    </w:pPr>
    <w:rPr>
      <w:rFonts w:ascii="Franklin Gothic Medium" w:eastAsiaTheme="majorEastAsia" w:hAnsi="Franklin Gothic Medium" w:cstheme="majorBidi"/>
      <w:sz w:val="24"/>
      <w:szCs w:val="24"/>
    </w:rPr>
  </w:style>
  <w:style w:type="paragraph" w:styleId="Heading4">
    <w:name w:val="heading 4"/>
    <w:aliases w:val="4) Sub L2"/>
    <w:basedOn w:val="Normal"/>
    <w:next w:val="Normal"/>
    <w:link w:val="Heading4Char"/>
    <w:uiPriority w:val="9"/>
    <w:unhideWhenUsed/>
    <w:qFormat/>
    <w:rsid w:val="000A5040"/>
    <w:pPr>
      <w:keepNext/>
      <w:keepLines/>
      <w:spacing w:before="240" w:after="240"/>
      <w:outlineLvl w:val="3"/>
    </w:pPr>
    <w:rPr>
      <w:rFonts w:ascii="Franklin Gothic Medium" w:eastAsiaTheme="majorEastAsia" w:hAnsi="Franklin Gothic Medium" w:cstheme="majorBidi"/>
      <w:i/>
      <w:iCs/>
      <w:sz w:val="24"/>
    </w:rPr>
  </w:style>
  <w:style w:type="paragraph" w:styleId="Heading5">
    <w:name w:val="heading 5"/>
    <w:aliases w:val="5) Sub L3"/>
    <w:basedOn w:val="Normal"/>
    <w:next w:val="Normal"/>
    <w:link w:val="Heading5Char"/>
    <w:uiPriority w:val="9"/>
    <w:unhideWhenUsed/>
    <w:rsid w:val="00743885"/>
    <w:pPr>
      <w:keepNext/>
      <w:keepLines/>
      <w:numPr>
        <w:ilvl w:val="4"/>
        <w:numId w:val="1"/>
      </w:numPr>
      <w:spacing w:before="240"/>
      <w:outlineLvl w:val="4"/>
    </w:pPr>
    <w:rPr>
      <w:rFonts w:ascii="Franklin Gothic Medium" w:eastAsiaTheme="majorEastAsia" w:hAnsi="Franklin Gothic Medium" w:cstheme="majorBidi"/>
      <w:sz w:val="24"/>
    </w:rPr>
  </w:style>
  <w:style w:type="paragraph" w:styleId="Heading6">
    <w:name w:val="heading 6"/>
    <w:aliases w:val="6) Sub L4"/>
    <w:basedOn w:val="Normal"/>
    <w:next w:val="Normal"/>
    <w:link w:val="Heading6Char"/>
    <w:uiPriority w:val="9"/>
    <w:unhideWhenUsed/>
    <w:rsid w:val="00743885"/>
    <w:pPr>
      <w:keepNext/>
      <w:keepLines/>
      <w:numPr>
        <w:ilvl w:val="5"/>
        <w:numId w:val="1"/>
      </w:numPr>
      <w:spacing w:before="240"/>
      <w:outlineLvl w:val="5"/>
    </w:pPr>
    <w:rPr>
      <w:rFonts w:ascii="Franklin Gothic Medium" w:eastAsiaTheme="majorEastAsia" w:hAnsi="Franklin Gothic Medium" w:cstheme="majorBidi"/>
      <w:sz w:val="24"/>
    </w:rPr>
  </w:style>
  <w:style w:type="paragraph" w:styleId="Heading7">
    <w:name w:val="heading 7"/>
    <w:basedOn w:val="Normal"/>
    <w:next w:val="Normal"/>
    <w:link w:val="Heading7Char"/>
    <w:uiPriority w:val="9"/>
    <w:semiHidden/>
    <w:unhideWhenUsed/>
    <w:rsid w:val="00743885"/>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74388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4388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Chapter header Char"/>
    <w:basedOn w:val="DefaultParagraphFont"/>
    <w:link w:val="Heading1"/>
    <w:uiPriority w:val="9"/>
    <w:rsid w:val="00354FBD"/>
    <w:rPr>
      <w:rFonts w:ascii="Franklin Gothic Medium" w:eastAsiaTheme="majorEastAsia" w:hAnsi="Franklin Gothic Medium" w:cstheme="majorBidi"/>
      <w:sz w:val="32"/>
      <w:szCs w:val="32"/>
    </w:rPr>
  </w:style>
  <w:style w:type="paragraph" w:styleId="NoSpacing">
    <w:name w:val="No Spacing"/>
    <w:uiPriority w:val="1"/>
    <w:rsid w:val="00402F12"/>
    <w:pPr>
      <w:spacing w:after="0" w:line="240" w:lineRule="auto"/>
    </w:pPr>
  </w:style>
  <w:style w:type="character" w:customStyle="1" w:styleId="Heading2Char">
    <w:name w:val="Heading 2 Char"/>
    <w:aliases w:val="2) Section header Char"/>
    <w:basedOn w:val="DefaultParagraphFont"/>
    <w:link w:val="Heading2"/>
    <w:uiPriority w:val="9"/>
    <w:rsid w:val="00D4225A"/>
    <w:rPr>
      <w:rFonts w:ascii="Franklin Gothic Medium" w:eastAsiaTheme="majorEastAsia" w:hAnsi="Franklin Gothic Medium" w:cstheme="majorBidi"/>
      <w:sz w:val="26"/>
      <w:szCs w:val="26"/>
    </w:rPr>
  </w:style>
  <w:style w:type="character" w:customStyle="1" w:styleId="Heading3Char">
    <w:name w:val="Heading 3 Char"/>
    <w:aliases w:val="3) Subsection Char"/>
    <w:basedOn w:val="DefaultParagraphFont"/>
    <w:link w:val="Heading3"/>
    <w:uiPriority w:val="9"/>
    <w:rsid w:val="00410069"/>
    <w:rPr>
      <w:rFonts w:ascii="Franklin Gothic Medium" w:eastAsiaTheme="majorEastAsia" w:hAnsi="Franklin Gothic Medium" w:cstheme="majorBidi"/>
      <w:sz w:val="24"/>
      <w:szCs w:val="24"/>
    </w:rPr>
  </w:style>
  <w:style w:type="paragraph" w:styleId="Title">
    <w:name w:val="Title"/>
    <w:basedOn w:val="Normal"/>
    <w:next w:val="Normal"/>
    <w:link w:val="TitleChar"/>
    <w:uiPriority w:val="10"/>
    <w:rsid w:val="00402F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02F12"/>
    <w:rPr>
      <w:rFonts w:asciiTheme="majorHAnsi" w:eastAsiaTheme="majorEastAsia" w:hAnsiTheme="majorHAnsi" w:cstheme="majorBidi"/>
      <w:spacing w:val="-10"/>
      <w:kern w:val="28"/>
      <w:sz w:val="56"/>
      <w:szCs w:val="56"/>
    </w:rPr>
  </w:style>
  <w:style w:type="character" w:customStyle="1" w:styleId="Heading4Char">
    <w:name w:val="Heading 4 Char"/>
    <w:aliases w:val="4) Sub L2 Char"/>
    <w:basedOn w:val="DefaultParagraphFont"/>
    <w:link w:val="Heading4"/>
    <w:uiPriority w:val="9"/>
    <w:rsid w:val="000A5040"/>
    <w:rPr>
      <w:rFonts w:ascii="Franklin Gothic Medium" w:eastAsiaTheme="majorEastAsia" w:hAnsi="Franklin Gothic Medium" w:cstheme="majorBidi"/>
      <w:i/>
      <w:iCs/>
      <w:sz w:val="24"/>
    </w:rPr>
  </w:style>
  <w:style w:type="character" w:customStyle="1" w:styleId="Heading5Char">
    <w:name w:val="Heading 5 Char"/>
    <w:aliases w:val="5) Sub L3 Char"/>
    <w:basedOn w:val="DefaultParagraphFont"/>
    <w:link w:val="Heading5"/>
    <w:uiPriority w:val="9"/>
    <w:rsid w:val="00743885"/>
    <w:rPr>
      <w:rFonts w:ascii="Franklin Gothic Medium" w:eastAsiaTheme="majorEastAsia" w:hAnsi="Franklin Gothic Medium" w:cstheme="majorBidi"/>
      <w:sz w:val="24"/>
    </w:rPr>
  </w:style>
  <w:style w:type="character" w:customStyle="1" w:styleId="Heading6Char">
    <w:name w:val="Heading 6 Char"/>
    <w:aliases w:val="6) Sub L4 Char"/>
    <w:basedOn w:val="DefaultParagraphFont"/>
    <w:link w:val="Heading6"/>
    <w:uiPriority w:val="9"/>
    <w:rsid w:val="00743885"/>
    <w:rPr>
      <w:rFonts w:ascii="Franklin Gothic Medium" w:eastAsiaTheme="majorEastAsia" w:hAnsi="Franklin Gothic Medium" w:cstheme="majorBidi"/>
      <w:sz w:val="24"/>
    </w:rPr>
  </w:style>
  <w:style w:type="paragraph" w:styleId="ListParagraph">
    <w:name w:val="List Paragraph"/>
    <w:aliases w:val="0) Paragraph"/>
    <w:basedOn w:val="Normal"/>
    <w:autoRedefine/>
    <w:uiPriority w:val="34"/>
    <w:qFormat/>
    <w:rsid w:val="00174814"/>
    <w:pPr>
      <w:spacing w:before="120" w:after="180" w:line="360" w:lineRule="auto"/>
      <w:jc w:val="both"/>
    </w:pPr>
    <w:rPr>
      <w:rFonts w:ascii="Baskerville Old Face" w:hAnsi="Baskerville Old Face"/>
      <w:sz w:val="24"/>
    </w:rPr>
  </w:style>
  <w:style w:type="character" w:customStyle="1" w:styleId="Heading7Char">
    <w:name w:val="Heading 7 Char"/>
    <w:basedOn w:val="DefaultParagraphFont"/>
    <w:link w:val="Heading7"/>
    <w:uiPriority w:val="9"/>
    <w:semiHidden/>
    <w:rsid w:val="00743885"/>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74388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43885"/>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504068"/>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4068"/>
  </w:style>
  <w:style w:type="paragraph" w:styleId="Footer">
    <w:name w:val="footer"/>
    <w:basedOn w:val="Normal"/>
    <w:link w:val="FooterChar"/>
    <w:uiPriority w:val="99"/>
    <w:unhideWhenUsed/>
    <w:rsid w:val="0050406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4068"/>
  </w:style>
  <w:style w:type="table" w:styleId="TableGrid">
    <w:name w:val="Table Grid"/>
    <w:basedOn w:val="TableNormal"/>
    <w:uiPriority w:val="39"/>
    <w:rsid w:val="00BC48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46AAC"/>
    <w:rPr>
      <w:color w:val="0563C1" w:themeColor="hyperlink"/>
      <w:u w:val="single"/>
    </w:rPr>
  </w:style>
  <w:style w:type="character" w:styleId="CommentReference">
    <w:name w:val="annotation reference"/>
    <w:basedOn w:val="DefaultParagraphFont"/>
    <w:uiPriority w:val="99"/>
    <w:semiHidden/>
    <w:unhideWhenUsed/>
    <w:rsid w:val="008E4A83"/>
    <w:rPr>
      <w:sz w:val="16"/>
      <w:szCs w:val="16"/>
    </w:rPr>
  </w:style>
  <w:style w:type="paragraph" w:styleId="CommentText">
    <w:name w:val="annotation text"/>
    <w:basedOn w:val="Normal"/>
    <w:link w:val="CommentTextChar"/>
    <w:uiPriority w:val="99"/>
    <w:unhideWhenUsed/>
    <w:rsid w:val="008E4A83"/>
    <w:pPr>
      <w:spacing w:line="240" w:lineRule="auto"/>
    </w:pPr>
    <w:rPr>
      <w:sz w:val="20"/>
      <w:szCs w:val="20"/>
    </w:rPr>
  </w:style>
  <w:style w:type="character" w:customStyle="1" w:styleId="CommentTextChar">
    <w:name w:val="Comment Text Char"/>
    <w:basedOn w:val="DefaultParagraphFont"/>
    <w:link w:val="CommentText"/>
    <w:uiPriority w:val="99"/>
    <w:rsid w:val="008E4A83"/>
    <w:rPr>
      <w:sz w:val="20"/>
      <w:szCs w:val="20"/>
    </w:rPr>
  </w:style>
  <w:style w:type="paragraph" w:styleId="CommentSubject">
    <w:name w:val="annotation subject"/>
    <w:basedOn w:val="CommentText"/>
    <w:next w:val="CommentText"/>
    <w:link w:val="CommentSubjectChar"/>
    <w:uiPriority w:val="99"/>
    <w:semiHidden/>
    <w:unhideWhenUsed/>
    <w:rsid w:val="008E4A83"/>
    <w:rPr>
      <w:b/>
      <w:bCs/>
    </w:rPr>
  </w:style>
  <w:style w:type="character" w:customStyle="1" w:styleId="CommentSubjectChar">
    <w:name w:val="Comment Subject Char"/>
    <w:basedOn w:val="CommentTextChar"/>
    <w:link w:val="CommentSubject"/>
    <w:uiPriority w:val="99"/>
    <w:semiHidden/>
    <w:rsid w:val="008E4A83"/>
    <w:rPr>
      <w:b/>
      <w:bCs/>
      <w:sz w:val="20"/>
      <w:szCs w:val="20"/>
    </w:rPr>
  </w:style>
  <w:style w:type="paragraph" w:styleId="BalloonText">
    <w:name w:val="Balloon Text"/>
    <w:basedOn w:val="Normal"/>
    <w:link w:val="BalloonTextChar"/>
    <w:uiPriority w:val="99"/>
    <w:semiHidden/>
    <w:unhideWhenUsed/>
    <w:rsid w:val="008E4A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4A83"/>
    <w:rPr>
      <w:rFonts w:ascii="Segoe UI" w:hAnsi="Segoe UI" w:cs="Segoe UI"/>
      <w:sz w:val="18"/>
      <w:szCs w:val="18"/>
    </w:rPr>
  </w:style>
  <w:style w:type="paragraph" w:styleId="Caption">
    <w:name w:val="caption"/>
    <w:aliases w:val="Tables"/>
    <w:next w:val="ListParagraph"/>
    <w:uiPriority w:val="35"/>
    <w:unhideWhenUsed/>
    <w:qFormat/>
    <w:rsid w:val="00D74A9C"/>
    <w:pPr>
      <w:spacing w:before="600" w:after="240" w:line="264" w:lineRule="auto"/>
      <w:jc w:val="both"/>
    </w:pPr>
    <w:rPr>
      <w:rFonts w:ascii="Franklin Gothic Book" w:hAnsi="Franklin Gothic Book"/>
      <w:iCs/>
      <w:sz w:val="24"/>
      <w:szCs w:val="18"/>
    </w:rPr>
  </w:style>
  <w:style w:type="paragraph" w:customStyle="1" w:styleId="Tablecontent">
    <w:name w:val="Table_content"/>
    <w:next w:val="ListParagraph"/>
    <w:link w:val="TablecontentChar"/>
    <w:qFormat/>
    <w:rsid w:val="00CD0411"/>
    <w:pPr>
      <w:spacing w:before="100" w:after="100" w:line="240" w:lineRule="auto"/>
    </w:pPr>
    <w:rPr>
      <w:rFonts w:ascii="Franklin Gothic Book" w:hAnsi="Franklin Gothic Book"/>
    </w:rPr>
  </w:style>
  <w:style w:type="character" w:customStyle="1" w:styleId="TablecontentChar">
    <w:name w:val="Table_content Char"/>
    <w:basedOn w:val="DefaultParagraphFont"/>
    <w:link w:val="Tablecontent"/>
    <w:rsid w:val="00CD0411"/>
    <w:rPr>
      <w:rFonts w:ascii="Franklin Gothic Book" w:hAnsi="Franklin Gothic Book"/>
    </w:rPr>
  </w:style>
  <w:style w:type="paragraph" w:customStyle="1" w:styleId="Figure">
    <w:name w:val="Figure"/>
    <w:next w:val="ListParagraph"/>
    <w:qFormat/>
    <w:rsid w:val="00DC0A30"/>
    <w:pPr>
      <w:spacing w:before="240" w:after="600" w:line="264" w:lineRule="auto"/>
      <w:jc w:val="both"/>
    </w:pPr>
    <w:rPr>
      <w:rFonts w:ascii="Franklin Gothic Book" w:hAnsi="Franklin Gothic Book"/>
      <w:iCs/>
      <w:sz w:val="24"/>
      <w:szCs w:val="18"/>
    </w:rPr>
  </w:style>
  <w:style w:type="paragraph" w:styleId="TOCHeading">
    <w:name w:val="TOC Heading"/>
    <w:basedOn w:val="Heading1"/>
    <w:next w:val="Normal"/>
    <w:uiPriority w:val="39"/>
    <w:unhideWhenUsed/>
    <w:qFormat/>
    <w:rsid w:val="00FF3E5A"/>
    <w:pPr>
      <w:numPr>
        <w:numId w:val="0"/>
      </w:numPr>
      <w:spacing w:before="240" w:after="0"/>
      <w:outlineLvl w:val="9"/>
    </w:pPr>
    <w:rPr>
      <w:rFonts w:asciiTheme="majorHAnsi" w:hAnsiTheme="majorHAnsi"/>
      <w:color w:val="2E74B5" w:themeColor="accent1" w:themeShade="BF"/>
      <w:lang w:val="en-US"/>
    </w:rPr>
  </w:style>
  <w:style w:type="paragraph" w:styleId="TOC1">
    <w:name w:val="toc 1"/>
    <w:basedOn w:val="Normal"/>
    <w:next w:val="Normal"/>
    <w:autoRedefine/>
    <w:uiPriority w:val="39"/>
    <w:unhideWhenUsed/>
    <w:rsid w:val="00FF3E5A"/>
    <w:pPr>
      <w:spacing w:before="120" w:after="120"/>
    </w:pPr>
    <w:rPr>
      <w:rFonts w:cstheme="minorHAnsi"/>
      <w:b/>
      <w:bCs/>
      <w:caps/>
      <w:sz w:val="20"/>
      <w:szCs w:val="20"/>
    </w:rPr>
  </w:style>
  <w:style w:type="paragraph" w:styleId="TOC2">
    <w:name w:val="toc 2"/>
    <w:basedOn w:val="Normal"/>
    <w:next w:val="Normal"/>
    <w:autoRedefine/>
    <w:uiPriority w:val="39"/>
    <w:unhideWhenUsed/>
    <w:rsid w:val="00FF3E5A"/>
    <w:pPr>
      <w:spacing w:after="0"/>
      <w:ind w:left="220"/>
    </w:pPr>
    <w:rPr>
      <w:rFonts w:cstheme="minorHAnsi"/>
      <w:smallCaps/>
      <w:sz w:val="20"/>
      <w:szCs w:val="20"/>
    </w:rPr>
  </w:style>
  <w:style w:type="paragraph" w:styleId="TOC3">
    <w:name w:val="toc 3"/>
    <w:basedOn w:val="Normal"/>
    <w:next w:val="Normal"/>
    <w:autoRedefine/>
    <w:uiPriority w:val="39"/>
    <w:unhideWhenUsed/>
    <w:rsid w:val="00FF3E5A"/>
    <w:pPr>
      <w:spacing w:after="0"/>
      <w:ind w:left="440"/>
    </w:pPr>
    <w:rPr>
      <w:rFonts w:cstheme="minorHAnsi"/>
      <w:i/>
      <w:iCs/>
      <w:sz w:val="20"/>
      <w:szCs w:val="20"/>
    </w:rPr>
  </w:style>
  <w:style w:type="paragraph" w:styleId="TOC4">
    <w:name w:val="toc 4"/>
    <w:basedOn w:val="Normal"/>
    <w:next w:val="Normal"/>
    <w:autoRedefine/>
    <w:uiPriority w:val="39"/>
    <w:unhideWhenUsed/>
    <w:rsid w:val="00FF3E5A"/>
    <w:pPr>
      <w:spacing w:after="0"/>
      <w:ind w:left="660"/>
    </w:pPr>
    <w:rPr>
      <w:rFonts w:cstheme="minorHAnsi"/>
      <w:sz w:val="18"/>
      <w:szCs w:val="18"/>
    </w:rPr>
  </w:style>
  <w:style w:type="paragraph" w:styleId="TOC5">
    <w:name w:val="toc 5"/>
    <w:basedOn w:val="Normal"/>
    <w:next w:val="Normal"/>
    <w:autoRedefine/>
    <w:uiPriority w:val="39"/>
    <w:unhideWhenUsed/>
    <w:rsid w:val="00FF3E5A"/>
    <w:pPr>
      <w:spacing w:after="0"/>
      <w:ind w:left="880"/>
    </w:pPr>
    <w:rPr>
      <w:rFonts w:cstheme="minorHAnsi"/>
      <w:sz w:val="18"/>
      <w:szCs w:val="18"/>
    </w:rPr>
  </w:style>
  <w:style w:type="paragraph" w:styleId="TOC6">
    <w:name w:val="toc 6"/>
    <w:basedOn w:val="Normal"/>
    <w:next w:val="Normal"/>
    <w:autoRedefine/>
    <w:uiPriority w:val="39"/>
    <w:unhideWhenUsed/>
    <w:rsid w:val="00FF3E5A"/>
    <w:pPr>
      <w:spacing w:after="0"/>
      <w:ind w:left="1100"/>
    </w:pPr>
    <w:rPr>
      <w:rFonts w:cstheme="minorHAnsi"/>
      <w:sz w:val="18"/>
      <w:szCs w:val="18"/>
    </w:rPr>
  </w:style>
  <w:style w:type="paragraph" w:styleId="TOC7">
    <w:name w:val="toc 7"/>
    <w:basedOn w:val="Normal"/>
    <w:next w:val="Normal"/>
    <w:autoRedefine/>
    <w:uiPriority w:val="39"/>
    <w:unhideWhenUsed/>
    <w:rsid w:val="00FF3E5A"/>
    <w:pPr>
      <w:spacing w:after="0"/>
      <w:ind w:left="1320"/>
    </w:pPr>
    <w:rPr>
      <w:rFonts w:cstheme="minorHAnsi"/>
      <w:sz w:val="18"/>
      <w:szCs w:val="18"/>
    </w:rPr>
  </w:style>
  <w:style w:type="paragraph" w:styleId="TOC8">
    <w:name w:val="toc 8"/>
    <w:basedOn w:val="Normal"/>
    <w:next w:val="Normal"/>
    <w:autoRedefine/>
    <w:uiPriority w:val="39"/>
    <w:unhideWhenUsed/>
    <w:rsid w:val="00FF3E5A"/>
    <w:pPr>
      <w:spacing w:after="0"/>
      <w:ind w:left="1540"/>
    </w:pPr>
    <w:rPr>
      <w:rFonts w:cstheme="minorHAnsi"/>
      <w:sz w:val="18"/>
      <w:szCs w:val="18"/>
    </w:rPr>
  </w:style>
  <w:style w:type="paragraph" w:styleId="TOC9">
    <w:name w:val="toc 9"/>
    <w:basedOn w:val="Normal"/>
    <w:next w:val="Normal"/>
    <w:autoRedefine/>
    <w:uiPriority w:val="39"/>
    <w:unhideWhenUsed/>
    <w:rsid w:val="00FF3E5A"/>
    <w:pPr>
      <w:spacing w:after="0"/>
      <w:ind w:left="1760"/>
    </w:pPr>
    <w:rPr>
      <w:rFonts w:cstheme="minorHAnsi"/>
      <w:sz w:val="18"/>
      <w:szCs w:val="18"/>
    </w:rPr>
  </w:style>
  <w:style w:type="paragraph" w:customStyle="1" w:styleId="Intro">
    <w:name w:val="Intro"/>
    <w:basedOn w:val="Heading1"/>
    <w:link w:val="IntroChar"/>
    <w:qFormat/>
    <w:rsid w:val="00FF3E5A"/>
    <w:pPr>
      <w:ind w:left="431" w:hanging="431"/>
    </w:pPr>
    <w:rPr>
      <w:sz w:val="28"/>
    </w:rPr>
  </w:style>
  <w:style w:type="paragraph" w:customStyle="1" w:styleId="appendixtitle">
    <w:name w:val="appendix title"/>
    <w:basedOn w:val="Heading2"/>
    <w:link w:val="appendixtitleChar"/>
    <w:qFormat/>
    <w:rsid w:val="008F6925"/>
    <w:pPr>
      <w:numPr>
        <w:ilvl w:val="0"/>
        <w:numId w:val="10"/>
      </w:numPr>
    </w:pPr>
  </w:style>
  <w:style w:type="character" w:customStyle="1" w:styleId="IntroChar">
    <w:name w:val="Intro Char"/>
    <w:basedOn w:val="Heading1Char"/>
    <w:link w:val="Intro"/>
    <w:rsid w:val="00FF3E5A"/>
    <w:rPr>
      <w:rFonts w:ascii="Franklin Gothic Medium" w:eastAsiaTheme="majorEastAsia" w:hAnsi="Franklin Gothic Medium" w:cstheme="majorBidi"/>
      <w:sz w:val="28"/>
      <w:szCs w:val="32"/>
    </w:rPr>
  </w:style>
  <w:style w:type="paragraph" w:styleId="TableofFigures">
    <w:name w:val="table of figures"/>
    <w:basedOn w:val="Normal"/>
    <w:next w:val="Normal"/>
    <w:uiPriority w:val="99"/>
    <w:unhideWhenUsed/>
    <w:rsid w:val="009D7821"/>
    <w:pPr>
      <w:spacing w:after="0"/>
    </w:pPr>
    <w:rPr>
      <w:rFonts w:cstheme="minorHAnsi"/>
      <w:i/>
      <w:iCs/>
      <w:sz w:val="20"/>
      <w:szCs w:val="20"/>
    </w:rPr>
  </w:style>
  <w:style w:type="character" w:customStyle="1" w:styleId="appendixtitleChar">
    <w:name w:val="appendix title Char"/>
    <w:basedOn w:val="Heading2Char"/>
    <w:link w:val="appendixtitle"/>
    <w:rsid w:val="008F6925"/>
    <w:rPr>
      <w:rFonts w:ascii="Franklin Gothic Medium" w:eastAsiaTheme="majorEastAsia" w:hAnsi="Franklin Gothic Medium" w:cstheme="majorBidi"/>
      <w:sz w:val="26"/>
      <w:szCs w:val="26"/>
    </w:rPr>
  </w:style>
  <w:style w:type="character" w:customStyle="1" w:styleId="Mention">
    <w:name w:val="Mention"/>
    <w:basedOn w:val="DefaultParagraphFont"/>
    <w:uiPriority w:val="99"/>
    <w:semiHidden/>
    <w:unhideWhenUsed/>
    <w:rsid w:val="005655E9"/>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188356">
      <w:bodyDiv w:val="1"/>
      <w:marLeft w:val="0"/>
      <w:marRight w:val="0"/>
      <w:marTop w:val="0"/>
      <w:marBottom w:val="0"/>
      <w:divBdr>
        <w:top w:val="none" w:sz="0" w:space="0" w:color="auto"/>
        <w:left w:val="none" w:sz="0" w:space="0" w:color="auto"/>
        <w:bottom w:val="none" w:sz="0" w:space="0" w:color="auto"/>
        <w:right w:val="none" w:sz="0" w:space="0" w:color="auto"/>
      </w:divBdr>
    </w:div>
    <w:div w:id="199783859">
      <w:bodyDiv w:val="1"/>
      <w:marLeft w:val="0"/>
      <w:marRight w:val="0"/>
      <w:marTop w:val="0"/>
      <w:marBottom w:val="0"/>
      <w:divBdr>
        <w:top w:val="none" w:sz="0" w:space="0" w:color="auto"/>
        <w:left w:val="none" w:sz="0" w:space="0" w:color="auto"/>
        <w:bottom w:val="none" w:sz="0" w:space="0" w:color="auto"/>
        <w:right w:val="none" w:sz="0" w:space="0" w:color="auto"/>
      </w:divBdr>
    </w:div>
    <w:div w:id="549344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footer" Target="footer3.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857ABA-4C16-424A-ABC3-390F14EA7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49321</TotalTime>
  <Pages>299</Pages>
  <Words>397941</Words>
  <Characters>2268266</Characters>
  <Application>Microsoft Office Word</Application>
  <DocSecurity>0</DocSecurity>
  <Lines>18902</Lines>
  <Paragraphs>5321</Paragraphs>
  <ScaleCrop>false</ScaleCrop>
  <HeadingPairs>
    <vt:vector size="2" baseType="variant">
      <vt:variant>
        <vt:lpstr>Title</vt:lpstr>
      </vt:variant>
      <vt:variant>
        <vt:i4>1</vt:i4>
      </vt:variant>
    </vt:vector>
  </HeadingPairs>
  <TitlesOfParts>
    <vt:vector size="1" baseType="lpstr">
      <vt:lpstr/>
    </vt:vector>
  </TitlesOfParts>
  <Company>University of Edinburgh</Company>
  <LinksUpToDate>false</LinksUpToDate>
  <CharactersWithSpaces>2660886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MASON Andrew</dc:creator>
  <cp:keywords/>
  <dc:description/>
  <cp:lastModifiedBy>Andrew Mason</cp:lastModifiedBy>
  <cp:revision>66</cp:revision>
  <cp:lastPrinted>2017-10-31T16:36:00Z</cp:lastPrinted>
  <dcterms:created xsi:type="dcterms:W3CDTF">2017-03-17T17:54:00Z</dcterms:created>
  <dcterms:modified xsi:type="dcterms:W3CDTF">2017-11-14T11:24:00Z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96a28c9d-a4be-3325-a3c1-3a3b8e6f96b6</vt:lpwstr>
  </property>
  <property fmtid="{D5CDD505-2E9C-101B-9397-08002B2CF9AE}" pid="4" name="Mendeley Citation Style_1">
    <vt:lpwstr>http://www.zotero.org/styles/harvard1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http://www.zotero.org/styles/harvard1</vt:lpwstr>
  </property>
  <property fmtid="{D5CDD505-2E9C-101B-9397-08002B2CF9AE}" pid="18" name="Mendeley Recent Style Name 6_1">
    <vt:lpwstr>Harvard reference format 1 (deprecated)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